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7F76" w:rsidRDefault="00444330">
      <w:pPr>
        <w:pStyle w:val="Title"/>
        <w:jc w:val="center"/>
      </w:pPr>
      <w:bookmarkStart w:id="0" w:name="_vzkeo1yy3ofa" w:colFirst="0" w:colLast="0"/>
      <w:bookmarkEnd w:id="0"/>
      <w:r>
        <w:t xml:space="preserve">Report for ForestQuery into Global </w:t>
      </w:r>
      <w:r w:rsidRPr="005508F5">
        <w:t>Deforestation, 1990 to 2016</w:t>
      </w:r>
      <w:r>
        <w:t xml:space="preserve"> </w:t>
      </w:r>
    </w:p>
    <w:p w:rsidR="00507F76" w:rsidRDefault="00444330">
      <w:r>
        <w:t>ForestQuery is on a mission to combat deforestation around the world and to raise awareness about this topic and its impact on the environment. The data analysis team at ForestQuery has obtained data from the World Bank that includes forest area and total land area by country and year from 1990 to 2016, as well as a table of countries and the regions to which they belong.</w:t>
      </w:r>
    </w:p>
    <w:p w:rsidR="00507F76" w:rsidRDefault="00507F76"/>
    <w:p w:rsidR="00507F76" w:rsidRDefault="00444330">
      <w:r>
        <w:t>The data analysis team has used SQL to bring these tables together and to query them in an effort to find areas of concern as well as areas that present an opportunity to learn from successes.</w:t>
      </w:r>
    </w:p>
    <w:p w:rsidR="00507F76" w:rsidRDefault="00507F76"/>
    <w:p w:rsidR="00507F76" w:rsidRDefault="00444330">
      <w:pPr>
        <w:pStyle w:val="Heading2"/>
        <w:rPr>
          <w:b/>
        </w:rPr>
      </w:pPr>
      <w:bookmarkStart w:id="1" w:name="_evy1pzyuowrs" w:colFirst="0" w:colLast="0"/>
      <w:bookmarkEnd w:id="1"/>
      <w:r>
        <w:t xml:space="preserve">1. </w:t>
      </w:r>
      <w:r>
        <w:rPr>
          <w:b/>
        </w:rPr>
        <w:t>GLOBAL SITUATION</w:t>
      </w:r>
    </w:p>
    <w:p w:rsidR="005508F5" w:rsidRPr="005508F5" w:rsidRDefault="00444330" w:rsidP="005508F5">
      <w:pPr>
        <w:rPr>
          <w:rFonts w:ascii="Times New Roman" w:eastAsia="Times New Roman" w:hAnsi="Times New Roman" w:cs="Times New Roman"/>
          <w:b/>
          <w:sz w:val="24"/>
          <w:szCs w:val="24"/>
          <w:lang w:val="en-US"/>
        </w:rPr>
      </w:pPr>
      <w:r>
        <w:t xml:space="preserve">According to the World Bank, the total forest area of the world was </w:t>
      </w:r>
      <w:r w:rsidR="005508F5" w:rsidRPr="005508F5">
        <w:t>41</w:t>
      </w:r>
      <w:r w:rsidR="006020B9">
        <w:t>,</w:t>
      </w:r>
      <w:r w:rsidR="005508F5" w:rsidRPr="005508F5">
        <w:t>282</w:t>
      </w:r>
      <w:r w:rsidR="006020B9">
        <w:t>,</w:t>
      </w:r>
      <w:r w:rsidR="005508F5" w:rsidRPr="005508F5">
        <w:t>694.9</w:t>
      </w:r>
      <w:r w:rsidR="005508F5">
        <w:t xml:space="preserve"> km</w:t>
      </w:r>
      <w:r w:rsidR="005508F5">
        <w:rPr>
          <w:vertAlign w:val="superscript"/>
        </w:rPr>
        <w:t>2</w:t>
      </w:r>
    </w:p>
    <w:p w:rsidR="00507F76" w:rsidRDefault="00444330">
      <w:r>
        <w:t xml:space="preserve"> in 1990. As of 2016, the most recent year for which data was available, that number had fallen to</w:t>
      </w:r>
      <w:r>
        <w:rPr>
          <w:b/>
        </w:rPr>
        <w:t xml:space="preserve"> </w:t>
      </w:r>
      <w:r w:rsidR="005508F5" w:rsidRPr="005508F5">
        <w:t>39</w:t>
      </w:r>
      <w:r w:rsidR="006020B9">
        <w:t>,</w:t>
      </w:r>
      <w:r w:rsidR="005508F5" w:rsidRPr="005508F5">
        <w:t>958</w:t>
      </w:r>
      <w:r w:rsidR="006020B9">
        <w:t>,</w:t>
      </w:r>
      <w:r w:rsidR="005508F5" w:rsidRPr="005508F5">
        <w:t>245.9</w:t>
      </w:r>
      <w:r w:rsidR="006020B9">
        <w:t xml:space="preserve"> km</w:t>
      </w:r>
      <w:r w:rsidR="006020B9">
        <w:rPr>
          <w:vertAlign w:val="superscript"/>
        </w:rPr>
        <w:t>2</w:t>
      </w:r>
      <w:r>
        <w:t xml:space="preserve">, a loss of </w:t>
      </w:r>
      <w:r w:rsidR="006020B9" w:rsidRPr="006020B9">
        <w:t>1</w:t>
      </w:r>
      <w:r w:rsidR="006020B9">
        <w:t>,</w:t>
      </w:r>
      <w:r w:rsidR="006020B9" w:rsidRPr="006020B9">
        <w:t>324</w:t>
      </w:r>
      <w:r w:rsidR="006020B9">
        <w:t>,</w:t>
      </w:r>
      <w:r w:rsidR="006020B9" w:rsidRPr="006020B9">
        <w:t>449</w:t>
      </w:r>
      <w:r w:rsidR="006020B9">
        <w:t xml:space="preserve"> km</w:t>
      </w:r>
      <w:r w:rsidR="006020B9">
        <w:rPr>
          <w:vertAlign w:val="superscript"/>
        </w:rPr>
        <w:t>2</w:t>
      </w:r>
      <w:r>
        <w:t xml:space="preserve">, or </w:t>
      </w:r>
      <w:r w:rsidR="006020B9" w:rsidRPr="006020B9">
        <w:t>3.208</w:t>
      </w:r>
      <w:r>
        <w:t>%.</w:t>
      </w:r>
    </w:p>
    <w:p w:rsidR="00507F76" w:rsidRDefault="00507F76"/>
    <w:p w:rsidR="00507F76" w:rsidRPr="00444330" w:rsidRDefault="00444330">
      <w:pPr>
        <w:rPr>
          <w:rFonts w:ascii="Times New Roman" w:eastAsia="Times New Roman" w:hAnsi="Times New Roman" w:cs="Times New Roman"/>
          <w:sz w:val="24"/>
          <w:szCs w:val="24"/>
          <w:lang w:val="en-US"/>
        </w:rPr>
      </w:pPr>
      <w:r>
        <w:t xml:space="preserve">The forest area lost over this time period is slightly more than the entire land area of Peru listed for the year 2016 (which is </w:t>
      </w:r>
      <w:r w:rsidRPr="00444330">
        <w:t>1</w:t>
      </w:r>
      <w:r>
        <w:t>,</w:t>
      </w:r>
      <w:r w:rsidRPr="00444330">
        <w:t>27</w:t>
      </w:r>
      <w:r>
        <w:t>0,000 km</w:t>
      </w:r>
      <w:r>
        <w:rPr>
          <w:vertAlign w:val="superscript"/>
        </w:rPr>
        <w:t>2</w:t>
      </w:r>
      <w:r>
        <w:t>).</w:t>
      </w:r>
    </w:p>
    <w:p w:rsidR="00507F76" w:rsidRDefault="00507F76"/>
    <w:p w:rsidR="00507F76" w:rsidRDefault="00444330">
      <w:pPr>
        <w:pStyle w:val="Heading2"/>
        <w:rPr>
          <w:b/>
        </w:rPr>
      </w:pPr>
      <w:bookmarkStart w:id="2" w:name="_h0cjxcgslzs4" w:colFirst="0" w:colLast="0"/>
      <w:bookmarkEnd w:id="2"/>
      <w:r>
        <w:t xml:space="preserve">2. </w:t>
      </w:r>
      <w:r>
        <w:rPr>
          <w:b/>
        </w:rPr>
        <w:t>REGIONAL OUTLOOK</w:t>
      </w:r>
    </w:p>
    <w:p w:rsidR="00507F76" w:rsidRDefault="00444330">
      <w:r>
        <w:t xml:space="preserve">In 2016, the percent of the total land area of the world designated as forest was </w:t>
      </w:r>
      <w:r w:rsidR="00576642">
        <w:t>31.38%</w:t>
      </w:r>
      <w:r>
        <w:t>. The region with the highest relative forestation was</w:t>
      </w:r>
      <w:r w:rsidR="00576642">
        <w:t xml:space="preserve"> </w:t>
      </w:r>
      <w:r w:rsidR="009C2E58" w:rsidRPr="009C2E58">
        <w:t>Latin America &amp; Caribbean</w:t>
      </w:r>
      <w:r>
        <w:t xml:space="preserve">, with </w:t>
      </w:r>
      <w:r w:rsidR="00747A85">
        <w:t>46.16</w:t>
      </w:r>
      <w:r>
        <w:t xml:space="preserve">%, and the region with the lowest relative forestation was </w:t>
      </w:r>
      <w:r w:rsidR="009C2E58" w:rsidRPr="009C2E58">
        <w:t>Middle East &amp; North Africa</w:t>
      </w:r>
      <w:r>
        <w:t xml:space="preserve">, with </w:t>
      </w:r>
      <w:r w:rsidR="009C2E58">
        <w:t>2.07</w:t>
      </w:r>
      <w:r>
        <w:t>% forestation.</w:t>
      </w:r>
    </w:p>
    <w:p w:rsidR="00507F76" w:rsidRDefault="00507F76"/>
    <w:p w:rsidR="00507F76" w:rsidRDefault="00444330">
      <w:r>
        <w:t xml:space="preserve">In 1990, the percent of the total land area of the world designated as forest was </w:t>
      </w:r>
      <w:r w:rsidR="00576642">
        <w:t>32.42%</w:t>
      </w:r>
      <w:r>
        <w:t>. The region with the highest relative forestation was</w:t>
      </w:r>
      <w:r w:rsidR="009C2E58">
        <w:t xml:space="preserve"> </w:t>
      </w:r>
      <w:r w:rsidR="009C2E58" w:rsidRPr="009C2E58">
        <w:t>Latin America &amp; Caribbean</w:t>
      </w:r>
      <w:r>
        <w:t xml:space="preserve">, with </w:t>
      </w:r>
      <w:r w:rsidR="009C2E58">
        <w:t>51.03</w:t>
      </w:r>
      <w:r>
        <w:t xml:space="preserve">%, and the region with the lowest relative forestation was </w:t>
      </w:r>
      <w:r w:rsidR="009C2E58" w:rsidRPr="009C2E58">
        <w:t>Middle East &amp; North Africa</w:t>
      </w:r>
      <w:r>
        <w:t xml:space="preserve">, with </w:t>
      </w:r>
      <w:r w:rsidR="009C2E58">
        <w:t>1.78</w:t>
      </w:r>
      <w:r>
        <w:t>% forestation.</w:t>
      </w:r>
    </w:p>
    <w:p w:rsidR="00507F76" w:rsidRDefault="00507F76"/>
    <w:p w:rsidR="00507F76" w:rsidRDefault="00507F76"/>
    <w:p w:rsidR="00507F76" w:rsidRDefault="00507F76"/>
    <w:p w:rsidR="00507F76" w:rsidRDefault="00507F76"/>
    <w:p w:rsidR="00507F76" w:rsidRDefault="00507F76"/>
    <w:p w:rsidR="00507F76" w:rsidRDefault="00507F76"/>
    <w:p w:rsidR="00507F76" w:rsidRDefault="00507F76"/>
    <w:p w:rsidR="00507F76" w:rsidRDefault="00444330">
      <w:r>
        <w:t>Table 2.1: Percent Forest Area by Region, 1990 &amp; 2016:</w:t>
      </w:r>
    </w:p>
    <w:p w:rsidR="00507F76" w:rsidRDefault="00507F76"/>
    <w:tbl>
      <w:tblPr>
        <w:tblStyle w:val="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F76">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Region</w:t>
            </w:r>
          </w:p>
        </w:tc>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1990 Forest Percentage</w:t>
            </w:r>
          </w:p>
        </w:tc>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2016 Forest Percentage</w:t>
            </w:r>
          </w:p>
        </w:tc>
      </w:tr>
      <w:tr w:rsidR="00507F76">
        <w:tc>
          <w:tcPr>
            <w:tcW w:w="3120" w:type="dxa"/>
            <w:shd w:val="clear" w:color="auto" w:fill="auto"/>
            <w:tcMar>
              <w:top w:w="100" w:type="dxa"/>
              <w:left w:w="100" w:type="dxa"/>
              <w:bottom w:w="100" w:type="dxa"/>
              <w:right w:w="100" w:type="dxa"/>
            </w:tcMar>
          </w:tcPr>
          <w:p w:rsidR="00507F76" w:rsidRDefault="00D75024">
            <w:pPr>
              <w:widowControl w:val="0"/>
              <w:spacing w:line="240" w:lineRule="auto"/>
            </w:pPr>
            <w:r>
              <w:t>Latin America &amp; Caribbean</w:t>
            </w:r>
          </w:p>
        </w:tc>
        <w:tc>
          <w:tcPr>
            <w:tcW w:w="3120" w:type="dxa"/>
            <w:shd w:val="clear" w:color="auto" w:fill="auto"/>
            <w:tcMar>
              <w:top w:w="100" w:type="dxa"/>
              <w:left w:w="100" w:type="dxa"/>
              <w:bottom w:w="100" w:type="dxa"/>
              <w:right w:w="100" w:type="dxa"/>
            </w:tcMar>
          </w:tcPr>
          <w:p w:rsidR="00507F76" w:rsidRDefault="00D75024">
            <w:pPr>
              <w:widowControl w:val="0"/>
              <w:spacing w:line="240" w:lineRule="auto"/>
            </w:pPr>
            <w:r>
              <w:t>51.03</w:t>
            </w:r>
          </w:p>
        </w:tc>
        <w:tc>
          <w:tcPr>
            <w:tcW w:w="3120" w:type="dxa"/>
            <w:shd w:val="clear" w:color="auto" w:fill="auto"/>
            <w:tcMar>
              <w:top w:w="100" w:type="dxa"/>
              <w:left w:w="100" w:type="dxa"/>
              <w:bottom w:w="100" w:type="dxa"/>
              <w:right w:w="100" w:type="dxa"/>
            </w:tcMar>
          </w:tcPr>
          <w:p w:rsidR="00507F76" w:rsidRDefault="00D75024">
            <w:pPr>
              <w:widowControl w:val="0"/>
              <w:spacing w:line="240" w:lineRule="auto"/>
            </w:pPr>
            <w:r>
              <w:t>46.16</w:t>
            </w:r>
          </w:p>
        </w:tc>
      </w:tr>
      <w:tr w:rsidR="00507F76">
        <w:tc>
          <w:tcPr>
            <w:tcW w:w="3120" w:type="dxa"/>
            <w:shd w:val="clear" w:color="auto" w:fill="auto"/>
            <w:tcMar>
              <w:top w:w="100" w:type="dxa"/>
              <w:left w:w="100" w:type="dxa"/>
              <w:bottom w:w="100" w:type="dxa"/>
              <w:right w:w="100" w:type="dxa"/>
            </w:tcMar>
          </w:tcPr>
          <w:p w:rsidR="00507F76" w:rsidRDefault="00D75024">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507F76" w:rsidRDefault="00645691">
            <w:pPr>
              <w:widowControl w:val="0"/>
              <w:spacing w:line="240" w:lineRule="auto"/>
            </w:pPr>
            <w:r>
              <w:t>30.67</w:t>
            </w:r>
          </w:p>
        </w:tc>
        <w:tc>
          <w:tcPr>
            <w:tcW w:w="3120" w:type="dxa"/>
            <w:shd w:val="clear" w:color="auto" w:fill="auto"/>
            <w:tcMar>
              <w:top w:w="100" w:type="dxa"/>
              <w:left w:w="100" w:type="dxa"/>
              <w:bottom w:w="100" w:type="dxa"/>
              <w:right w:w="100" w:type="dxa"/>
            </w:tcMar>
          </w:tcPr>
          <w:p w:rsidR="00507F76" w:rsidRDefault="00645691">
            <w:pPr>
              <w:widowControl w:val="0"/>
              <w:spacing w:line="240" w:lineRule="auto"/>
            </w:pPr>
            <w:r>
              <w:t>28.79</w:t>
            </w:r>
          </w:p>
        </w:tc>
      </w:tr>
      <w:tr w:rsidR="00507F76">
        <w:tc>
          <w:tcPr>
            <w:tcW w:w="3120" w:type="dxa"/>
            <w:shd w:val="clear" w:color="auto" w:fill="auto"/>
            <w:tcMar>
              <w:top w:w="100" w:type="dxa"/>
              <w:left w:w="100" w:type="dxa"/>
              <w:bottom w:w="100" w:type="dxa"/>
              <w:right w:w="100" w:type="dxa"/>
            </w:tcMar>
          </w:tcPr>
          <w:p w:rsidR="00507F76" w:rsidRDefault="00645691">
            <w:pPr>
              <w:widowControl w:val="0"/>
              <w:spacing w:line="240" w:lineRule="auto"/>
            </w:pPr>
            <w:r>
              <w:t>World</w:t>
            </w:r>
          </w:p>
        </w:tc>
        <w:tc>
          <w:tcPr>
            <w:tcW w:w="3120" w:type="dxa"/>
            <w:shd w:val="clear" w:color="auto" w:fill="auto"/>
            <w:tcMar>
              <w:top w:w="100" w:type="dxa"/>
              <w:left w:w="100" w:type="dxa"/>
              <w:bottom w:w="100" w:type="dxa"/>
              <w:right w:w="100" w:type="dxa"/>
            </w:tcMar>
          </w:tcPr>
          <w:p w:rsidR="00507F76" w:rsidRDefault="00645691">
            <w:pPr>
              <w:widowControl w:val="0"/>
              <w:spacing w:line="240" w:lineRule="auto"/>
            </w:pPr>
            <w:r>
              <w:t>32.42</w:t>
            </w:r>
          </w:p>
        </w:tc>
        <w:tc>
          <w:tcPr>
            <w:tcW w:w="3120" w:type="dxa"/>
            <w:shd w:val="clear" w:color="auto" w:fill="auto"/>
            <w:tcMar>
              <w:top w:w="100" w:type="dxa"/>
              <w:left w:w="100" w:type="dxa"/>
              <w:bottom w:w="100" w:type="dxa"/>
              <w:right w:w="100" w:type="dxa"/>
            </w:tcMar>
          </w:tcPr>
          <w:p w:rsidR="00507F76" w:rsidRDefault="00645691">
            <w:pPr>
              <w:widowControl w:val="0"/>
              <w:spacing w:line="240" w:lineRule="auto"/>
            </w:pPr>
            <w:r>
              <w:t>31.38</w:t>
            </w:r>
          </w:p>
        </w:tc>
      </w:tr>
      <w:tr w:rsidR="00645691">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Middle East &amp; North Africa</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1.78</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2.07</w:t>
            </w:r>
          </w:p>
        </w:tc>
      </w:tr>
      <w:tr w:rsidR="00645691">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North America</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35.65</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36.04</w:t>
            </w:r>
          </w:p>
        </w:tc>
      </w:tr>
      <w:tr w:rsidR="00645691">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25.78</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26.36</w:t>
            </w:r>
          </w:p>
        </w:tc>
      </w:tr>
      <w:tr w:rsidR="00645691">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Europe &amp; Central Asia</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37.28</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38.04</w:t>
            </w:r>
          </w:p>
        </w:tc>
      </w:tr>
      <w:tr w:rsidR="00645691">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South Asia</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16.51</w:t>
            </w:r>
          </w:p>
        </w:tc>
        <w:tc>
          <w:tcPr>
            <w:tcW w:w="3120" w:type="dxa"/>
            <w:shd w:val="clear" w:color="auto" w:fill="auto"/>
            <w:tcMar>
              <w:top w:w="100" w:type="dxa"/>
              <w:left w:w="100" w:type="dxa"/>
              <w:bottom w:w="100" w:type="dxa"/>
              <w:right w:w="100" w:type="dxa"/>
            </w:tcMar>
          </w:tcPr>
          <w:p w:rsidR="00645691" w:rsidRDefault="00645691">
            <w:pPr>
              <w:widowControl w:val="0"/>
              <w:spacing w:line="240" w:lineRule="auto"/>
            </w:pPr>
            <w:r>
              <w:t>17.51</w:t>
            </w:r>
          </w:p>
        </w:tc>
      </w:tr>
    </w:tbl>
    <w:p w:rsidR="00507F76" w:rsidRDefault="00507F76">
      <w:pPr>
        <w:rPr>
          <w:u w:val="single"/>
        </w:rPr>
      </w:pPr>
    </w:p>
    <w:p w:rsidR="00507F76" w:rsidRDefault="00507F76"/>
    <w:p w:rsidR="00507F76" w:rsidRDefault="00444330">
      <w:r>
        <w:t xml:space="preserve">The only regions of the world that decreased in percent forest area from 1990 to 2016 were </w:t>
      </w:r>
      <w:r w:rsidR="00645691">
        <w:t>Latin America &amp; Caribbean</w:t>
      </w:r>
      <w:r>
        <w:t xml:space="preserve"> (dropped from </w:t>
      </w:r>
      <w:r w:rsidR="00645691">
        <w:t>51.03</w:t>
      </w:r>
      <w:r>
        <w:t xml:space="preserve">% to </w:t>
      </w:r>
      <w:r w:rsidR="00645691">
        <w:t>46.16</w:t>
      </w:r>
      <w:r>
        <w:t xml:space="preserve">%) and </w:t>
      </w:r>
      <w:r w:rsidR="00645691">
        <w:t>Sub-Saharan Africa</w:t>
      </w:r>
      <w:r>
        <w:t xml:space="preserve"> (</w:t>
      </w:r>
      <w:r w:rsidR="00645691">
        <w:t>30.67</w:t>
      </w:r>
      <w:r>
        <w:t xml:space="preserve">% to </w:t>
      </w:r>
      <w:r w:rsidR="00645691">
        <w:t>28.79</w:t>
      </w:r>
      <w:r>
        <w:t xml:space="preserve">%). All other regions actually increased in forest area over this time period. However, the drop in forest area in the two aforementioned regions was so large, the percent forest area of the world decreased over this time period from </w:t>
      </w:r>
      <w:r w:rsidR="00645691">
        <w:t>32.42</w:t>
      </w:r>
      <w:r>
        <w:t xml:space="preserve">% to </w:t>
      </w:r>
      <w:r w:rsidR="00645691">
        <w:t>31.38</w:t>
      </w:r>
      <w:r>
        <w:t xml:space="preserve">%. </w:t>
      </w:r>
    </w:p>
    <w:p w:rsidR="00507F76" w:rsidRDefault="00507F76"/>
    <w:p w:rsidR="00507F76" w:rsidRDefault="00444330">
      <w:pPr>
        <w:pStyle w:val="Heading2"/>
        <w:rPr>
          <w:b/>
        </w:rPr>
      </w:pPr>
      <w:bookmarkStart w:id="3" w:name="_n0kxik3tiutv" w:colFirst="0" w:colLast="0"/>
      <w:bookmarkEnd w:id="3"/>
      <w:r>
        <w:t xml:space="preserve">3. </w:t>
      </w:r>
      <w:r>
        <w:rPr>
          <w:b/>
        </w:rPr>
        <w:t>COUNTRY-LEVEL DETAIL</w:t>
      </w:r>
    </w:p>
    <w:p w:rsidR="00507F76" w:rsidRDefault="00444330">
      <w:pPr>
        <w:pStyle w:val="Heading3"/>
        <w:numPr>
          <w:ilvl w:val="0"/>
          <w:numId w:val="1"/>
        </w:numPr>
      </w:pPr>
      <w:bookmarkStart w:id="4" w:name="_dtrggxi9q14j" w:colFirst="0" w:colLast="0"/>
      <w:bookmarkEnd w:id="4"/>
      <w:r>
        <w:t>SUCCESS STORIES</w:t>
      </w:r>
    </w:p>
    <w:p w:rsidR="00507F76" w:rsidRDefault="00444330">
      <w:r>
        <w:t xml:space="preserve">There is one particularly bright spot in the data at the country level, </w:t>
      </w:r>
      <w:r w:rsidR="00117C27">
        <w:t>China</w:t>
      </w:r>
      <w:r>
        <w:t xml:space="preserve">. This country actually increased in forest area from 1990 to 2016 by </w:t>
      </w:r>
      <w:r w:rsidR="00117C27" w:rsidRPr="00117C27">
        <w:t>527229.062</w:t>
      </w:r>
      <w:r w:rsidR="00117C27">
        <w:t>km</w:t>
      </w:r>
      <w:r w:rsidR="00117C27">
        <w:rPr>
          <w:vertAlign w:val="superscript"/>
        </w:rPr>
        <w:t>2</w:t>
      </w:r>
      <w:r>
        <w:t>. It would be interesting to study what has changed in this country over this time to drive this figure in the data higher. The country with the next largest increase in forest area from 1990 to 2016 was the</w:t>
      </w:r>
      <w:r w:rsidR="00117C27">
        <w:t xml:space="preserve"> United States</w:t>
      </w:r>
      <w:r>
        <w:t xml:space="preserve">, but it only saw an increase of </w:t>
      </w:r>
      <w:r w:rsidR="00117C27" w:rsidRPr="00117C27">
        <w:t>79200</w:t>
      </w:r>
      <w:r w:rsidR="00117C27">
        <w:t>km</w:t>
      </w:r>
      <w:r w:rsidR="00117C27">
        <w:rPr>
          <w:vertAlign w:val="superscript"/>
        </w:rPr>
        <w:t>2</w:t>
      </w:r>
      <w:r>
        <w:t xml:space="preserve">, much lower than the figure for </w:t>
      </w:r>
      <w:r w:rsidR="00117C27">
        <w:t>China</w:t>
      </w:r>
      <w:r>
        <w:t>.</w:t>
      </w:r>
    </w:p>
    <w:p w:rsidR="00507F76" w:rsidRDefault="00507F76"/>
    <w:p w:rsidR="00507F76" w:rsidRDefault="00117C27">
      <w:r>
        <w:t>China</w:t>
      </w:r>
      <w:r w:rsidR="00444330">
        <w:t xml:space="preserve"> and </w:t>
      </w:r>
      <w:r>
        <w:t>the United States</w:t>
      </w:r>
      <w:r w:rsidR="00444330">
        <w:t xml:space="preserve"> are of course very large countries in total land area, so when we look at the largest </w:t>
      </w:r>
      <w:r w:rsidR="00444330">
        <w:rPr>
          <w:i/>
        </w:rPr>
        <w:t>percent</w:t>
      </w:r>
      <w:r w:rsidR="00444330">
        <w:t xml:space="preserve"> change in forest area from 1990 to 2016, we aren’t surprised to find a much smaller country listed at the top. </w:t>
      </w:r>
      <w:r w:rsidR="00A33312">
        <w:t>Iceland</w:t>
      </w:r>
      <w:r w:rsidR="00444330">
        <w:t xml:space="preserve"> increased in forest area by </w:t>
      </w:r>
      <w:r w:rsidR="00C50692">
        <w:t>2</w:t>
      </w:r>
      <w:r w:rsidR="00A33312">
        <w:t>13.66</w:t>
      </w:r>
      <w:r w:rsidR="00444330">
        <w:t xml:space="preserve">% from 1990 to 2016. </w:t>
      </w:r>
    </w:p>
    <w:p w:rsidR="00507F76" w:rsidRDefault="00507F76"/>
    <w:p w:rsidR="00507F76" w:rsidRDefault="00444330">
      <w:pPr>
        <w:pStyle w:val="Heading3"/>
        <w:numPr>
          <w:ilvl w:val="0"/>
          <w:numId w:val="1"/>
        </w:numPr>
      </w:pPr>
      <w:bookmarkStart w:id="5" w:name="_iy2o4cp5oi3h" w:colFirst="0" w:colLast="0"/>
      <w:bookmarkEnd w:id="5"/>
      <w:r>
        <w:lastRenderedPageBreak/>
        <w:t>LARGEST CONCERNS</w:t>
      </w:r>
    </w:p>
    <w:p w:rsidR="00507F76" w:rsidRDefault="00444330">
      <w:r>
        <w:t>Which countries are seeing deforestation to the largest degree? We can answer this question in two ways. First, we can look at the absolute square kilometer decrease in forest area from 1990 to 2016. The following 3 countries had the largest decrease in forest area over the time period under consideration:</w:t>
      </w:r>
    </w:p>
    <w:p w:rsidR="00507F76" w:rsidRDefault="00507F76"/>
    <w:p w:rsidR="00507F76" w:rsidRDefault="00444330">
      <w:r>
        <w:t>Table 3.1: Top 5 Amount Decrease in Forest Area by Country, 1990 &amp; 2016:</w:t>
      </w:r>
    </w:p>
    <w:p w:rsidR="00507F76" w:rsidRDefault="00507F76"/>
    <w:tbl>
      <w:tblPr>
        <w:tblStyle w:val="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F76">
        <w:tc>
          <w:tcPr>
            <w:tcW w:w="3120" w:type="dxa"/>
            <w:shd w:val="clear" w:color="auto" w:fill="auto"/>
            <w:tcMar>
              <w:top w:w="100" w:type="dxa"/>
              <w:left w:w="100" w:type="dxa"/>
              <w:bottom w:w="100" w:type="dxa"/>
              <w:right w:w="100" w:type="dxa"/>
            </w:tcMar>
          </w:tcPr>
          <w:p w:rsidR="00507F76" w:rsidRDefault="00BB3009">
            <w:pPr>
              <w:widowControl w:val="0"/>
              <w:pBdr>
                <w:top w:val="nil"/>
                <w:left w:val="nil"/>
                <w:bottom w:val="nil"/>
                <w:right w:val="nil"/>
                <w:between w:val="nil"/>
              </w:pBdr>
              <w:spacing w:line="240" w:lineRule="auto"/>
            </w:pPr>
            <w:r>
              <w:t>Region</w:t>
            </w:r>
          </w:p>
        </w:tc>
        <w:tc>
          <w:tcPr>
            <w:tcW w:w="3120" w:type="dxa"/>
            <w:shd w:val="clear" w:color="auto" w:fill="auto"/>
            <w:tcMar>
              <w:top w:w="100" w:type="dxa"/>
              <w:left w:w="100" w:type="dxa"/>
              <w:bottom w:w="100" w:type="dxa"/>
              <w:right w:w="100" w:type="dxa"/>
            </w:tcMar>
          </w:tcPr>
          <w:p w:rsidR="00507F76" w:rsidRDefault="00BB3009">
            <w:pPr>
              <w:widowControl w:val="0"/>
              <w:pBdr>
                <w:top w:val="nil"/>
                <w:left w:val="nil"/>
                <w:bottom w:val="nil"/>
                <w:right w:val="nil"/>
                <w:between w:val="nil"/>
              </w:pBdr>
              <w:spacing w:line="240" w:lineRule="auto"/>
            </w:pPr>
            <w:r>
              <w:t>Country</w:t>
            </w:r>
          </w:p>
        </w:tc>
        <w:tc>
          <w:tcPr>
            <w:tcW w:w="3120" w:type="dxa"/>
            <w:shd w:val="clear" w:color="auto" w:fill="auto"/>
            <w:tcMar>
              <w:top w:w="100" w:type="dxa"/>
              <w:left w:w="100" w:type="dxa"/>
              <w:bottom w:w="100" w:type="dxa"/>
              <w:right w:w="100" w:type="dxa"/>
            </w:tcMar>
          </w:tcPr>
          <w:p w:rsidR="00507F76" w:rsidRDefault="00444330">
            <w:pPr>
              <w:widowControl w:val="0"/>
              <w:pBdr>
                <w:top w:val="nil"/>
                <w:left w:val="nil"/>
                <w:bottom w:val="nil"/>
                <w:right w:val="nil"/>
                <w:between w:val="nil"/>
              </w:pBdr>
              <w:spacing w:line="240" w:lineRule="auto"/>
            </w:pPr>
            <w:r>
              <w:t>Absolute Forest Area Change</w:t>
            </w:r>
          </w:p>
        </w:tc>
      </w:tr>
      <w:tr w:rsidR="00507F76">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Latin America &amp; Caribbean</w:t>
            </w:r>
          </w:p>
        </w:tc>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Brazil</w:t>
            </w:r>
          </w:p>
        </w:tc>
        <w:tc>
          <w:tcPr>
            <w:tcW w:w="3120" w:type="dxa"/>
            <w:shd w:val="clear" w:color="auto" w:fill="auto"/>
            <w:tcMar>
              <w:top w:w="100" w:type="dxa"/>
              <w:left w:w="100" w:type="dxa"/>
              <w:bottom w:w="100" w:type="dxa"/>
              <w:right w:w="100" w:type="dxa"/>
            </w:tcMar>
          </w:tcPr>
          <w:p w:rsidR="00507F76" w:rsidRPr="006B13BD" w:rsidRDefault="006B13BD">
            <w:pPr>
              <w:widowControl w:val="0"/>
              <w:pBdr>
                <w:top w:val="nil"/>
                <w:left w:val="nil"/>
                <w:bottom w:val="nil"/>
                <w:right w:val="nil"/>
                <w:between w:val="nil"/>
              </w:pBdr>
              <w:spacing w:line="240" w:lineRule="auto"/>
            </w:pPr>
            <w:r>
              <w:t>-541,510km</w:t>
            </w:r>
            <w:r>
              <w:rPr>
                <w:vertAlign w:val="superscript"/>
              </w:rPr>
              <w:t>2</w:t>
            </w:r>
          </w:p>
        </w:tc>
      </w:tr>
      <w:tr w:rsidR="00507F76">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East Asia &amp; Pacific</w:t>
            </w:r>
          </w:p>
        </w:tc>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Indonesia</w:t>
            </w:r>
          </w:p>
        </w:tc>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-282,193.98km</w:t>
            </w:r>
            <w:r>
              <w:rPr>
                <w:vertAlign w:val="superscript"/>
              </w:rPr>
              <w:t>2</w:t>
            </w:r>
          </w:p>
        </w:tc>
      </w:tr>
      <w:tr w:rsidR="00507F76">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East Asia &amp; Pacific</w:t>
            </w:r>
          </w:p>
        </w:tc>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Myanmar</w:t>
            </w:r>
          </w:p>
        </w:tc>
        <w:tc>
          <w:tcPr>
            <w:tcW w:w="3120" w:type="dxa"/>
            <w:shd w:val="clear" w:color="auto" w:fill="auto"/>
            <w:tcMar>
              <w:top w:w="100" w:type="dxa"/>
              <w:left w:w="100" w:type="dxa"/>
              <w:bottom w:w="100" w:type="dxa"/>
              <w:right w:w="100" w:type="dxa"/>
            </w:tcMar>
          </w:tcPr>
          <w:p w:rsidR="00507F76" w:rsidRDefault="006B13BD">
            <w:pPr>
              <w:widowControl w:val="0"/>
              <w:pBdr>
                <w:top w:val="nil"/>
                <w:left w:val="nil"/>
                <w:bottom w:val="nil"/>
                <w:right w:val="nil"/>
                <w:between w:val="nil"/>
              </w:pBdr>
              <w:spacing w:line="240" w:lineRule="auto"/>
            </w:pPr>
            <w:r>
              <w:t>-107,234km</w:t>
            </w:r>
            <w:r>
              <w:rPr>
                <w:vertAlign w:val="superscript"/>
              </w:rPr>
              <w:t>2</w:t>
            </w:r>
          </w:p>
        </w:tc>
      </w:tr>
      <w:tr w:rsidR="008E3A81">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Sub-Saharan Africa</w:t>
            </w:r>
          </w:p>
        </w:tc>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Nigeria</w:t>
            </w:r>
          </w:p>
        </w:tc>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-106,506km</w:t>
            </w:r>
            <w:r>
              <w:rPr>
                <w:vertAlign w:val="superscript"/>
              </w:rPr>
              <w:t>2</w:t>
            </w:r>
          </w:p>
        </w:tc>
      </w:tr>
      <w:tr w:rsidR="008E3A81">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Sub-Saharan Africa</w:t>
            </w:r>
          </w:p>
        </w:tc>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Tanzania</w:t>
            </w:r>
          </w:p>
        </w:tc>
        <w:tc>
          <w:tcPr>
            <w:tcW w:w="3120" w:type="dxa"/>
            <w:shd w:val="clear" w:color="auto" w:fill="auto"/>
            <w:tcMar>
              <w:top w:w="100" w:type="dxa"/>
              <w:left w:w="100" w:type="dxa"/>
              <w:bottom w:w="100" w:type="dxa"/>
              <w:right w:w="100" w:type="dxa"/>
            </w:tcMar>
          </w:tcPr>
          <w:p w:rsidR="008E3A81" w:rsidRDefault="006B13BD">
            <w:pPr>
              <w:widowControl w:val="0"/>
              <w:pBdr>
                <w:top w:val="nil"/>
                <w:left w:val="nil"/>
                <w:bottom w:val="nil"/>
                <w:right w:val="nil"/>
                <w:between w:val="nil"/>
              </w:pBdr>
              <w:spacing w:line="240" w:lineRule="auto"/>
            </w:pPr>
            <w:r>
              <w:t>-102,320km</w:t>
            </w:r>
            <w:r>
              <w:rPr>
                <w:vertAlign w:val="superscript"/>
              </w:rPr>
              <w:t>2</w:t>
            </w:r>
          </w:p>
        </w:tc>
      </w:tr>
    </w:tbl>
    <w:p w:rsidR="00507F76" w:rsidRDefault="00507F76"/>
    <w:p w:rsidR="00507F76" w:rsidRDefault="00507F76"/>
    <w:p w:rsidR="00507F76" w:rsidRDefault="00444330">
      <w:r>
        <w:t>The second way to consider which countries are of concern is to analyze the data by percent decrease.</w:t>
      </w:r>
    </w:p>
    <w:p w:rsidR="00507F76" w:rsidRDefault="00507F76"/>
    <w:p w:rsidR="00507F76" w:rsidRDefault="00444330">
      <w:r>
        <w:t>Table 3.2: Top 5 Percent Decrease in Forest Area by Country, 1990 &amp; 2016:</w:t>
      </w:r>
    </w:p>
    <w:p w:rsidR="00507F76" w:rsidRDefault="00507F76"/>
    <w:tbl>
      <w:tblPr>
        <w:tblStyle w:val="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F76">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Region</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 xml:space="preserve"> Country</w:t>
            </w:r>
          </w:p>
        </w:tc>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Pct Forest Area Change</w:t>
            </w:r>
          </w:p>
        </w:tc>
      </w:tr>
      <w:tr w:rsidR="00507F76">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Togo</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-75.45%</w:t>
            </w:r>
          </w:p>
        </w:tc>
      </w:tr>
      <w:tr w:rsidR="00507F76">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Nigeria</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-61.80%</w:t>
            </w:r>
          </w:p>
        </w:tc>
      </w:tr>
      <w:tr w:rsidR="00507F76">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Uganda</w:t>
            </w:r>
          </w:p>
        </w:tc>
        <w:tc>
          <w:tcPr>
            <w:tcW w:w="3120" w:type="dxa"/>
            <w:shd w:val="clear" w:color="auto" w:fill="auto"/>
            <w:tcMar>
              <w:top w:w="100" w:type="dxa"/>
              <w:left w:w="100" w:type="dxa"/>
              <w:bottom w:w="100" w:type="dxa"/>
              <w:right w:w="100" w:type="dxa"/>
            </w:tcMar>
          </w:tcPr>
          <w:p w:rsidR="00507F76" w:rsidRDefault="00BB3009">
            <w:pPr>
              <w:widowControl w:val="0"/>
              <w:spacing w:line="240" w:lineRule="auto"/>
            </w:pPr>
            <w:r>
              <w:t>-59.13%</w:t>
            </w:r>
          </w:p>
        </w:tc>
      </w:tr>
      <w:tr w:rsidR="00C50692">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Mauritania</w:t>
            </w:r>
          </w:p>
        </w:tc>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-46.75%</w:t>
            </w:r>
          </w:p>
        </w:tc>
      </w:tr>
      <w:tr w:rsidR="00C50692">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Latin America &amp; Caribbean</w:t>
            </w:r>
          </w:p>
        </w:tc>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Honduras</w:t>
            </w:r>
          </w:p>
        </w:tc>
        <w:tc>
          <w:tcPr>
            <w:tcW w:w="3120" w:type="dxa"/>
            <w:shd w:val="clear" w:color="auto" w:fill="auto"/>
            <w:tcMar>
              <w:top w:w="100" w:type="dxa"/>
              <w:left w:w="100" w:type="dxa"/>
              <w:bottom w:w="100" w:type="dxa"/>
              <w:right w:w="100" w:type="dxa"/>
            </w:tcMar>
          </w:tcPr>
          <w:p w:rsidR="00C50692" w:rsidRDefault="00BB3009">
            <w:pPr>
              <w:widowControl w:val="0"/>
              <w:spacing w:line="240" w:lineRule="auto"/>
            </w:pPr>
            <w:r>
              <w:t>-45.03%</w:t>
            </w:r>
          </w:p>
        </w:tc>
      </w:tr>
    </w:tbl>
    <w:p w:rsidR="00507F76" w:rsidRDefault="00507F76">
      <w:pPr>
        <w:rPr>
          <w:b/>
        </w:rPr>
      </w:pPr>
    </w:p>
    <w:p w:rsidR="00507F76" w:rsidRDefault="00507F76"/>
    <w:p w:rsidR="00507F76" w:rsidRDefault="00444330">
      <w:r>
        <w:t xml:space="preserve">When we consider countries that decreased in forest area the most between 1990 and 2016, we find that four of the top 5 countries on the list are in the region of </w:t>
      </w:r>
      <w:r w:rsidR="00BB3009">
        <w:t>Sub-Saharan Africa</w:t>
      </w:r>
      <w:r>
        <w:t xml:space="preserve">. The countries are </w:t>
      </w:r>
      <w:r w:rsidR="00BB3009">
        <w:t>Togo</w:t>
      </w:r>
      <w:r>
        <w:t xml:space="preserve">, </w:t>
      </w:r>
      <w:r w:rsidR="00BB3009">
        <w:t>Nigeria</w:t>
      </w:r>
      <w:r>
        <w:t xml:space="preserve">, </w:t>
      </w:r>
      <w:r w:rsidR="00BB3009">
        <w:t>Uganda</w:t>
      </w:r>
      <w:r>
        <w:t xml:space="preserve">, and </w:t>
      </w:r>
      <w:r w:rsidR="00BB3009">
        <w:t>Mauritania</w:t>
      </w:r>
      <w:r>
        <w:t xml:space="preserve">. The 5th country on the list is </w:t>
      </w:r>
      <w:r w:rsidR="00BB3009">
        <w:t>Honduras</w:t>
      </w:r>
      <w:r>
        <w:t xml:space="preserve">, which is in the </w:t>
      </w:r>
      <w:r w:rsidR="00BB3009">
        <w:t>Latin America &amp; Caribbean</w:t>
      </w:r>
      <w:r>
        <w:t xml:space="preserve"> region. </w:t>
      </w:r>
    </w:p>
    <w:p w:rsidR="00507F76" w:rsidRDefault="00507F76"/>
    <w:p w:rsidR="00507F76" w:rsidRDefault="00444330">
      <w:r>
        <w:t xml:space="preserve">From the above analysis, we see that </w:t>
      </w:r>
      <w:r w:rsidR="00BB3009">
        <w:t>Nigeria</w:t>
      </w:r>
      <w:r>
        <w:t xml:space="preserve"> is the only country that ranks in the top 5 both in terms of absolute square kilometer decrease in forest as well as percent decrease in forest area </w:t>
      </w:r>
      <w:r>
        <w:lastRenderedPageBreak/>
        <w:t>from 1990 to 2016. Therefore, this country has a significant opportunity ahead to stop the decline and hopefully spearhead remedial efforts.</w:t>
      </w:r>
    </w:p>
    <w:p w:rsidR="00507F76" w:rsidRDefault="00507F76"/>
    <w:p w:rsidR="00507F76" w:rsidRDefault="00444330">
      <w:pPr>
        <w:pStyle w:val="Heading3"/>
        <w:numPr>
          <w:ilvl w:val="0"/>
          <w:numId w:val="1"/>
        </w:numPr>
      </w:pPr>
      <w:bookmarkStart w:id="6" w:name="_10s81sreo00c" w:colFirst="0" w:colLast="0"/>
      <w:bookmarkEnd w:id="6"/>
      <w:r>
        <w:t>QUARTILES</w:t>
      </w:r>
    </w:p>
    <w:p w:rsidR="00507F76" w:rsidRDefault="00507F76"/>
    <w:p w:rsidR="00507F76" w:rsidRDefault="00507F76"/>
    <w:p w:rsidR="00507F76" w:rsidRDefault="00507F76"/>
    <w:p w:rsidR="00507F76" w:rsidRDefault="00507F76"/>
    <w:p w:rsidR="00507F76" w:rsidRDefault="00444330">
      <w:r>
        <w:t>Table 3.3: Count of Countries Grouped by Forestation Percent Quartiles, 2016:</w:t>
      </w:r>
    </w:p>
    <w:p w:rsidR="00507F76" w:rsidRDefault="00507F76"/>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07F76">
        <w:tc>
          <w:tcPr>
            <w:tcW w:w="4680" w:type="dxa"/>
            <w:shd w:val="clear" w:color="auto" w:fill="auto"/>
            <w:tcMar>
              <w:top w:w="100" w:type="dxa"/>
              <w:left w:w="100" w:type="dxa"/>
              <w:bottom w:w="100" w:type="dxa"/>
              <w:right w:w="100" w:type="dxa"/>
            </w:tcMar>
          </w:tcPr>
          <w:p w:rsidR="00507F76" w:rsidRDefault="00444330">
            <w:pPr>
              <w:widowControl w:val="0"/>
              <w:pBdr>
                <w:top w:val="nil"/>
                <w:left w:val="nil"/>
                <w:bottom w:val="nil"/>
                <w:right w:val="nil"/>
                <w:between w:val="nil"/>
              </w:pBdr>
              <w:spacing w:line="240" w:lineRule="auto"/>
            </w:pPr>
            <w:r>
              <w:t>Quartile</w:t>
            </w:r>
          </w:p>
        </w:tc>
        <w:tc>
          <w:tcPr>
            <w:tcW w:w="4680" w:type="dxa"/>
            <w:shd w:val="clear" w:color="auto" w:fill="auto"/>
            <w:tcMar>
              <w:top w:w="100" w:type="dxa"/>
              <w:left w:w="100" w:type="dxa"/>
              <w:bottom w:w="100" w:type="dxa"/>
              <w:right w:w="100" w:type="dxa"/>
            </w:tcMar>
          </w:tcPr>
          <w:p w:rsidR="00507F76" w:rsidRDefault="00444330">
            <w:pPr>
              <w:widowControl w:val="0"/>
              <w:pBdr>
                <w:top w:val="nil"/>
                <w:left w:val="nil"/>
                <w:bottom w:val="nil"/>
                <w:right w:val="nil"/>
                <w:between w:val="nil"/>
              </w:pBdr>
              <w:spacing w:line="240" w:lineRule="auto"/>
            </w:pPr>
            <w:r>
              <w:t>Number of Countries</w:t>
            </w:r>
          </w:p>
        </w:tc>
      </w:tr>
      <w:tr w:rsidR="00507F76">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4</w:t>
            </w:r>
          </w:p>
        </w:tc>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9</w:t>
            </w:r>
          </w:p>
        </w:tc>
      </w:tr>
      <w:tr w:rsidR="00507F76">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3</w:t>
            </w:r>
          </w:p>
        </w:tc>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38</w:t>
            </w:r>
          </w:p>
        </w:tc>
      </w:tr>
      <w:tr w:rsidR="00507F76">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2</w:t>
            </w:r>
          </w:p>
        </w:tc>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73</w:t>
            </w:r>
          </w:p>
        </w:tc>
      </w:tr>
      <w:tr w:rsidR="00507F76">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1</w:t>
            </w:r>
          </w:p>
        </w:tc>
        <w:tc>
          <w:tcPr>
            <w:tcW w:w="4680" w:type="dxa"/>
            <w:shd w:val="clear" w:color="auto" w:fill="auto"/>
            <w:tcMar>
              <w:top w:w="100" w:type="dxa"/>
              <w:left w:w="100" w:type="dxa"/>
              <w:bottom w:w="100" w:type="dxa"/>
              <w:right w:w="100" w:type="dxa"/>
            </w:tcMar>
          </w:tcPr>
          <w:p w:rsidR="00507F76" w:rsidRDefault="0033432B">
            <w:pPr>
              <w:widowControl w:val="0"/>
              <w:pBdr>
                <w:top w:val="nil"/>
                <w:left w:val="nil"/>
                <w:bottom w:val="nil"/>
                <w:right w:val="nil"/>
                <w:between w:val="nil"/>
              </w:pBdr>
              <w:spacing w:line="240" w:lineRule="auto"/>
            </w:pPr>
            <w:r>
              <w:t>85</w:t>
            </w:r>
          </w:p>
        </w:tc>
      </w:tr>
    </w:tbl>
    <w:p w:rsidR="00507F76" w:rsidRDefault="00507F76"/>
    <w:p w:rsidR="00507F76" w:rsidRDefault="00444330">
      <w:r>
        <w:t xml:space="preserve">The largest number of countries in 2016 were found in the </w:t>
      </w:r>
      <w:r w:rsidR="0033432B">
        <w:t>first</w:t>
      </w:r>
      <w:r>
        <w:t xml:space="preserve"> quartile.</w:t>
      </w:r>
    </w:p>
    <w:p w:rsidR="00507F76" w:rsidRDefault="00507F76"/>
    <w:p w:rsidR="00507F76" w:rsidRDefault="00444330">
      <w:r>
        <w:t xml:space="preserve">There were </w:t>
      </w:r>
      <w:r w:rsidR="0033432B">
        <w:t>9</w:t>
      </w:r>
      <w:r>
        <w:t xml:space="preserve"> countries in the top quartile in 2016. These are countries with a very high percentage of their land area designated as forest. The following is a list of countries and their respective forest land, denoted as a percentage.</w:t>
      </w:r>
    </w:p>
    <w:p w:rsidR="00507F76" w:rsidRDefault="00507F76"/>
    <w:p w:rsidR="00507F76" w:rsidRDefault="00444330">
      <w:r>
        <w:t>Table 3.4: Top Quartile Countries, 2016:</w:t>
      </w:r>
    </w:p>
    <w:p w:rsidR="00507F76" w:rsidRDefault="00444330">
      <w:r>
        <w:t xml:space="preserve"> </w:t>
      </w: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7F76">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Country</w:t>
            </w:r>
          </w:p>
        </w:tc>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Region</w:t>
            </w:r>
          </w:p>
        </w:tc>
        <w:tc>
          <w:tcPr>
            <w:tcW w:w="3120" w:type="dxa"/>
            <w:shd w:val="clear" w:color="auto" w:fill="auto"/>
            <w:tcMar>
              <w:top w:w="100" w:type="dxa"/>
              <w:left w:w="100" w:type="dxa"/>
              <w:bottom w:w="100" w:type="dxa"/>
              <w:right w:w="100" w:type="dxa"/>
            </w:tcMar>
          </w:tcPr>
          <w:p w:rsidR="00507F76" w:rsidRDefault="00444330">
            <w:pPr>
              <w:widowControl w:val="0"/>
              <w:spacing w:line="240" w:lineRule="auto"/>
            </w:pPr>
            <w:r>
              <w:t>Pct Designated as Forest</w:t>
            </w:r>
          </w:p>
        </w:tc>
      </w:tr>
      <w:tr w:rsidR="00507F76">
        <w:tc>
          <w:tcPr>
            <w:tcW w:w="3120" w:type="dxa"/>
            <w:shd w:val="clear" w:color="auto" w:fill="auto"/>
            <w:tcMar>
              <w:top w:w="100" w:type="dxa"/>
              <w:left w:w="100" w:type="dxa"/>
              <w:bottom w:w="100" w:type="dxa"/>
              <w:right w:w="100" w:type="dxa"/>
            </w:tcMar>
          </w:tcPr>
          <w:p w:rsidR="00507F76" w:rsidRDefault="0033432B">
            <w:pPr>
              <w:widowControl w:val="0"/>
              <w:spacing w:line="240" w:lineRule="auto"/>
            </w:pPr>
            <w:r>
              <w:t>Suriname</w:t>
            </w:r>
          </w:p>
        </w:tc>
        <w:tc>
          <w:tcPr>
            <w:tcW w:w="3120" w:type="dxa"/>
            <w:shd w:val="clear" w:color="auto" w:fill="auto"/>
            <w:tcMar>
              <w:top w:w="100" w:type="dxa"/>
              <w:left w:w="100" w:type="dxa"/>
              <w:bottom w:w="100" w:type="dxa"/>
              <w:right w:w="100" w:type="dxa"/>
            </w:tcMar>
          </w:tcPr>
          <w:p w:rsidR="00507F76" w:rsidRDefault="0033432B">
            <w:pPr>
              <w:widowControl w:val="0"/>
              <w:spacing w:line="240" w:lineRule="auto"/>
            </w:pPr>
            <w:r>
              <w:t>Latin America &amp; Caribbean</w:t>
            </w:r>
          </w:p>
        </w:tc>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98.26%</w:t>
            </w:r>
          </w:p>
        </w:tc>
      </w:tr>
      <w:tr w:rsidR="00507F76">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Micronesia, Fed. Sts.</w:t>
            </w:r>
          </w:p>
        </w:tc>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91.86%</w:t>
            </w:r>
          </w:p>
        </w:tc>
      </w:tr>
      <w:tr w:rsidR="00507F76">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Gabon</w:t>
            </w:r>
          </w:p>
        </w:tc>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507F76" w:rsidRDefault="003A7411">
            <w:pPr>
              <w:widowControl w:val="0"/>
              <w:spacing w:line="240" w:lineRule="auto"/>
            </w:pPr>
            <w:r>
              <w:t>90.04%</w:t>
            </w:r>
          </w:p>
        </w:tc>
      </w:tr>
      <w:tr w:rsidR="0033432B">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Seychelles</w:t>
            </w:r>
          </w:p>
        </w:tc>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Sub-Saharan Africa</w:t>
            </w:r>
          </w:p>
        </w:tc>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88.41%</w:t>
            </w:r>
          </w:p>
        </w:tc>
      </w:tr>
      <w:tr w:rsidR="0033432B">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Palau</w:t>
            </w:r>
          </w:p>
        </w:tc>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33432B" w:rsidRDefault="003A7411">
            <w:pPr>
              <w:widowControl w:val="0"/>
              <w:spacing w:line="240" w:lineRule="auto"/>
            </w:pPr>
            <w:r>
              <w:t>87.61%</w:t>
            </w:r>
          </w:p>
        </w:tc>
      </w:tr>
      <w:tr w:rsidR="003A7411">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American Samoa</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87.50%</w:t>
            </w:r>
          </w:p>
        </w:tc>
      </w:tr>
      <w:tr w:rsidR="003A7411">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Guayana</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Latin America &amp; Caribbean</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83.90%</w:t>
            </w:r>
          </w:p>
        </w:tc>
      </w:tr>
      <w:tr w:rsidR="003A7411">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Lao PDR</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82.11%</w:t>
            </w:r>
          </w:p>
        </w:tc>
      </w:tr>
      <w:tr w:rsidR="003A7411">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lastRenderedPageBreak/>
              <w:t>Solomon Islands</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East Asia &amp; Pacific</w:t>
            </w:r>
          </w:p>
        </w:tc>
        <w:tc>
          <w:tcPr>
            <w:tcW w:w="3120" w:type="dxa"/>
            <w:shd w:val="clear" w:color="auto" w:fill="auto"/>
            <w:tcMar>
              <w:top w:w="100" w:type="dxa"/>
              <w:left w:w="100" w:type="dxa"/>
              <w:bottom w:w="100" w:type="dxa"/>
              <w:right w:w="100" w:type="dxa"/>
            </w:tcMar>
          </w:tcPr>
          <w:p w:rsidR="003A7411" w:rsidRDefault="003A7411" w:rsidP="003A7411">
            <w:pPr>
              <w:widowControl w:val="0"/>
              <w:spacing w:line="240" w:lineRule="auto"/>
            </w:pPr>
            <w:r>
              <w:t>77.86%</w:t>
            </w:r>
          </w:p>
        </w:tc>
      </w:tr>
    </w:tbl>
    <w:p w:rsidR="00507F76" w:rsidRDefault="00507F76"/>
    <w:p w:rsidR="00507F76" w:rsidRPr="00C64154" w:rsidRDefault="00444330" w:rsidP="00C64154">
      <w:pPr>
        <w:pStyle w:val="Heading2"/>
      </w:pPr>
      <w:bookmarkStart w:id="7" w:name="_gsx3v1vrukr0" w:colFirst="0" w:colLast="0"/>
      <w:bookmarkEnd w:id="7"/>
      <w:r>
        <w:t>5. RECOMMENDATIONS</w:t>
      </w:r>
    </w:p>
    <w:p w:rsidR="00775C1A" w:rsidRPr="00C64154" w:rsidRDefault="00444330" w:rsidP="00775C1A">
      <w:pPr>
        <w:numPr>
          <w:ilvl w:val="0"/>
          <w:numId w:val="2"/>
        </w:numPr>
        <w:rPr>
          <w:b/>
          <w:i/>
        </w:rPr>
      </w:pPr>
      <w:r w:rsidRPr="00C64154">
        <w:rPr>
          <w:b/>
          <w:i/>
        </w:rPr>
        <w:t xml:space="preserve">What have </w:t>
      </w:r>
      <w:r w:rsidR="00236378">
        <w:rPr>
          <w:b/>
          <w:i/>
        </w:rPr>
        <w:t>we</w:t>
      </w:r>
      <w:r w:rsidRPr="00C64154">
        <w:rPr>
          <w:b/>
          <w:i/>
        </w:rPr>
        <w:t xml:space="preserve"> learned from the World Bank data? </w:t>
      </w:r>
    </w:p>
    <w:p w:rsidR="00775C1A" w:rsidRDefault="00775C1A" w:rsidP="00775C1A">
      <w:pPr>
        <w:ind w:left="720"/>
        <w:rPr>
          <w:i/>
        </w:rPr>
      </w:pPr>
    </w:p>
    <w:p w:rsidR="00775C1A" w:rsidRPr="00236378" w:rsidRDefault="00775C1A" w:rsidP="00775C1A">
      <w:pPr>
        <w:ind w:left="720"/>
        <w:rPr>
          <w:bCs/>
          <w:i/>
          <w:lang w:val="en-US"/>
        </w:rPr>
      </w:pPr>
      <w:r w:rsidRPr="00236378">
        <w:rPr>
          <w:bCs/>
          <w:i/>
          <w:lang w:val="en-US"/>
        </w:rPr>
        <w:t>We found out that the total forestarea around the world lost around 1,324,449 km</w:t>
      </w:r>
      <w:r w:rsidRPr="00236378">
        <w:rPr>
          <w:bCs/>
          <w:i/>
          <w:vertAlign w:val="superscript"/>
          <w:lang w:val="en-US"/>
        </w:rPr>
        <w:t xml:space="preserve">2 </w:t>
      </w:r>
      <w:r w:rsidRPr="00236378">
        <w:rPr>
          <w:bCs/>
          <w:i/>
          <w:lang w:val="en-US"/>
        </w:rPr>
        <w:t xml:space="preserve">which equals 3.208%. </w:t>
      </w:r>
      <w:r w:rsidR="00B559FF" w:rsidRPr="00236378">
        <w:rPr>
          <w:bCs/>
          <w:i/>
          <w:lang w:val="en-US"/>
        </w:rPr>
        <w:t xml:space="preserve">In fact only </w:t>
      </w:r>
      <w:r w:rsidR="00B559FF" w:rsidRPr="00236378">
        <w:rPr>
          <w:i/>
        </w:rPr>
        <w:t>Latin America &amp; Caribbean (dropped from 51.03% to 46.16%) and Sub-Saharan Africa (30.67% to 28.79%) were the only 2 regions which dropped in forestarea. All other regions increased their value.</w:t>
      </w:r>
    </w:p>
    <w:p w:rsidR="00775C1A" w:rsidRPr="00775C1A" w:rsidRDefault="00775C1A" w:rsidP="00775C1A">
      <w:pPr>
        <w:ind w:left="720"/>
        <w:rPr>
          <w:i/>
          <w:lang w:val="en-US"/>
        </w:rPr>
      </w:pPr>
    </w:p>
    <w:p w:rsidR="003F54FE" w:rsidRDefault="00444330" w:rsidP="003F54FE">
      <w:pPr>
        <w:numPr>
          <w:ilvl w:val="0"/>
          <w:numId w:val="2"/>
        </w:numPr>
        <w:rPr>
          <w:b/>
          <w:i/>
        </w:rPr>
      </w:pPr>
      <w:r w:rsidRPr="00C64154">
        <w:rPr>
          <w:b/>
          <w:i/>
        </w:rPr>
        <w:t>Which countries should we focus on over others?</w:t>
      </w:r>
    </w:p>
    <w:p w:rsidR="00C64154" w:rsidRPr="00C64154" w:rsidRDefault="00C64154" w:rsidP="00C64154">
      <w:pPr>
        <w:ind w:left="720"/>
        <w:rPr>
          <w:b/>
          <w:i/>
        </w:rPr>
      </w:pPr>
    </w:p>
    <w:p w:rsidR="001F6E35" w:rsidRPr="00FD62F8" w:rsidRDefault="00B559FF" w:rsidP="00FD62F8">
      <w:pPr>
        <w:ind w:left="720"/>
        <w:rPr>
          <w:i/>
        </w:rPr>
      </w:pPr>
      <w:r>
        <w:rPr>
          <w:i/>
        </w:rPr>
        <w:t>We should focus on the countr</w:t>
      </w:r>
      <w:r w:rsidR="00C64154">
        <w:rPr>
          <w:i/>
        </w:rPr>
        <w:t>ie</w:t>
      </w:r>
      <w:r>
        <w:rPr>
          <w:i/>
        </w:rPr>
        <w:t xml:space="preserve">s with the biggest absolute forest area decrease like Brazil, Indonesia, Myanmar…. It is also worth focusing on China, which has the biggest </w:t>
      </w:r>
      <w:r w:rsidR="00C64154">
        <w:rPr>
          <w:i/>
        </w:rPr>
        <w:t>increase in absolute forest area and combining the strategies with the named countries, which are decreasing.</w:t>
      </w:r>
      <w:bookmarkStart w:id="8" w:name="_GoBack"/>
      <w:bookmarkEnd w:id="8"/>
    </w:p>
    <w:sectPr w:rsidR="001F6E35" w:rsidRPr="00FD62F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3BC7" w:rsidRDefault="00833BC7" w:rsidP="006306D1">
      <w:pPr>
        <w:spacing w:line="240" w:lineRule="auto"/>
      </w:pPr>
      <w:r>
        <w:separator/>
      </w:r>
    </w:p>
  </w:endnote>
  <w:endnote w:type="continuationSeparator" w:id="0">
    <w:p w:rsidR="00833BC7" w:rsidRDefault="00833BC7" w:rsidP="006306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3BC7" w:rsidRDefault="00833BC7" w:rsidP="006306D1">
      <w:pPr>
        <w:spacing w:line="240" w:lineRule="auto"/>
      </w:pPr>
      <w:r>
        <w:separator/>
      </w:r>
    </w:p>
  </w:footnote>
  <w:footnote w:type="continuationSeparator" w:id="0">
    <w:p w:rsidR="00833BC7" w:rsidRDefault="00833BC7" w:rsidP="006306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20DCA"/>
    <w:multiLevelType w:val="multilevel"/>
    <w:tmpl w:val="8634F2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0696792"/>
    <w:multiLevelType w:val="hybridMultilevel"/>
    <w:tmpl w:val="5C188F5E"/>
    <w:lvl w:ilvl="0" w:tplc="60B20ADE">
      <w:start w:val="2"/>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64A6C94"/>
    <w:multiLevelType w:val="hybridMultilevel"/>
    <w:tmpl w:val="654CB562"/>
    <w:lvl w:ilvl="0" w:tplc="A61024FC">
      <w:start w:val="2"/>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5286591"/>
    <w:multiLevelType w:val="multilevel"/>
    <w:tmpl w:val="8634F2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8A60E38"/>
    <w:multiLevelType w:val="multilevel"/>
    <w:tmpl w:val="588E9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AE4523"/>
    <w:multiLevelType w:val="multilevel"/>
    <w:tmpl w:val="8634F2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F00854"/>
    <w:multiLevelType w:val="multilevel"/>
    <w:tmpl w:val="8634F2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4"/>
  </w:num>
  <w:num w:numId="3">
    <w:abstractNumId w:val="3"/>
  </w:num>
  <w:num w:numId="4">
    <w:abstractNumId w:val="6"/>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activeWritingStyle w:appName="MSWord" w:lang="en-US" w:vendorID="64" w:dllVersion="4096"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76"/>
    <w:rsid w:val="00012C69"/>
    <w:rsid w:val="00117C27"/>
    <w:rsid w:val="00170C05"/>
    <w:rsid w:val="001E32AC"/>
    <w:rsid w:val="001F6E35"/>
    <w:rsid w:val="00236378"/>
    <w:rsid w:val="0031484C"/>
    <w:rsid w:val="0033432B"/>
    <w:rsid w:val="003A7411"/>
    <w:rsid w:val="003E4A21"/>
    <w:rsid w:val="003F54FE"/>
    <w:rsid w:val="00400827"/>
    <w:rsid w:val="00444330"/>
    <w:rsid w:val="004C354B"/>
    <w:rsid w:val="00507F76"/>
    <w:rsid w:val="005508F5"/>
    <w:rsid w:val="005611C5"/>
    <w:rsid w:val="0056138C"/>
    <w:rsid w:val="00576642"/>
    <w:rsid w:val="00601654"/>
    <w:rsid w:val="006020B9"/>
    <w:rsid w:val="00605FDD"/>
    <w:rsid w:val="006130A3"/>
    <w:rsid w:val="006306D1"/>
    <w:rsid w:val="00645691"/>
    <w:rsid w:val="006B13BD"/>
    <w:rsid w:val="00747A85"/>
    <w:rsid w:val="00775C1A"/>
    <w:rsid w:val="00833BC7"/>
    <w:rsid w:val="008E3A81"/>
    <w:rsid w:val="00910DB6"/>
    <w:rsid w:val="009C2E58"/>
    <w:rsid w:val="00A33312"/>
    <w:rsid w:val="00AE101D"/>
    <w:rsid w:val="00B559FF"/>
    <w:rsid w:val="00B84B7C"/>
    <w:rsid w:val="00BB3009"/>
    <w:rsid w:val="00BC4BD2"/>
    <w:rsid w:val="00C50692"/>
    <w:rsid w:val="00C64154"/>
    <w:rsid w:val="00D75024"/>
    <w:rsid w:val="00DA6BB5"/>
    <w:rsid w:val="00E077D5"/>
    <w:rsid w:val="00F2089E"/>
    <w:rsid w:val="00FD62F8"/>
    <w:rsid w:val="00FF52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B496"/>
  <w15:docId w15:val="{62A5E56F-12C2-5849-91BC-B037E3C7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54F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F54FE"/>
    <w:pPr>
      <w:ind w:left="720"/>
      <w:contextualSpacing/>
    </w:pPr>
  </w:style>
  <w:style w:type="paragraph" w:styleId="Revision">
    <w:name w:val="Revision"/>
    <w:hidden/>
    <w:uiPriority w:val="99"/>
    <w:semiHidden/>
    <w:rsid w:val="003F54FE"/>
    <w:pPr>
      <w:spacing w:line="240" w:lineRule="auto"/>
    </w:pPr>
  </w:style>
  <w:style w:type="paragraph" w:styleId="NormalWeb">
    <w:name w:val="Normal (Web)"/>
    <w:basedOn w:val="Normal"/>
    <w:uiPriority w:val="99"/>
    <w:semiHidden/>
    <w:unhideWhenUsed/>
    <w:rsid w:val="006130A3"/>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apple-converted-space">
    <w:name w:val="apple-converted-space"/>
    <w:basedOn w:val="DefaultParagraphFont"/>
    <w:rsid w:val="006130A3"/>
  </w:style>
  <w:style w:type="paragraph" w:styleId="Header">
    <w:name w:val="header"/>
    <w:basedOn w:val="Normal"/>
    <w:link w:val="HeaderChar"/>
    <w:uiPriority w:val="99"/>
    <w:unhideWhenUsed/>
    <w:rsid w:val="006306D1"/>
    <w:pPr>
      <w:tabs>
        <w:tab w:val="center" w:pos="4536"/>
        <w:tab w:val="right" w:pos="9072"/>
      </w:tabs>
      <w:spacing w:line="240" w:lineRule="auto"/>
    </w:pPr>
  </w:style>
  <w:style w:type="character" w:customStyle="1" w:styleId="HeaderChar">
    <w:name w:val="Header Char"/>
    <w:basedOn w:val="DefaultParagraphFont"/>
    <w:link w:val="Header"/>
    <w:uiPriority w:val="99"/>
    <w:rsid w:val="006306D1"/>
  </w:style>
  <w:style w:type="paragraph" w:styleId="Footer">
    <w:name w:val="footer"/>
    <w:basedOn w:val="Normal"/>
    <w:link w:val="FooterChar"/>
    <w:uiPriority w:val="99"/>
    <w:unhideWhenUsed/>
    <w:rsid w:val="006306D1"/>
    <w:pPr>
      <w:tabs>
        <w:tab w:val="center" w:pos="4536"/>
        <w:tab w:val="right" w:pos="9072"/>
      </w:tabs>
      <w:spacing w:line="240" w:lineRule="auto"/>
    </w:pPr>
  </w:style>
  <w:style w:type="character" w:customStyle="1" w:styleId="FooterChar">
    <w:name w:val="Footer Char"/>
    <w:basedOn w:val="DefaultParagraphFont"/>
    <w:link w:val="Footer"/>
    <w:uiPriority w:val="99"/>
    <w:rsid w:val="00630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5993">
      <w:bodyDiv w:val="1"/>
      <w:marLeft w:val="0"/>
      <w:marRight w:val="0"/>
      <w:marTop w:val="0"/>
      <w:marBottom w:val="0"/>
      <w:divBdr>
        <w:top w:val="none" w:sz="0" w:space="0" w:color="auto"/>
        <w:left w:val="none" w:sz="0" w:space="0" w:color="auto"/>
        <w:bottom w:val="none" w:sz="0" w:space="0" w:color="auto"/>
        <w:right w:val="none" w:sz="0" w:space="0" w:color="auto"/>
      </w:divBdr>
    </w:div>
    <w:div w:id="512181893">
      <w:bodyDiv w:val="1"/>
      <w:marLeft w:val="0"/>
      <w:marRight w:val="0"/>
      <w:marTop w:val="0"/>
      <w:marBottom w:val="0"/>
      <w:divBdr>
        <w:top w:val="none" w:sz="0" w:space="0" w:color="auto"/>
        <w:left w:val="none" w:sz="0" w:space="0" w:color="auto"/>
        <w:bottom w:val="none" w:sz="0" w:space="0" w:color="auto"/>
        <w:right w:val="none" w:sz="0" w:space="0" w:color="auto"/>
      </w:divBdr>
    </w:div>
    <w:div w:id="655961775">
      <w:bodyDiv w:val="1"/>
      <w:marLeft w:val="0"/>
      <w:marRight w:val="0"/>
      <w:marTop w:val="0"/>
      <w:marBottom w:val="0"/>
      <w:divBdr>
        <w:top w:val="none" w:sz="0" w:space="0" w:color="auto"/>
        <w:left w:val="none" w:sz="0" w:space="0" w:color="auto"/>
        <w:bottom w:val="none" w:sz="0" w:space="0" w:color="auto"/>
        <w:right w:val="none" w:sz="0" w:space="0" w:color="auto"/>
      </w:divBdr>
    </w:div>
    <w:div w:id="1008411988">
      <w:bodyDiv w:val="1"/>
      <w:marLeft w:val="0"/>
      <w:marRight w:val="0"/>
      <w:marTop w:val="0"/>
      <w:marBottom w:val="0"/>
      <w:divBdr>
        <w:top w:val="none" w:sz="0" w:space="0" w:color="auto"/>
        <w:left w:val="none" w:sz="0" w:space="0" w:color="auto"/>
        <w:bottom w:val="none" w:sz="0" w:space="0" w:color="auto"/>
        <w:right w:val="none" w:sz="0" w:space="0" w:color="auto"/>
      </w:divBdr>
    </w:div>
    <w:div w:id="1204713397">
      <w:bodyDiv w:val="1"/>
      <w:marLeft w:val="0"/>
      <w:marRight w:val="0"/>
      <w:marTop w:val="0"/>
      <w:marBottom w:val="0"/>
      <w:divBdr>
        <w:top w:val="none" w:sz="0" w:space="0" w:color="auto"/>
        <w:left w:val="none" w:sz="0" w:space="0" w:color="auto"/>
        <w:bottom w:val="none" w:sz="0" w:space="0" w:color="auto"/>
        <w:right w:val="none" w:sz="0" w:space="0" w:color="auto"/>
      </w:divBdr>
    </w:div>
    <w:div w:id="1332564673">
      <w:bodyDiv w:val="1"/>
      <w:marLeft w:val="0"/>
      <w:marRight w:val="0"/>
      <w:marTop w:val="0"/>
      <w:marBottom w:val="0"/>
      <w:divBdr>
        <w:top w:val="none" w:sz="0" w:space="0" w:color="auto"/>
        <w:left w:val="none" w:sz="0" w:space="0" w:color="auto"/>
        <w:bottom w:val="none" w:sz="0" w:space="0" w:color="auto"/>
        <w:right w:val="none" w:sz="0" w:space="0" w:color="auto"/>
      </w:divBdr>
      <w:divsChild>
        <w:div w:id="425269932">
          <w:marLeft w:val="0"/>
          <w:marRight w:val="0"/>
          <w:marTop w:val="0"/>
          <w:marBottom w:val="0"/>
          <w:divBdr>
            <w:top w:val="none" w:sz="0" w:space="0" w:color="auto"/>
            <w:left w:val="none" w:sz="0" w:space="0" w:color="auto"/>
            <w:bottom w:val="none" w:sz="0" w:space="0" w:color="auto"/>
            <w:right w:val="none" w:sz="0" w:space="0" w:color="auto"/>
          </w:divBdr>
          <w:divsChild>
            <w:div w:id="878517127">
              <w:marLeft w:val="0"/>
              <w:marRight w:val="0"/>
              <w:marTop w:val="0"/>
              <w:marBottom w:val="0"/>
              <w:divBdr>
                <w:top w:val="none" w:sz="0" w:space="0" w:color="auto"/>
                <w:left w:val="none" w:sz="0" w:space="0" w:color="auto"/>
                <w:bottom w:val="none" w:sz="0" w:space="0" w:color="auto"/>
                <w:right w:val="none" w:sz="0" w:space="0" w:color="auto"/>
              </w:divBdr>
              <w:divsChild>
                <w:div w:id="3349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76077">
      <w:bodyDiv w:val="1"/>
      <w:marLeft w:val="0"/>
      <w:marRight w:val="0"/>
      <w:marTop w:val="0"/>
      <w:marBottom w:val="0"/>
      <w:divBdr>
        <w:top w:val="none" w:sz="0" w:space="0" w:color="auto"/>
        <w:left w:val="none" w:sz="0" w:space="0" w:color="auto"/>
        <w:bottom w:val="none" w:sz="0" w:space="0" w:color="auto"/>
        <w:right w:val="none" w:sz="0" w:space="0" w:color="auto"/>
      </w:divBdr>
    </w:div>
    <w:div w:id="2064284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985</Words>
  <Characters>5620</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Kremer</dc:creator>
  <cp:keywords/>
  <dc:description/>
  <cp:lastModifiedBy>Kirill Kremer</cp:lastModifiedBy>
  <cp:revision>6</cp:revision>
  <dcterms:created xsi:type="dcterms:W3CDTF">2022-05-23T10:27:00Z</dcterms:created>
  <dcterms:modified xsi:type="dcterms:W3CDTF">2023-09-25T23:19:00Z</dcterms:modified>
</cp:coreProperties>
</file>