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6B0C" w14:textId="188183FA" w:rsidR="002A51BE" w:rsidRPr="009C5C34" w:rsidRDefault="00D97C79" w:rsidP="009C5C34">
      <w:pPr>
        <w:pStyle w:val="1"/>
        <w:spacing w:before="0" w:after="0"/>
        <w:rPr>
          <w:rFonts w:ascii="Times New Roman" w:hAnsi="Times New Roman" w:cs="Times New Roman"/>
          <w:szCs w:val="32"/>
        </w:rPr>
      </w:pPr>
      <w:bookmarkStart w:id="0" w:name="экспериментальное-исследование"/>
      <w:r w:rsidRPr="009C5C34">
        <w:rPr>
          <w:rFonts w:ascii="Times New Roman" w:hAnsi="Times New Roman" w:cs="Times New Roman"/>
          <w:szCs w:val="32"/>
        </w:rPr>
        <w:t>5</w:t>
      </w:r>
      <w:r w:rsidR="00A97DF9" w:rsidRPr="009C5C34">
        <w:rPr>
          <w:rFonts w:ascii="Times New Roman" w:hAnsi="Times New Roman" w:cs="Times New Roman"/>
          <w:szCs w:val="32"/>
        </w:rPr>
        <w:tab/>
        <w:t>Экспериментальное исследование</w:t>
      </w:r>
    </w:p>
    <w:p w14:paraId="25E71812" w14:textId="2AB2E0FB" w:rsidR="002A51BE" w:rsidRDefault="00A97DF9" w:rsidP="009C5C34">
      <w:pPr>
        <w:rPr>
          <w:szCs w:val="28"/>
          <w:lang w:val="en-US"/>
        </w:rPr>
      </w:pPr>
      <w:r w:rsidRPr="009C5C34">
        <w:rPr>
          <w:szCs w:val="28"/>
        </w:rPr>
        <w:t>В настоящей главе фиксируется методика (5.1), затем — базовые конфигурации без атак (5.2). Раздел 5.3 содержит основную матрицу «атака × защита × ДП» в обоих сценариях; раздел 5.4 — анализ чувствительности к параметрам (доля вредоносных, бюджет приватности, степень неоднородности данных, длина горизонта обучения). Приватность оценивается отдельно (5.5), накладные расходы доверенной среды — в 5.6. Раздел 5.7 фиксирует остаточные угрозы и границы применимости архитектуры.</w:t>
      </w:r>
    </w:p>
    <w:p w14:paraId="6C6C68BA" w14:textId="77777777" w:rsidR="009C5C34" w:rsidRPr="009C5C34" w:rsidRDefault="009C5C34" w:rsidP="009C5C34">
      <w:pPr>
        <w:rPr>
          <w:szCs w:val="28"/>
          <w:lang w:val="en-US"/>
        </w:rPr>
      </w:pPr>
    </w:p>
    <w:p w14:paraId="2D932E20" w14:textId="3145DCBA" w:rsidR="002A51BE" w:rsidRPr="009C5C34" w:rsidRDefault="003F215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" w:name="методика"/>
      <w:r w:rsidRPr="009C5C34">
        <w:rPr>
          <w:rFonts w:ascii="Times New Roman" w:hAnsi="Times New Roman" w:cs="Times New Roman"/>
          <w:szCs w:val="28"/>
        </w:rPr>
        <w:t>5</w:t>
      </w:r>
      <w:r w:rsidR="00A97DF9" w:rsidRPr="009C5C34">
        <w:rPr>
          <w:rFonts w:ascii="Times New Roman" w:hAnsi="Times New Roman" w:cs="Times New Roman"/>
          <w:szCs w:val="28"/>
        </w:rPr>
        <w:t>.1</w:t>
      </w:r>
      <w:r w:rsidR="00A97DF9" w:rsidRPr="009C5C34">
        <w:rPr>
          <w:rFonts w:ascii="Times New Roman" w:hAnsi="Times New Roman" w:cs="Times New Roman"/>
          <w:szCs w:val="28"/>
        </w:rPr>
        <w:tab/>
        <w:t>Методика</w:t>
      </w:r>
    </w:p>
    <w:p w14:paraId="025D5553" w14:textId="2591C538" w:rsidR="002A51BE" w:rsidRPr="009C5C34" w:rsidRDefault="003F215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2" w:name="сценарии-и-исследуемые-конфигурации"/>
      <w:r w:rsidRPr="009C5C34">
        <w:rPr>
          <w:rFonts w:ascii="Times New Roman" w:hAnsi="Times New Roman" w:cs="Times New Roman"/>
          <w:szCs w:val="28"/>
        </w:rPr>
        <w:t>5</w:t>
      </w:r>
      <w:r w:rsidR="00A97DF9" w:rsidRPr="009C5C34">
        <w:rPr>
          <w:rFonts w:ascii="Times New Roman" w:hAnsi="Times New Roman" w:cs="Times New Roman"/>
          <w:szCs w:val="28"/>
        </w:rPr>
        <w:t>.1.1</w:t>
      </w:r>
      <w:r w:rsidR="00A97DF9" w:rsidRPr="009C5C34">
        <w:rPr>
          <w:rFonts w:ascii="Times New Roman" w:hAnsi="Times New Roman" w:cs="Times New Roman"/>
          <w:szCs w:val="28"/>
        </w:rPr>
        <w:tab/>
        <w:t>Сценарии и исследуемые конфигурации</w:t>
      </w:r>
    </w:p>
    <w:p w14:paraId="519F0082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Эксперименты разворачиваются в двух сценариях, зафиксированных в подразделе 1.2 главы 1. Параметры обоих сценариев сведены в таблицу 5.1.</w:t>
      </w:r>
    </w:p>
    <w:p w14:paraId="5BE34D46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 — Параметры экспериментальных сценариев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917"/>
        <w:gridCol w:w="3259"/>
        <w:gridCol w:w="3395"/>
      </w:tblGrid>
      <w:tr w:rsidR="002A51BE" w:rsidRPr="009C5C34" w14:paraId="21F34874" w14:textId="77777777">
        <w:trPr>
          <w:tblHeader/>
        </w:trPr>
        <w:tc>
          <w:tcPr>
            <w:tcW w:w="0" w:type="auto"/>
          </w:tcPr>
          <w:p w14:paraId="3A18634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Параметр</w:t>
            </w:r>
          </w:p>
        </w:tc>
        <w:tc>
          <w:tcPr>
            <w:tcW w:w="0" w:type="auto"/>
          </w:tcPr>
          <w:p w14:paraId="54A657E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Межустройственный (CD)</w:t>
            </w:r>
          </w:p>
        </w:tc>
        <w:tc>
          <w:tcPr>
            <w:tcW w:w="0" w:type="auto"/>
          </w:tcPr>
          <w:p w14:paraId="0C86944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Межорганизационный (CS)</w:t>
            </w:r>
          </w:p>
        </w:tc>
      </w:tr>
      <w:tr w:rsidR="002A51BE" w:rsidRPr="009C5C34" w14:paraId="47C1A089" w14:textId="77777777">
        <w:tc>
          <w:tcPr>
            <w:tcW w:w="0" w:type="auto"/>
          </w:tcPr>
          <w:p w14:paraId="0D2F49C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Датасет</w:t>
            </w:r>
          </w:p>
        </w:tc>
        <w:tc>
          <w:tcPr>
            <w:tcW w:w="0" w:type="auto"/>
          </w:tcPr>
          <w:p w14:paraId="6A2D531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Fashion-MNIST (60K/10K)</w:t>
            </w:r>
          </w:p>
        </w:tc>
        <w:tc>
          <w:tcPr>
            <w:tcW w:w="0" w:type="auto"/>
          </w:tcPr>
          <w:p w14:paraId="67DA963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SVHN (73K/26K)</w:t>
            </w:r>
          </w:p>
        </w:tc>
      </w:tr>
      <w:tr w:rsidR="002A51BE" w:rsidRPr="009C5C34" w14:paraId="1FBF6AE9" w14:textId="77777777">
        <w:tc>
          <w:tcPr>
            <w:tcW w:w="0" w:type="auto"/>
          </w:tcPr>
          <w:p w14:paraId="6A38787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Модель</w:t>
            </w:r>
          </w:p>
        </w:tc>
        <w:tc>
          <w:tcPr>
            <w:tcW w:w="0" w:type="auto"/>
          </w:tcPr>
          <w:p w14:paraId="13725F2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MicroMNIST, </w:t>
            </w: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4266</m:t>
              </m:r>
            </m:oMath>
          </w:p>
        </w:tc>
        <w:tc>
          <w:tcPr>
            <w:tcW w:w="0" w:type="auto"/>
          </w:tcPr>
          <w:p w14:paraId="25B805B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SVHNCNN, </w:t>
            </w: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89834</m:t>
              </m:r>
            </m:oMath>
          </w:p>
        </w:tc>
      </w:tr>
      <w:tr w:rsidR="002A51BE" w:rsidRPr="009C5C34" w14:paraId="05198A97" w14:textId="77777777">
        <w:tc>
          <w:tcPr>
            <w:tcW w:w="0" w:type="auto"/>
          </w:tcPr>
          <w:p w14:paraId="0D75400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Число клиентов </w:t>
            </w:r>
            <m:oMath>
              <m:r>
                <w:rPr>
                  <w:rFonts w:ascii="Cambria Math" w:hAnsi="Cambria Math"/>
                  <w:szCs w:val="28"/>
                </w:rPr>
                <m:t>N</m:t>
              </m:r>
            </m:oMath>
          </w:p>
        </w:tc>
        <w:tc>
          <w:tcPr>
            <w:tcW w:w="0" w:type="auto"/>
          </w:tcPr>
          <w:p w14:paraId="66269FD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200</w:t>
            </w:r>
          </w:p>
        </w:tc>
        <w:tc>
          <w:tcPr>
            <w:tcW w:w="0" w:type="auto"/>
          </w:tcPr>
          <w:p w14:paraId="72CEDDA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50</w:t>
            </w:r>
          </w:p>
        </w:tc>
      </w:tr>
      <w:tr w:rsidR="002A51BE" w:rsidRPr="009C5C34" w14:paraId="0EA3C29A" w14:textId="77777777">
        <w:tc>
          <w:tcPr>
            <w:tcW w:w="0" w:type="auto"/>
          </w:tcPr>
          <w:p w14:paraId="3FE6645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Клиентов в раунде</w:t>
            </w:r>
          </w:p>
        </w:tc>
        <w:tc>
          <w:tcPr>
            <w:tcW w:w="0" w:type="auto"/>
          </w:tcPr>
          <w:p w14:paraId="04A48B9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40 (</w:t>
            </w:r>
            <m:oMath>
              <m: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2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378BF0D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40 (</w:t>
            </w:r>
            <m:oMath>
              <m:r>
                <w:rPr>
                  <w:rFonts w:ascii="Cambria Math" w:hAnsi="Cambria Math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</m:t>
              </m:r>
            </m:oMath>
            <w:r w:rsidRPr="009C5C34">
              <w:rPr>
                <w:szCs w:val="28"/>
              </w:rPr>
              <w:t>)</w:t>
            </w:r>
          </w:p>
        </w:tc>
      </w:tr>
      <w:tr w:rsidR="002A51BE" w:rsidRPr="009C5C34" w14:paraId="1F29FFD6" w14:textId="77777777">
        <w:tc>
          <w:tcPr>
            <w:tcW w:w="0" w:type="auto"/>
          </w:tcPr>
          <w:p w14:paraId="3B6D348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Локальных эпох </w:t>
            </w:r>
            <m:oMath>
              <m:r>
                <w:rPr>
                  <w:rFonts w:ascii="Cambria Math" w:hAnsi="Cambria Math"/>
                  <w:szCs w:val="28"/>
                </w:rPr>
                <m:t>E</m:t>
              </m:r>
            </m:oMath>
          </w:p>
        </w:tc>
        <w:tc>
          <w:tcPr>
            <w:tcW w:w="0" w:type="auto"/>
          </w:tcPr>
          <w:p w14:paraId="6785342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7C2E817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 (FedSGD-стиль)</w:t>
            </w:r>
          </w:p>
        </w:tc>
      </w:tr>
      <w:tr w:rsidR="002A51BE" w:rsidRPr="009C5C34" w14:paraId="048EB07F" w14:textId="77777777">
        <w:tc>
          <w:tcPr>
            <w:tcW w:w="0" w:type="auto"/>
          </w:tcPr>
          <w:p w14:paraId="2948786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Размер батча </w:t>
            </w:r>
            <m:oMath>
              <m:r>
                <w:rPr>
                  <w:rFonts w:ascii="Cambria Math" w:hAnsi="Cambria Math"/>
                  <w:szCs w:val="28"/>
                </w:rPr>
                <m:t>B</m:t>
              </m:r>
            </m:oMath>
          </w:p>
        </w:tc>
        <w:tc>
          <w:tcPr>
            <w:tcW w:w="0" w:type="auto"/>
          </w:tcPr>
          <w:p w14:paraId="5C3FE21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32</w:t>
            </w:r>
          </w:p>
        </w:tc>
        <w:tc>
          <w:tcPr>
            <w:tcW w:w="0" w:type="auto"/>
          </w:tcPr>
          <w:p w14:paraId="19D1113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32</w:t>
            </w:r>
          </w:p>
        </w:tc>
      </w:tr>
      <w:tr w:rsidR="002A51BE" w:rsidRPr="009C5C34" w14:paraId="7E49A921" w14:textId="77777777">
        <w:tc>
          <w:tcPr>
            <w:tcW w:w="0" w:type="auto"/>
          </w:tcPr>
          <w:p w14:paraId="7115A41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Раундов </w:t>
            </w:r>
            <m:oMath>
              <m:r>
                <w:rPr>
                  <w:rFonts w:ascii="Cambria Math" w:hAnsi="Cambria Math"/>
                  <w:szCs w:val="28"/>
                </w:rPr>
                <m:t>T</m:t>
              </m:r>
            </m:oMath>
          </w:p>
        </w:tc>
        <w:tc>
          <w:tcPr>
            <w:tcW w:w="0" w:type="auto"/>
          </w:tcPr>
          <w:p w14:paraId="664604A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200</w:t>
            </w:r>
          </w:p>
        </w:tc>
        <w:tc>
          <w:tcPr>
            <w:tcW w:w="0" w:type="auto"/>
          </w:tcPr>
          <w:p w14:paraId="272CD73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200</w:t>
            </w:r>
          </w:p>
        </w:tc>
      </w:tr>
      <w:tr w:rsidR="002A51BE" w:rsidRPr="009C5C34" w14:paraId="7122F78C" w14:textId="77777777">
        <w:tc>
          <w:tcPr>
            <w:tcW w:w="0" w:type="auto"/>
          </w:tcPr>
          <w:p w14:paraId="6AEA47C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lastRenderedPageBreak/>
              <w:t>Доля вредоносных</w:t>
            </w:r>
          </w:p>
        </w:tc>
        <w:tc>
          <w:tcPr>
            <w:tcW w:w="0" w:type="auto"/>
          </w:tcPr>
          <w:p w14:paraId="38CF9F30" w14:textId="77777777" w:rsidR="002A51BE" w:rsidRPr="009C5C34" w:rsidRDefault="00276465" w:rsidP="009C5C34">
            <w:pPr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szCs w:val="28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80</m:t>
              </m:r>
            </m:oMath>
            <w:r w:rsidR="00A97DF9" w:rsidRPr="009C5C34">
              <w:rPr>
                <w:szCs w:val="28"/>
              </w:rPr>
              <w:t xml:space="preserve"> (40 %)</w:t>
            </w:r>
          </w:p>
        </w:tc>
        <w:tc>
          <w:tcPr>
            <w:tcW w:w="0" w:type="auto"/>
          </w:tcPr>
          <w:p w14:paraId="101AD9D2" w14:textId="77777777" w:rsidR="002A51BE" w:rsidRPr="009C5C34" w:rsidRDefault="00276465" w:rsidP="009C5C34">
            <w:pPr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szCs w:val="28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20</m:t>
              </m:r>
            </m:oMath>
            <w:r w:rsidR="00A97DF9" w:rsidRPr="009C5C34">
              <w:rPr>
                <w:szCs w:val="28"/>
              </w:rPr>
              <w:t xml:space="preserve"> (40 %)</w:t>
            </w:r>
          </w:p>
        </w:tc>
      </w:tr>
      <w:tr w:rsidR="002A51BE" w:rsidRPr="009C5C34" w14:paraId="2CB5BA5E" w14:textId="77777777">
        <w:tc>
          <w:tcPr>
            <w:tcW w:w="0" w:type="auto"/>
          </w:tcPr>
          <w:p w14:paraId="657FA0C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Уровень ДП</w:t>
            </w:r>
          </w:p>
        </w:tc>
        <w:tc>
          <w:tcPr>
            <w:tcW w:w="0" w:type="auto"/>
          </w:tcPr>
          <w:p w14:paraId="6C47FA4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клиентский</w:t>
            </w:r>
          </w:p>
        </w:tc>
        <w:tc>
          <w:tcPr>
            <w:tcW w:w="0" w:type="auto"/>
          </w:tcPr>
          <w:p w14:paraId="2059B65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записей</w:t>
            </w:r>
          </w:p>
        </w:tc>
      </w:tr>
      <w:tr w:rsidR="002A51BE" w:rsidRPr="009C5C34" w14:paraId="718BA572" w14:textId="77777777">
        <w:tc>
          <w:tcPr>
            <w:tcW w:w="0" w:type="auto"/>
          </w:tcPr>
          <w:p w14:paraId="52BB84E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Бюджет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</m:oMath>
          </w:p>
        </w:tc>
        <w:tc>
          <w:tcPr>
            <w:tcW w:w="0" w:type="auto"/>
          </w:tcPr>
          <w:p w14:paraId="7EE6B38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{</m:t>
                </m:r>
                <m:r>
                  <w:rPr>
                    <w:rFonts w:ascii="Cambria Math" w:hAnsi="Cambria Math"/>
                    <w:szCs w:val="28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}</m:t>
                </m:r>
              </m:oMath>
            </m:oMathPara>
          </w:p>
        </w:tc>
        <w:tc>
          <w:tcPr>
            <w:tcW w:w="0" w:type="auto"/>
          </w:tcPr>
          <w:p w14:paraId="7382874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{</m:t>
                </m:r>
                <m:r>
                  <w:rPr>
                    <w:rFonts w:ascii="Cambria Math" w:hAnsi="Cambria Math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}</m:t>
                </m:r>
              </m:oMath>
            </m:oMathPara>
          </w:p>
        </w:tc>
      </w:tr>
      <w:tr w:rsidR="002A51BE" w:rsidRPr="009C5C34" w14:paraId="64E4FC41" w14:textId="77777777">
        <w:tc>
          <w:tcPr>
            <w:tcW w:w="0" w:type="auto"/>
          </w:tcPr>
          <w:p w14:paraId="155708B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δ</m:t>
                </m:r>
              </m:oMath>
            </m:oMathPara>
          </w:p>
        </w:tc>
        <w:tc>
          <w:tcPr>
            <w:tcW w:w="0" w:type="auto"/>
          </w:tcPr>
          <w:p w14:paraId="46F62986" w14:textId="77777777" w:rsidR="002A51BE" w:rsidRPr="009C5C34" w:rsidRDefault="00276465" w:rsidP="009C5C34">
            <w:pPr>
              <w:rPr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Cs w:val="28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CA3D9BC" w14:textId="77777777" w:rsidR="002A51BE" w:rsidRPr="009C5C34" w:rsidRDefault="00276465" w:rsidP="009C5C34">
            <w:pPr>
              <w:rPr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Cs w:val="28"/>
                      </w:rPr>
                      <m:t>5</m:t>
                    </m:r>
                  </m:sup>
                </m:sSup>
              </m:oMath>
            </m:oMathPara>
          </w:p>
        </w:tc>
      </w:tr>
      <w:tr w:rsidR="002A51BE" w:rsidRPr="009C5C34" w14:paraId="46367492" w14:textId="77777777">
        <w:tc>
          <w:tcPr>
            <w:tcW w:w="0" w:type="auto"/>
          </w:tcPr>
          <w:p w14:paraId="3FAE264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Запись на образец </w:t>
            </w:r>
            <m:oMath>
              <m:r>
                <w:rPr>
                  <w:rFonts w:ascii="Cambria Math" w:hAnsi="Cambria Math"/>
                  <w:szCs w:val="28"/>
                </w:rPr>
                <m:t>R</m:t>
              </m:r>
            </m:oMath>
          </w:p>
        </w:tc>
        <w:tc>
          <w:tcPr>
            <w:tcW w:w="0" w:type="auto"/>
          </w:tcPr>
          <w:p w14:paraId="170025E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7BBABEC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1,0</w:t>
            </w:r>
          </w:p>
        </w:tc>
      </w:tr>
      <w:tr w:rsidR="002A51BE" w:rsidRPr="009C5C34" w14:paraId="49162D7B" w14:textId="77777777">
        <w:tc>
          <w:tcPr>
            <w:tcW w:w="0" w:type="auto"/>
          </w:tcPr>
          <w:p w14:paraId="3222E49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Потолок клиппинга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FA7A59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2,0</w:t>
            </w:r>
          </w:p>
        </w:tc>
        <w:tc>
          <w:tcPr>
            <w:tcW w:w="0" w:type="auto"/>
          </w:tcPr>
          <w:p w14:paraId="5D88183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2,0</w:t>
            </w:r>
          </w:p>
        </w:tc>
      </w:tr>
      <w:tr w:rsidR="002A51BE" w:rsidRPr="009C5C34" w14:paraId="025EF256" w14:textId="77777777">
        <w:tc>
          <w:tcPr>
            <w:tcW w:w="0" w:type="auto"/>
          </w:tcPr>
          <w:p w14:paraId="72DB9B4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Не-IID разбиение</w:t>
            </w:r>
          </w:p>
        </w:tc>
        <w:tc>
          <w:tcPr>
            <w:tcW w:w="0" w:type="auto"/>
          </w:tcPr>
          <w:p w14:paraId="6DE1CE1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Дирихле, </w:t>
            </w:r>
            <m:oMath>
              <m:r>
                <w:rPr>
                  <w:rFonts w:ascii="Cambria Math" w:hAnsi="Cambria Math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5</m:t>
              </m:r>
            </m:oMath>
          </w:p>
        </w:tc>
        <w:tc>
          <w:tcPr>
            <w:tcW w:w="0" w:type="auto"/>
          </w:tcPr>
          <w:p w14:paraId="0AABF83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Дирихле, </w:t>
            </w:r>
            <m:oMath>
              <m:r>
                <w:rPr>
                  <w:rFonts w:ascii="Cambria Math" w:hAnsi="Cambria Math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5</m:t>
              </m:r>
            </m:oMath>
          </w:p>
        </w:tc>
      </w:tr>
      <w:tr w:rsidR="002A51BE" w:rsidRPr="009C5C34" w14:paraId="4231495A" w14:textId="77777777">
        <w:tc>
          <w:tcPr>
            <w:tcW w:w="0" w:type="auto"/>
          </w:tcPr>
          <w:p w14:paraId="0F838D3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Скорость обучения</w:t>
            </w:r>
          </w:p>
        </w:tc>
        <w:tc>
          <w:tcPr>
            <w:tcW w:w="0" w:type="auto"/>
          </w:tcPr>
          <w:p w14:paraId="44CDEEE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0,01 (SGD + momentum)</w:t>
            </w:r>
          </w:p>
        </w:tc>
        <w:tc>
          <w:tcPr>
            <w:tcW w:w="0" w:type="auto"/>
          </w:tcPr>
          <w:p w14:paraId="2B53A01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0,01 (SGD + momentum)</w:t>
            </w:r>
          </w:p>
        </w:tc>
      </w:tr>
    </w:tbl>
    <w:p w14:paraId="074F9E7D" w14:textId="77777777" w:rsidR="009C5C34" w:rsidRDefault="009C5C34" w:rsidP="009C5C34">
      <w:pPr>
        <w:pStyle w:val="af"/>
        <w:spacing w:after="0"/>
        <w:rPr>
          <w:szCs w:val="28"/>
          <w:lang w:val="en-US"/>
        </w:rPr>
      </w:pPr>
    </w:p>
    <w:p w14:paraId="77D7E7F8" w14:textId="1EB455E3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Базовый режим (без атак, без ДП) задаёт верхнюю оценку точности, к которой стремятся все защищённые конфигурации. Защиты варьируются по двум осям: алгоритм агрегации (FedAvg, FedRoLA-PCSI, Multi-Krum, TrimmedMean) и наличие/отсутствие шума ДП. Атаки представлены пятью семействами: нецелевое отравление модели (ALIE [2], IPM [3], Min-Max [4]), целевое отравление модели (атака замены модели [5]), нецелевое отравление данных (случайная перестановка меток в межорганизационном сценарии). Адаптивная атака Fang [4] из основной матрицы исключена — она оптимизирована против Multi-Krum, для FedRoLA в открытой литературе [12] аналогичной адаптивной атаки не описано.</w:t>
      </w:r>
    </w:p>
    <w:p w14:paraId="30EB12F9" w14:textId="78E9AF4F" w:rsidR="002A51BE" w:rsidRPr="009C5C34" w:rsidRDefault="009C5C34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3" w:name="метрики"/>
      <w:bookmarkEnd w:id="2"/>
      <w:r>
        <w:rPr>
          <w:rFonts w:ascii="Times New Roman" w:hAnsi="Times New Roman" w:cs="Times New Roman"/>
          <w:szCs w:val="28"/>
          <w:lang w:val="en-US"/>
        </w:rPr>
        <w:t>5</w:t>
      </w:r>
      <w:r w:rsidR="00A97DF9" w:rsidRPr="009C5C34">
        <w:rPr>
          <w:rFonts w:ascii="Times New Roman" w:hAnsi="Times New Roman" w:cs="Times New Roman"/>
          <w:szCs w:val="28"/>
        </w:rPr>
        <w:t>.1.2</w:t>
      </w:r>
      <w:r w:rsidR="00A97DF9" w:rsidRPr="009C5C34">
        <w:rPr>
          <w:rFonts w:ascii="Times New Roman" w:hAnsi="Times New Roman" w:cs="Times New Roman"/>
          <w:szCs w:val="28"/>
        </w:rPr>
        <w:tab/>
        <w:t>Метрики</w:t>
      </w:r>
    </w:p>
    <w:p w14:paraId="4543BA4A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В работе используются четыре основные метрики.</w:t>
      </w:r>
    </w:p>
    <w:p w14:paraId="524E8EEF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Точность на основной задаче</w:t>
      </w:r>
      <w:r w:rsidRPr="009C5C34">
        <w:rPr>
          <w:szCs w:val="28"/>
        </w:rPr>
        <w:t xml:space="preserve"> (ТОЗ, MTA, [11]). Доля верных предсказаний на отложенной тестовой выборке. Главная характеристика </w:t>
      </w:r>
      <w:r w:rsidRPr="009C5C34">
        <w:rPr>
          <w:szCs w:val="28"/>
        </w:rPr>
        <w:lastRenderedPageBreak/>
        <w:t>полезности модели; именно по ней оценивается просадка относительно базовой конфигурации.</w:t>
      </w:r>
    </w:p>
    <w:p w14:paraId="2ACE4FC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Точность на задаче атаки</w:t>
      </w:r>
      <w:r w:rsidRPr="009C5C34">
        <w:rPr>
          <w:szCs w:val="28"/>
        </w:rPr>
        <w:t xml:space="preserve"> (ТЗА, ASR, [5]). Для атаки со скрытой закладкой — доля примеров с триггером, которые модель относит к целевому классу 0; для целевого отравления данных — точность на классе-источнике. Низкая ТЗА означает, что атака не достигла цели.</w:t>
      </w:r>
    </w:p>
    <w:p w14:paraId="47D8314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Точность детектирования</w:t>
      </w:r>
      <w:r w:rsidRPr="009C5C34">
        <w:rPr>
          <w:szCs w:val="28"/>
        </w:rPr>
        <w:t xml:space="preserve"> (TPR, FPR, [10]). Доля вредоносных клиентов раунда, помеченных робастным фильтром (TPR = true positive rate), и доля честных клиентов, ошибочно помеченных вредоносными (FPR). Используется для оценки робастного компонента (FedRoLA, Multi-Krum) изолированно. Особенность: TPR не информативен, когда атака не вредит ТОЗ — клеймить нечего; в таких случаях правильнее смотреть на просадку </w:t>
      </w:r>
      <m:oMath>
        <m:r>
          <w:rPr>
            <w:rFonts w:ascii="Cambria Math" w:hAnsi="Cambria Math"/>
            <w:szCs w:val="28"/>
          </w:rPr>
          <m:t>Δ</m:t>
        </m:r>
      </m:oMath>
      <w:r w:rsidRPr="009C5C34">
        <w:rPr>
          <w:szCs w:val="28"/>
        </w:rPr>
        <w:t>ТОЗ против чистого baseline.</w:t>
      </w:r>
    </w:p>
    <w:p w14:paraId="4BE8624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AUC атаки определения членства</w:t>
      </w:r>
      <w:r w:rsidRPr="009C5C34">
        <w:rPr>
          <w:szCs w:val="28"/>
        </w:rPr>
        <w:t xml:space="preserve"> (AUC MIA, [7]). Площадь под ROC-кривой membership-классификатора; значение 0,5 соответствует случайному угадыванию. Используется в подразделе 5.5.1 для оценки утечки членства.</w:t>
      </w:r>
    </w:p>
    <w:p w14:paraId="2D0E97E1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В журнал каждого раунда дополнительно пишутся технические метрики: порог клиппинга </w:t>
      </w:r>
      <m:oMath>
        <m:r>
          <w:rPr>
            <w:rFonts w:ascii="Cambria Math" w:hAnsi="Cambria Math"/>
            <w:szCs w:val="28"/>
          </w:rPr>
          <m:t>S</m:t>
        </m:r>
      </m:oMath>
      <w:r w:rsidRPr="009C5C34">
        <w:rPr>
          <w:szCs w:val="28"/>
        </w:rPr>
        <w:t xml:space="preserve">, использованный </w:t>
      </w:r>
      <m:oMath>
        <m:r>
          <w:rPr>
            <w:rFonts w:ascii="Cambria Math" w:hAnsi="Cambria Math"/>
            <w:szCs w:val="28"/>
          </w:rPr>
          <m:t>σ</m:t>
        </m:r>
      </m:oMath>
      <w:r w:rsidRPr="009C5C34">
        <w:rPr>
          <w:szCs w:val="28"/>
        </w:rPr>
        <w:t xml:space="preserve">, эффективное число клиентов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9C5C34">
        <w:rPr>
          <w:szCs w:val="28"/>
        </w:rPr>
        <w:t xml:space="preserve">, диапазон оценок FedRoLA, израсходованный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9C5C34">
        <w:rPr>
          <w:szCs w:val="28"/>
        </w:rPr>
        <w:t xml:space="preserve"> по RDP-accountant Opacus.</w:t>
      </w:r>
    </w:p>
    <w:p w14:paraId="23E57007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4" w:name="статистическая-обработка"/>
      <w:bookmarkEnd w:id="3"/>
      <w:r w:rsidRPr="009C5C34">
        <w:rPr>
          <w:rFonts w:ascii="Times New Roman" w:hAnsi="Times New Roman" w:cs="Times New Roman"/>
          <w:szCs w:val="28"/>
        </w:rPr>
        <w:t>1.1.3</w:t>
      </w:r>
      <w:r w:rsidRPr="009C5C34">
        <w:rPr>
          <w:rFonts w:ascii="Times New Roman" w:hAnsi="Times New Roman" w:cs="Times New Roman"/>
          <w:szCs w:val="28"/>
        </w:rPr>
        <w:tab/>
        <w:t>5.1.3 Статистическая обработка</w:t>
      </w:r>
    </w:p>
    <w:p w14:paraId="3407757D" w14:textId="3D5E32E5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В каждой конфигурации усреднение выполняется по трём независимым случайным </w:t>
      </w:r>
      <w:r w:rsidR="000A2A7D">
        <w:rPr>
          <w:szCs w:val="28"/>
        </w:rPr>
        <w:t>состояниям псевдослучайного генератора</w:t>
      </w:r>
      <w:r w:rsidRPr="009C5C34">
        <w:rPr>
          <w:szCs w:val="28"/>
        </w:rPr>
        <w:t xml:space="preserve"> (seed </w:t>
      </w:r>
      <w:r w:rsidRPr="009C5C34">
        <w:rPr>
          <w:rFonts w:ascii="Cambria Math" w:hAnsi="Cambria Math" w:cs="Cambria Math"/>
          <w:szCs w:val="28"/>
        </w:rPr>
        <w:t>∈</w:t>
      </w:r>
      <w:r w:rsidRPr="009C5C34">
        <w:rPr>
          <w:szCs w:val="28"/>
        </w:rPr>
        <w:t xml:space="preserve"> {0, 1, 2}). Разделы, где обнаружена высокая дисперсия — длинногоризонтная проба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500</m:t>
        </m:r>
      </m:oMath>
      <w:r w:rsidRPr="009C5C34">
        <w:rPr>
          <w:szCs w:val="28"/>
        </w:rPr>
        <w:t xml:space="preserve"> (5.4.5) и низкие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&lt;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для межорганизационного сценария — указаны явно с числом использованных seeds (4 и 3 соответственно) и стандартным отклонением.</w:t>
      </w:r>
    </w:p>
    <w:p w14:paraId="1D33180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Метрики каждого раунда сохраняются в CSV; итоговое значение для конфигурации — среднее по последним пяти раундам обучения </w:t>
      </w:r>
      <w:r w:rsidRPr="009C5C34">
        <w:rPr>
          <w:szCs w:val="28"/>
        </w:rPr>
        <w:lastRenderedPageBreak/>
        <w:t xml:space="preserve">(TAIL_ROUNDS = 5, experiments/run_parallel.py:_aggregate_per_seed_results). Усреднение по хвосту, а не по последнему раунду, сглаживает раундовую случайность сэмплирования клиентов: при последнем-раундовом усреднении дисперсия между seeds могла достигать </w:t>
      </w:r>
      <m:oMath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(например, конфигурация ALIE + FedRoLA +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</m:t>
        </m:r>
      </m:oMath>
      <w:r w:rsidRPr="009C5C34">
        <w:rPr>
          <w:szCs w:val="28"/>
        </w:rPr>
        <w:t xml:space="preserve">, межустройственный сценарий, 2026-04-08), а после перехода к tail-mean того же набора — </w:t>
      </w:r>
      <m:oMath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05</m:t>
        </m:r>
      </m:oMath>
      <w:r w:rsidRPr="009C5C34">
        <w:rPr>
          <w:szCs w:val="28"/>
        </w:rPr>
        <w:t>.</w:t>
      </w:r>
    </w:p>
    <w:p w14:paraId="4C2E63D1" w14:textId="523E2BC1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В таблицах главы 5 значения подаются в формате «среднее ± стандартное отклонение» (например,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795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009</m:t>
        </m:r>
      </m:oMath>
      <w:r w:rsidRPr="009C5C34">
        <w:rPr>
          <w:szCs w:val="28"/>
        </w:rPr>
        <w:t>). Для конфигураций с одним seed это указывается явно.</w:t>
      </w:r>
    </w:p>
    <w:p w14:paraId="2AB83280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drawing>
          <wp:inline distT="0" distB="0" distL="0" distR="0" wp14:anchorId="0857179A" wp14:editId="103121E6">
            <wp:extent cx="5930900" cy="2051588"/>
            <wp:effectExtent l="0" t="0" r="0" b="0"/>
            <wp:docPr id="23" name="Picture" descr="Рисунок 5.1 — Кривые сходимости базовых конфигураций (без атак). Левая панель — межустройственный сценарий, правая — межорганизационный; полоса \pm \sigma по 3 seed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fig_5_1_convergenc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5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B7AAA" w14:textId="77777777" w:rsidR="000A2A7D" w:rsidRPr="000A2A7D" w:rsidRDefault="00A97DF9" w:rsidP="009C5C34">
      <w:pPr>
        <w:rPr>
          <w:szCs w:val="28"/>
        </w:rPr>
      </w:pPr>
      <w:r w:rsidRPr="009C5C34">
        <w:rPr>
          <w:szCs w:val="28"/>
        </w:rPr>
        <w:t>Рисунок 5.1 — Кривые сходимости базовых конфигураций (без атак).</w:t>
      </w:r>
    </w:p>
    <w:p w14:paraId="77762FB7" w14:textId="08AE5C66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Левая панель — межустройственный сценарий, правая — межорганизационный; полоса </w:t>
      </w:r>
      <m:oMath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σ</m:t>
        </m:r>
      </m:oMath>
      <w:r w:rsidRPr="009C5C34">
        <w:rPr>
          <w:szCs w:val="28"/>
        </w:rPr>
        <w:t xml:space="preserve"> по 3 seeds.</w:t>
      </w:r>
    </w:p>
    <w:p w14:paraId="0C1169CF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5" w:name="базовые-конфигурации-без-атак"/>
      <w:bookmarkEnd w:id="1"/>
      <w:bookmarkEnd w:id="4"/>
      <w:r w:rsidRPr="009C5C34">
        <w:rPr>
          <w:rFonts w:ascii="Times New Roman" w:hAnsi="Times New Roman" w:cs="Times New Roman"/>
          <w:szCs w:val="28"/>
        </w:rPr>
        <w:t>1.2</w:t>
      </w:r>
      <w:r w:rsidRPr="009C5C34">
        <w:rPr>
          <w:rFonts w:ascii="Times New Roman" w:hAnsi="Times New Roman" w:cs="Times New Roman"/>
          <w:szCs w:val="28"/>
        </w:rPr>
        <w:tab/>
        <w:t>5.2 Базовые конфигурации без атак</w:t>
      </w:r>
    </w:p>
    <w:p w14:paraId="1314D416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Базовые запуски фиксируют верхнюю оценку точности и стоимость одного только шума ДП без присутствия противника. Результаты сведены в таблицу 5.2.</w:t>
      </w:r>
    </w:p>
    <w:p w14:paraId="2119181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5.2 — Точность базовых конфигураций (без атак, среднее ± std по 3 seeds)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91"/>
        <w:gridCol w:w="1585"/>
        <w:gridCol w:w="613"/>
        <w:gridCol w:w="496"/>
        <w:gridCol w:w="1905"/>
      </w:tblGrid>
      <w:tr w:rsidR="002A51BE" w:rsidRPr="009C5C34" w14:paraId="5EB84970" w14:textId="77777777">
        <w:trPr>
          <w:tblHeader/>
        </w:trPr>
        <w:tc>
          <w:tcPr>
            <w:tcW w:w="0" w:type="auto"/>
          </w:tcPr>
          <w:p w14:paraId="5ABD60B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Сценарий</w:t>
            </w:r>
          </w:p>
        </w:tc>
        <w:tc>
          <w:tcPr>
            <w:tcW w:w="0" w:type="auto"/>
          </w:tcPr>
          <w:p w14:paraId="2E339E0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Агрегация</w:t>
            </w:r>
          </w:p>
        </w:tc>
        <w:tc>
          <w:tcPr>
            <w:tcW w:w="0" w:type="auto"/>
          </w:tcPr>
          <w:p w14:paraId="0D4234B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ДП</w:t>
            </w:r>
          </w:p>
        </w:tc>
        <w:tc>
          <w:tcPr>
            <w:tcW w:w="0" w:type="auto"/>
          </w:tcPr>
          <w:p w14:paraId="3FECC62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ε</m:t>
                </m:r>
              </m:oMath>
            </m:oMathPara>
          </w:p>
        </w:tc>
        <w:tc>
          <w:tcPr>
            <w:tcW w:w="0" w:type="auto"/>
          </w:tcPr>
          <w:p w14:paraId="797A2A5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</w:tr>
      <w:tr w:rsidR="002A51BE" w:rsidRPr="009C5C34" w14:paraId="253D6A4D" w14:textId="77777777">
        <w:tc>
          <w:tcPr>
            <w:tcW w:w="0" w:type="auto"/>
          </w:tcPr>
          <w:p w14:paraId="5EE6401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42360D4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2EA8ED0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нет</w:t>
            </w:r>
          </w:p>
        </w:tc>
        <w:tc>
          <w:tcPr>
            <w:tcW w:w="0" w:type="auto"/>
          </w:tcPr>
          <w:p w14:paraId="21993BB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0E95D5F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873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003</m:t>
                </m:r>
              </m:oMath>
            </m:oMathPara>
          </w:p>
        </w:tc>
      </w:tr>
      <w:tr w:rsidR="002A51BE" w:rsidRPr="009C5C34" w14:paraId="2AF54EEE" w14:textId="77777777">
        <w:tc>
          <w:tcPr>
            <w:tcW w:w="0" w:type="auto"/>
          </w:tcPr>
          <w:p w14:paraId="4023C71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3799A34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</w:t>
            </w:r>
            <w:r w:rsidRPr="009C5C34">
              <w:rPr>
                <w:szCs w:val="28"/>
              </w:rPr>
              <w:lastRenderedPageBreak/>
              <w:t>oLA</w:t>
            </w:r>
          </w:p>
        </w:tc>
        <w:tc>
          <w:tcPr>
            <w:tcW w:w="0" w:type="auto"/>
          </w:tcPr>
          <w:p w14:paraId="1C18F60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lastRenderedPageBreak/>
              <w:t>н</w:t>
            </w:r>
            <w:r w:rsidRPr="009C5C34">
              <w:rPr>
                <w:szCs w:val="28"/>
              </w:rPr>
              <w:lastRenderedPageBreak/>
              <w:t>ет</w:t>
            </w:r>
          </w:p>
        </w:tc>
        <w:tc>
          <w:tcPr>
            <w:tcW w:w="0" w:type="auto"/>
          </w:tcPr>
          <w:p w14:paraId="04A2C58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lastRenderedPageBreak/>
              <w:t>—</w:t>
            </w:r>
          </w:p>
        </w:tc>
        <w:tc>
          <w:tcPr>
            <w:tcW w:w="0" w:type="auto"/>
          </w:tcPr>
          <w:p w14:paraId="7380B03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873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003</m:t>
                </m:r>
              </m:oMath>
            </m:oMathPara>
          </w:p>
        </w:tc>
      </w:tr>
      <w:tr w:rsidR="002A51BE" w:rsidRPr="009C5C34" w14:paraId="2021BE69" w14:textId="77777777">
        <w:tc>
          <w:tcPr>
            <w:tcW w:w="0" w:type="auto"/>
          </w:tcPr>
          <w:p w14:paraId="1FE1BA3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31B244F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1F0DC32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</w:t>
            </w:r>
          </w:p>
        </w:tc>
        <w:tc>
          <w:tcPr>
            <w:tcW w:w="0" w:type="auto"/>
          </w:tcPr>
          <w:p w14:paraId="6E03905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</w:t>
            </w:r>
          </w:p>
        </w:tc>
        <w:tc>
          <w:tcPr>
            <w:tcW w:w="0" w:type="auto"/>
          </w:tcPr>
          <w:p w14:paraId="19C470A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812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002</m:t>
                </m:r>
              </m:oMath>
            </m:oMathPara>
          </w:p>
        </w:tc>
      </w:tr>
      <w:tr w:rsidR="002A51BE" w:rsidRPr="009C5C34" w14:paraId="70DE13D7" w14:textId="77777777">
        <w:tc>
          <w:tcPr>
            <w:tcW w:w="0" w:type="auto"/>
          </w:tcPr>
          <w:p w14:paraId="4992878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1566278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0B07259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</w:t>
            </w:r>
          </w:p>
        </w:tc>
        <w:tc>
          <w:tcPr>
            <w:tcW w:w="0" w:type="auto"/>
          </w:tcPr>
          <w:p w14:paraId="2C39A02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</w:t>
            </w:r>
          </w:p>
        </w:tc>
        <w:tc>
          <w:tcPr>
            <w:tcW w:w="0" w:type="auto"/>
          </w:tcPr>
          <w:p w14:paraId="39C25FB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</w:tr>
      <w:tr w:rsidR="002A51BE" w:rsidRPr="009C5C34" w14:paraId="0AFC2EF1" w14:textId="77777777">
        <w:tc>
          <w:tcPr>
            <w:tcW w:w="0" w:type="auto"/>
          </w:tcPr>
          <w:p w14:paraId="12AC19B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6F62551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</w:t>
            </w:r>
          </w:p>
        </w:tc>
        <w:tc>
          <w:tcPr>
            <w:tcW w:w="0" w:type="auto"/>
          </w:tcPr>
          <w:p w14:paraId="2A666F1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</w:t>
            </w:r>
          </w:p>
        </w:tc>
        <w:tc>
          <w:tcPr>
            <w:tcW w:w="0" w:type="auto"/>
          </w:tcPr>
          <w:p w14:paraId="36C1111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</w:t>
            </w:r>
          </w:p>
        </w:tc>
        <w:tc>
          <w:tcPr>
            <w:tcW w:w="0" w:type="auto"/>
          </w:tcPr>
          <w:p w14:paraId="27B94E4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746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023</m:t>
                </m:r>
              </m:oMath>
            </m:oMathPara>
          </w:p>
        </w:tc>
      </w:tr>
      <w:tr w:rsidR="002A51BE" w:rsidRPr="009C5C34" w14:paraId="71777F91" w14:textId="77777777">
        <w:tc>
          <w:tcPr>
            <w:tcW w:w="0" w:type="auto"/>
          </w:tcPr>
          <w:p w14:paraId="07A19BC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5DE2256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47C1501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нет</w:t>
            </w:r>
          </w:p>
        </w:tc>
        <w:tc>
          <w:tcPr>
            <w:tcW w:w="0" w:type="auto"/>
          </w:tcPr>
          <w:p w14:paraId="5E2A1EE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10F065A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926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</w:tr>
      <w:tr w:rsidR="002A51BE" w:rsidRPr="009C5C34" w14:paraId="344657FC" w14:textId="77777777">
        <w:tc>
          <w:tcPr>
            <w:tcW w:w="0" w:type="auto"/>
          </w:tcPr>
          <w:p w14:paraId="1065D2B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2D5185D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2B87FD9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нет</w:t>
            </w:r>
          </w:p>
        </w:tc>
        <w:tc>
          <w:tcPr>
            <w:tcW w:w="0" w:type="auto"/>
          </w:tcPr>
          <w:p w14:paraId="1B177E9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6F5F40D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926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003</m:t>
                </m:r>
              </m:oMath>
            </m:oMathPara>
          </w:p>
        </w:tc>
      </w:tr>
      <w:tr w:rsidR="002A51BE" w:rsidRPr="009C5C34" w14:paraId="0616E885" w14:textId="77777777">
        <w:tc>
          <w:tcPr>
            <w:tcW w:w="0" w:type="auto"/>
          </w:tcPr>
          <w:p w14:paraId="09AA321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61508A8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69DE2AC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</w:t>
            </w:r>
          </w:p>
        </w:tc>
        <w:tc>
          <w:tcPr>
            <w:tcW w:w="0" w:type="auto"/>
          </w:tcPr>
          <w:p w14:paraId="0B1C5C8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5A15818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019</m:t>
                </m:r>
              </m:oMath>
            </m:oMathPara>
          </w:p>
        </w:tc>
      </w:tr>
      <w:tr w:rsidR="002A51BE" w:rsidRPr="009C5C34" w14:paraId="11E07416" w14:textId="77777777">
        <w:tc>
          <w:tcPr>
            <w:tcW w:w="0" w:type="auto"/>
          </w:tcPr>
          <w:p w14:paraId="37E2ECF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17A89CF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3A9B5BA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</w:t>
            </w:r>
          </w:p>
        </w:tc>
        <w:tc>
          <w:tcPr>
            <w:tcW w:w="0" w:type="auto"/>
          </w:tcPr>
          <w:p w14:paraId="75188D1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49E92FE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019</m:t>
                </m:r>
              </m:oMath>
            </m:oMathPara>
          </w:p>
        </w:tc>
      </w:tr>
      <w:tr w:rsidR="002A51BE" w:rsidRPr="009C5C34" w14:paraId="67E4E65F" w14:textId="77777777">
        <w:tc>
          <w:tcPr>
            <w:tcW w:w="0" w:type="auto"/>
          </w:tcPr>
          <w:p w14:paraId="6AD2336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1D0BC8B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</w:t>
            </w:r>
          </w:p>
        </w:tc>
        <w:tc>
          <w:tcPr>
            <w:tcW w:w="0" w:type="auto"/>
          </w:tcPr>
          <w:p w14:paraId="682018E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да</w:t>
            </w:r>
          </w:p>
        </w:tc>
        <w:tc>
          <w:tcPr>
            <w:tcW w:w="0" w:type="auto"/>
          </w:tcPr>
          <w:p w14:paraId="3267480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3F42272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820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018</m:t>
                </m:r>
              </m:oMath>
            </m:oMathPara>
          </w:p>
        </w:tc>
      </w:tr>
    </w:tbl>
    <w:p w14:paraId="5366B73B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Из таблицы 5.2 следуют три наблюдения. Во-первых, в чистой конфигурации (без атак, без ДП) FedRoLA по точности неотличим от FedAvg — это ожидаемо: соревновательно отбирать нечего, мягкая фильтрация не должна отбрасывать честных клиентов. Во-вторых, добавление шума ДП стоит в межустройственном сценарии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6</m:t>
        </m:r>
      </m:oMath>
      <w:r w:rsidRPr="009C5C34">
        <w:rPr>
          <w:szCs w:val="28"/>
        </w:rPr>
        <w:t xml:space="preserve"> п.п.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87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80</m:t>
        </m:r>
      </m:oMath>
      <w:r w:rsidRPr="009C5C34">
        <w:rPr>
          <w:szCs w:val="28"/>
        </w:rPr>
        <w:t xml:space="preserve">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 для FedRoLA), в межорганизационном —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9</m:t>
        </m:r>
      </m:oMath>
      <w:r w:rsidRPr="009C5C34">
        <w:rPr>
          <w:szCs w:val="28"/>
        </w:rPr>
        <w:t xml:space="preserve"> п.п.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93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83</m:t>
        </m:r>
      </m:oMath>
      <w:r w:rsidRPr="009C5C34">
        <w:rPr>
          <w:szCs w:val="28"/>
        </w:rPr>
        <w:t xml:space="preserve">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). В-третьих, FedRoLA + ДП обходит Multi-Krum + ДП на </w:t>
      </w:r>
      <m:oMath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 п.п. в межустройственном и на 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п.п. в межорганизационном сценарии: hard rejection Multi-Krum в неоднородной выборке (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) фильтрует часть честных клиентов, что снижает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9C5C34">
        <w:rPr>
          <w:szCs w:val="28"/>
        </w:rPr>
        <w:t xml:space="preserve"> и усиливает шум ДП.</w:t>
      </w:r>
    </w:p>
    <w:p w14:paraId="269041C7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 xml:space="preserve">[Установлено экспериментально] просадка ДП согласуется с теоретической оценкой по соотношению шум/сигнал на раунд (раздел 5.4.2): межорганизационный сценарий с приватностью на уровне записей имеет SNR &gt; 1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2</m:t>
        </m:r>
      </m:oMath>
      <w:r w:rsidRPr="009C5C34">
        <w:rPr>
          <w:szCs w:val="28"/>
        </w:rPr>
        <w:t xml:space="preserve">, тогда как межустройственный с приватностью на уровне клиента — SNR &gt; 0,19 только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>.</w:t>
      </w:r>
    </w:p>
    <w:p w14:paraId="073845FD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6" w:name="Xcf3555f5ac66387694b9cf497d38730eb83a600"/>
      <w:bookmarkEnd w:id="5"/>
      <w:r w:rsidRPr="009C5C34">
        <w:rPr>
          <w:rFonts w:ascii="Times New Roman" w:hAnsi="Times New Roman" w:cs="Times New Roman"/>
          <w:szCs w:val="28"/>
        </w:rPr>
        <w:t>1.3</w:t>
      </w:r>
      <w:r w:rsidRPr="009C5C34">
        <w:rPr>
          <w:rFonts w:ascii="Times New Roman" w:hAnsi="Times New Roman" w:cs="Times New Roman"/>
          <w:szCs w:val="28"/>
        </w:rPr>
        <w:tab/>
        <w:t>5.3 Матрица атак, защит и дифференциальной приватности</w:t>
      </w:r>
    </w:p>
    <w:p w14:paraId="14E1B475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В настоящем разделе исследуются конфигурации с активным противником. Структура раздела следует таксономии угроз УБИ-ML.01–УБИ-ML.04 из подраздела 3.3.2: нецелевое отравление модели (5.3.1), целевое отравление модели (5.3.2), отравление данных (5.3.3). Все запуски — три seeds,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>, остальные параметры — по таблице 5.1.</w:t>
      </w:r>
    </w:p>
    <w:p w14:paraId="31D4B32A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7" w:name="нецелевое-отравление-модели"/>
      <w:r w:rsidRPr="009C5C34">
        <w:rPr>
          <w:rFonts w:ascii="Times New Roman" w:hAnsi="Times New Roman" w:cs="Times New Roman"/>
          <w:szCs w:val="28"/>
        </w:rPr>
        <w:t>1.3.1</w:t>
      </w:r>
      <w:r w:rsidRPr="009C5C34">
        <w:rPr>
          <w:rFonts w:ascii="Times New Roman" w:hAnsi="Times New Roman" w:cs="Times New Roman"/>
          <w:szCs w:val="28"/>
        </w:rPr>
        <w:tab/>
        <w:t>5.3.1 Нецелевое отравление модели</w:t>
      </w:r>
    </w:p>
    <w:p w14:paraId="47EA10BF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Цель безопасности ЦБ1 формулируется как устойчивость ТОЗ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≤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>. Защитный конвейер реализуется политиками П1 (FedRoLA), П2 (клиппинг), П3 (шум ДП).</w:t>
      </w:r>
    </w:p>
    <w:p w14:paraId="79915BF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Таблица 5.3 — Нецелевые модельные атаки в межустройственном сценарии (три seeds,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>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111"/>
        <w:gridCol w:w="1119"/>
        <w:gridCol w:w="1443"/>
        <w:gridCol w:w="2168"/>
        <w:gridCol w:w="2168"/>
        <w:gridCol w:w="1562"/>
      </w:tblGrid>
      <w:tr w:rsidR="002A51BE" w:rsidRPr="009C5C34" w14:paraId="788955D5" w14:textId="77777777">
        <w:trPr>
          <w:tblHeader/>
        </w:trPr>
        <w:tc>
          <w:tcPr>
            <w:tcW w:w="0" w:type="auto"/>
          </w:tcPr>
          <w:p w14:paraId="5881A76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Атака</w:t>
            </w:r>
          </w:p>
        </w:tc>
        <w:tc>
          <w:tcPr>
            <w:tcW w:w="0" w:type="auto"/>
          </w:tcPr>
          <w:p w14:paraId="0100461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028D4C6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 + ДП</w:t>
            </w:r>
          </w:p>
        </w:tc>
        <w:tc>
          <w:tcPr>
            <w:tcW w:w="0" w:type="auto"/>
          </w:tcPr>
          <w:p w14:paraId="01B9BF4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4DECB9C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 + ДП</w:t>
            </w:r>
          </w:p>
        </w:tc>
        <w:tc>
          <w:tcPr>
            <w:tcW w:w="0" w:type="auto"/>
          </w:tcPr>
          <w:p w14:paraId="0DA11AA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 + ДП</w:t>
            </w:r>
          </w:p>
        </w:tc>
      </w:tr>
      <w:tr w:rsidR="002A51BE" w:rsidRPr="009C5C34" w14:paraId="74E829E9" w14:textId="77777777">
        <w:tc>
          <w:tcPr>
            <w:tcW w:w="0" w:type="auto"/>
          </w:tcPr>
          <w:p w14:paraId="47AEB74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без атаки</w:t>
            </w:r>
          </w:p>
        </w:tc>
        <w:tc>
          <w:tcPr>
            <w:tcW w:w="0" w:type="auto"/>
          </w:tcPr>
          <w:p w14:paraId="14BAE69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873</m:t>
                </m:r>
              </m:oMath>
            </m:oMathPara>
          </w:p>
        </w:tc>
        <w:tc>
          <w:tcPr>
            <w:tcW w:w="0" w:type="auto"/>
          </w:tcPr>
          <w:p w14:paraId="612D95C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812</m:t>
                </m:r>
              </m:oMath>
            </m:oMathPara>
          </w:p>
        </w:tc>
        <w:tc>
          <w:tcPr>
            <w:tcW w:w="0" w:type="auto"/>
          </w:tcPr>
          <w:p w14:paraId="2CD812D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873</m:t>
                </m:r>
              </m:oMath>
            </m:oMathPara>
          </w:p>
        </w:tc>
        <w:tc>
          <w:tcPr>
            <w:tcW w:w="0" w:type="auto"/>
          </w:tcPr>
          <w:p w14:paraId="7856AAB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800</m:t>
                </m:r>
              </m:oMath>
            </m:oMathPara>
          </w:p>
        </w:tc>
        <w:tc>
          <w:tcPr>
            <w:tcW w:w="0" w:type="auto"/>
          </w:tcPr>
          <w:p w14:paraId="2FE164E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746</m:t>
                </m:r>
              </m:oMath>
            </m:oMathPara>
          </w:p>
        </w:tc>
      </w:tr>
      <w:tr w:rsidR="002A51BE" w:rsidRPr="009C5C34" w14:paraId="77733E4D" w14:textId="77777777">
        <w:tc>
          <w:tcPr>
            <w:tcW w:w="0" w:type="auto"/>
          </w:tcPr>
          <w:p w14:paraId="099CBA7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ALIE</w:t>
            </w:r>
          </w:p>
        </w:tc>
        <w:tc>
          <w:tcPr>
            <w:tcW w:w="0" w:type="auto"/>
          </w:tcPr>
          <w:p w14:paraId="5CAB4E8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857</m:t>
                </m:r>
              </m:oMath>
            </m:oMathPara>
          </w:p>
        </w:tc>
        <w:tc>
          <w:tcPr>
            <w:tcW w:w="0" w:type="auto"/>
          </w:tcPr>
          <w:p w14:paraId="32EFD02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782</m:t>
                </m:r>
              </m:oMath>
            </m:oMathPara>
          </w:p>
        </w:tc>
        <w:tc>
          <w:tcPr>
            <w:tcW w:w="0" w:type="auto"/>
          </w:tcPr>
          <w:p w14:paraId="35115CD5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863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25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76232A19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725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43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3E12EF4D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630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</w:tr>
      <w:tr w:rsidR="002A51BE" w:rsidRPr="009C5C34" w14:paraId="4F39EEAA" w14:textId="77777777">
        <w:tc>
          <w:tcPr>
            <w:tcW w:w="0" w:type="auto"/>
          </w:tcPr>
          <w:p w14:paraId="1B2A0E4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IPM</w:t>
            </w:r>
          </w:p>
        </w:tc>
        <w:tc>
          <w:tcPr>
            <w:tcW w:w="0" w:type="auto"/>
          </w:tcPr>
          <w:p w14:paraId="3773836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862</m:t>
                </m:r>
              </m:oMath>
            </m:oMathPara>
          </w:p>
        </w:tc>
        <w:tc>
          <w:tcPr>
            <w:tcW w:w="0" w:type="auto"/>
          </w:tcPr>
          <w:p w14:paraId="6584E1A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789</m:t>
                </m:r>
              </m:oMath>
            </m:oMathPara>
          </w:p>
        </w:tc>
        <w:tc>
          <w:tcPr>
            <w:tcW w:w="0" w:type="auto"/>
          </w:tcPr>
          <w:p w14:paraId="35D2B331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865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67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47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6F31369D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766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67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47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4E0920BE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604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</w:tr>
      <w:tr w:rsidR="002A51BE" w:rsidRPr="009C5C34" w14:paraId="2A565036" w14:textId="77777777">
        <w:tc>
          <w:tcPr>
            <w:tcW w:w="0" w:type="auto"/>
          </w:tcPr>
          <w:p w14:paraId="7C85E13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lastRenderedPageBreak/>
              <w:t>Min-Max</w:t>
            </w:r>
          </w:p>
        </w:tc>
        <w:tc>
          <w:tcPr>
            <w:tcW w:w="0" w:type="auto"/>
          </w:tcPr>
          <w:p w14:paraId="371D3B8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798</m:t>
                </m:r>
              </m:oMath>
            </m:oMathPara>
          </w:p>
        </w:tc>
        <w:tc>
          <w:tcPr>
            <w:tcW w:w="0" w:type="auto"/>
          </w:tcPr>
          <w:p w14:paraId="778116A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668</m:t>
                </m:r>
              </m:oMath>
            </m:oMathPara>
          </w:p>
        </w:tc>
        <w:tc>
          <w:tcPr>
            <w:tcW w:w="0" w:type="auto"/>
          </w:tcPr>
          <w:p w14:paraId="2E4E4355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862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67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47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0B79DEBC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748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67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47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5D629761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084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</w:tr>
    </w:tbl>
    <w:p w14:paraId="4C4FF7A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Наблюдения по таблице 5.3:</w:t>
      </w:r>
    </w:p>
    <w:p w14:paraId="32DC281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FedAvg без защиты держится против ALIE, IPM и Min-Max лучше, чем можно ожидать: ТОЗ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80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86</m:t>
        </m:r>
      </m:oMath>
      <w:r w:rsidRPr="009C5C34">
        <w:rPr>
          <w:szCs w:val="28"/>
        </w:rPr>
        <w:t xml:space="preserve">. Объяснение — параметры атак, выбранные в работе, рассчитаны как «реалистичные» (ALIE с </w:t>
      </w:r>
      <m:oMath>
        <m:r>
          <w:rPr>
            <w:rFonts w:ascii="Cambria Math" w:hAnsi="Cambria Math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16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24</m:t>
        </m:r>
      </m:oMath>
      <w:r w:rsidRPr="009C5C34">
        <w:rPr>
          <w:szCs w:val="28"/>
        </w:rPr>
        <w:t xml:space="preserve">, IPM с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IPM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), и при усреднении по 40 клиентам сигнал атаки растворяется в общем градиенте. Min-Max в межустройственном сценарии всё же снижает FedAvg на </w:t>
      </w:r>
      <m:oMath>
        <m:r>
          <w:rPr>
            <w:rFonts w:ascii="Cambria Math" w:hAnsi="Cambria Math"/>
            <w:szCs w:val="28"/>
          </w:rPr>
          <m:t>7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п.п.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873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798</m:t>
        </m:r>
      </m:oMath>
      <w:r w:rsidRPr="009C5C34">
        <w:rPr>
          <w:szCs w:val="28"/>
        </w:rPr>
        <w:t>). Случай, где FedAvg рушится, — Min-Max в межорганизационном сценарии (см. таблицу 5.4): там клиенты с большой выборкой и атакующая коалиция способна сместить агрегат за рамки восстановимого.</w:t>
      </w:r>
    </w:p>
    <w:p w14:paraId="42FBE30F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— FedRoLA без ДП устойчив ко всем трём атакам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862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865</m:t>
        </m:r>
      </m:oMath>
      <w:r w:rsidRPr="009C5C34">
        <w:rPr>
          <w:szCs w:val="28"/>
        </w:rPr>
        <w:t xml:space="preserve">, на уровне чистой конфигурации). Это согласуется с результатами авторов FedRoLA [12], где TPR на нецелевых атаках 0,92–0,98 на других датасетах. На используемых параметрах нашего CD-сценария TPR ниже из-за высокой дисперсии между seeds: например, для IPM TPR </w:t>
      </w:r>
      <m:oMath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67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47</m:t>
        </m:r>
      </m:oMath>
      <w:r w:rsidRPr="009C5C34">
        <w:rPr>
          <w:szCs w:val="28"/>
        </w:rPr>
        <w:t xml:space="preserve"> означает, что в двух из трёх seeds детектор работает идеально, в одном — не работает. Это нелинейный эффект сэмплирования слоёв в FedRoLA-PCSI, обсуждаемый в подразделе 5.4.1.</w:t>
      </w:r>
    </w:p>
    <w:p w14:paraId="5442A052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FedRoLA + ДП обнаруживает </w:t>
      </w:r>
      <w:r w:rsidRPr="009C5C34">
        <w:rPr>
          <w:b/>
          <w:bCs/>
          <w:szCs w:val="28"/>
        </w:rPr>
        <w:t>синергию</w:t>
      </w:r>
      <w:r w:rsidRPr="009C5C34">
        <w:rPr>
          <w:szCs w:val="28"/>
        </w:rPr>
        <w:t xml:space="preserve"> на ALIE: TPR поднимается с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21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25</m:t>
        </m:r>
      </m:oMath>
      <w:r w:rsidRPr="009C5C34">
        <w:rPr>
          <w:szCs w:val="28"/>
        </w:rPr>
        <w:t xml:space="preserve"> (без ДП) до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41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43</m:t>
        </m:r>
      </m:oMath>
      <w:r w:rsidRPr="009C5C34">
        <w:rPr>
          <w:szCs w:val="28"/>
        </w:rPr>
        <w:t xml:space="preserve"> (с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), но ценой просадки ТОЗ на </w:t>
      </w:r>
      <m:oMath>
        <m:r>
          <w:rPr>
            <w:rFonts w:ascii="Cambria Math" w:hAnsi="Cambria Math"/>
            <w:szCs w:val="28"/>
          </w:rPr>
          <m:t>14</m:t>
        </m:r>
      </m:oMath>
      <w:r w:rsidRPr="009C5C34">
        <w:rPr>
          <w:szCs w:val="28"/>
        </w:rPr>
        <w:t xml:space="preserve"> п.п.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863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725</m:t>
        </m:r>
      </m:oMath>
      <w:r w:rsidRPr="009C5C34">
        <w:rPr>
          <w:szCs w:val="28"/>
        </w:rPr>
        <w:t xml:space="preserve">). Шум ДП на сервере зашумляет норму честных обновлений и делает </w:t>
      </w:r>
      <m:oMath>
        <m:r>
          <w:rPr>
            <w:rFonts w:ascii="Cambria Math" w:hAnsi="Cambria Math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σ</m:t>
        </m:r>
      </m:oMath>
      <w:r w:rsidRPr="009C5C34">
        <w:rPr>
          <w:szCs w:val="28"/>
        </w:rPr>
        <w:t xml:space="preserve">-смещение ALIE относительно более заметным; одновременно у защиты есть «цена детекции» через снижение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9C5C34">
        <w:rPr>
          <w:szCs w:val="28"/>
        </w:rPr>
        <w:t xml:space="preserve">, и эта цена прибавляется к стоимости самой ДП. На IPM и Min-Max шум ДП не меняет </w:t>
      </w:r>
      <w:r w:rsidRPr="009C5C34">
        <w:rPr>
          <w:szCs w:val="28"/>
        </w:rPr>
        <w:lastRenderedPageBreak/>
        <w:t>TPR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67</m:t>
        </m:r>
      </m:oMath>
      <w:r w:rsidRPr="009C5C34">
        <w:rPr>
          <w:szCs w:val="28"/>
        </w:rPr>
        <w:t xml:space="preserve"> в обоих режимах) — атаки явно структурно отличимы от честных, и шум их «не путает».</w:t>
      </w:r>
    </w:p>
    <w:p w14:paraId="1B0D5CE2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Multi-Krum + ДП ломается на Min-Max: TPR </w:t>
      </w:r>
      <m:oMath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, а ТОЗ скатывается до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084</m:t>
        </m:r>
      </m:oMath>
      <w:r w:rsidRPr="009C5C34">
        <w:rPr>
          <w:szCs w:val="28"/>
        </w:rPr>
        <w:t xml:space="preserve"> (хуже случайного угадывания). Шум ДП искажает попарные расстояния, по которым работает Multi-Krum, и hard rejection отбрасывает не тех. На IPM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604</m:t>
        </m:r>
      </m:oMath>
      <w:r w:rsidRPr="009C5C34">
        <w:rPr>
          <w:szCs w:val="28"/>
        </w:rPr>
        <w:t>) и ALIE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630</m:t>
        </m:r>
      </m:oMath>
      <w:r w:rsidRPr="009C5C34">
        <w:rPr>
          <w:szCs w:val="28"/>
        </w:rPr>
        <w:t xml:space="preserve">) Multi-Krum + ДП тоже хуже FedRoLA + ДП на </w:t>
      </w:r>
      <m:oMath>
        <m:r>
          <w:rPr>
            <w:rFonts w:ascii="Cambria Math" w:hAnsi="Cambria Math"/>
            <w:szCs w:val="28"/>
          </w:rPr>
          <m:t>14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16</m:t>
        </m:r>
      </m:oMath>
      <w:r w:rsidRPr="009C5C34">
        <w:rPr>
          <w:szCs w:val="28"/>
        </w:rPr>
        <w:t xml:space="preserve"> п.п. при том же бюджете приватности.</w:t>
      </w:r>
    </w:p>
    <w:p w14:paraId="6AB0FD93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drawing>
          <wp:inline distT="0" distB="0" distL="0" distR="0" wp14:anchorId="47EE3BD0" wp14:editId="19796A70">
            <wp:extent cx="5930900" cy="3461002"/>
            <wp:effectExtent l="0" t="0" r="0" b="0"/>
            <wp:docPr id="29" name="Picture" descr="Рисунок 5.2 — Матрица «атака × защита» по ТОЗ для межустройственного сценария. Цветовая шкала зелёный→красный по ТОЗ; в каждой ячейке — численное значение, среднее по 3 seed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fig_5_2_matrix_c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6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CE871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Рисунок 5.2 — Матрица «атака × защита» по ТОЗ для межустройственного сценария. Цветовая шкала зелёный→красный по ТОЗ; в каждой ячейке — численное значение, среднее по 3 seeds.</w:t>
      </w:r>
    </w:p>
    <w:p w14:paraId="5B6DEA1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В межорганизационном сценарии матрица в основном подтверждает те же закономерности, но содержательно отличается по двум пунктам: (1) Min-Max катастрофически рушит FedAvg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135</m:t>
        </m:r>
      </m:oMath>
      <w:r w:rsidRPr="009C5C34">
        <w:rPr>
          <w:szCs w:val="28"/>
        </w:rPr>
        <w:t xml:space="preserve">, ниже случайного), (2) ALIE при </w:t>
      </w:r>
      <m:oMath>
        <m:r>
          <w:rPr>
            <w:rFonts w:ascii="Cambria Math" w:hAnsi="Cambria Math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16</m:t>
        </m:r>
      </m:oMath>
      <w:r w:rsidRPr="009C5C34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невидима для FedRoLA (TPR = 0), при этом просадка ТОЗ нулевая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833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812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Δ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02</m:t>
        </m:r>
      </m:oMath>
      <w:r w:rsidRPr="009C5C34">
        <w:rPr>
          <w:szCs w:val="28"/>
        </w:rPr>
        <w:t>) — отсутствие детектирования здесь не означает провал защиты, ловить нечего.</w:t>
      </w:r>
    </w:p>
    <w:p w14:paraId="22B9CF7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Таблица 5.4 — Нецелевые модельные атаки в межорганизационном сценарии (три seeds,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>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316"/>
        <w:gridCol w:w="1119"/>
        <w:gridCol w:w="1802"/>
        <w:gridCol w:w="2246"/>
        <w:gridCol w:w="3088"/>
      </w:tblGrid>
      <w:tr w:rsidR="002A51BE" w:rsidRPr="009C5C34" w14:paraId="657605F1" w14:textId="77777777">
        <w:trPr>
          <w:tblHeader/>
        </w:trPr>
        <w:tc>
          <w:tcPr>
            <w:tcW w:w="0" w:type="auto"/>
          </w:tcPr>
          <w:p w14:paraId="4D59E08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lastRenderedPageBreak/>
              <w:t>Атака</w:t>
            </w:r>
          </w:p>
        </w:tc>
        <w:tc>
          <w:tcPr>
            <w:tcW w:w="0" w:type="auto"/>
          </w:tcPr>
          <w:p w14:paraId="0C07670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13080BB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 + ДП</w:t>
            </w:r>
          </w:p>
        </w:tc>
        <w:tc>
          <w:tcPr>
            <w:tcW w:w="0" w:type="auto"/>
          </w:tcPr>
          <w:p w14:paraId="36B5A68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 + ДП</w:t>
            </w:r>
          </w:p>
        </w:tc>
        <w:tc>
          <w:tcPr>
            <w:tcW w:w="0" w:type="auto"/>
          </w:tcPr>
          <w:p w14:paraId="71C31E8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 + ДП</w:t>
            </w:r>
          </w:p>
        </w:tc>
      </w:tr>
      <w:tr w:rsidR="002A51BE" w:rsidRPr="009C5C34" w14:paraId="171E959E" w14:textId="77777777">
        <w:tc>
          <w:tcPr>
            <w:tcW w:w="0" w:type="auto"/>
          </w:tcPr>
          <w:p w14:paraId="7BCEC8B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без атаки</w:t>
            </w:r>
          </w:p>
        </w:tc>
        <w:tc>
          <w:tcPr>
            <w:tcW w:w="0" w:type="auto"/>
          </w:tcPr>
          <w:p w14:paraId="46F5F57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926</m:t>
                </m:r>
              </m:oMath>
            </m:oMathPara>
          </w:p>
        </w:tc>
        <w:tc>
          <w:tcPr>
            <w:tcW w:w="0" w:type="auto"/>
          </w:tcPr>
          <w:p w14:paraId="64D75F1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</m:oMath>
            </m:oMathPara>
          </w:p>
        </w:tc>
        <w:tc>
          <w:tcPr>
            <w:tcW w:w="0" w:type="auto"/>
          </w:tcPr>
          <w:p w14:paraId="3568461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</m:oMath>
            </m:oMathPara>
          </w:p>
        </w:tc>
        <w:tc>
          <w:tcPr>
            <w:tcW w:w="0" w:type="auto"/>
          </w:tcPr>
          <w:p w14:paraId="7C56559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820</m:t>
                </m:r>
              </m:oMath>
            </m:oMathPara>
          </w:p>
        </w:tc>
      </w:tr>
      <w:tr w:rsidR="002A51BE" w:rsidRPr="009C5C34" w14:paraId="396CD406" w14:textId="77777777">
        <w:tc>
          <w:tcPr>
            <w:tcW w:w="0" w:type="auto"/>
          </w:tcPr>
          <w:p w14:paraId="0B5E895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ALIE</w:t>
            </w:r>
          </w:p>
        </w:tc>
        <w:tc>
          <w:tcPr>
            <w:tcW w:w="0" w:type="auto"/>
          </w:tcPr>
          <w:p w14:paraId="44C8B31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899</m:t>
                </m:r>
              </m:oMath>
            </m:oMathPara>
          </w:p>
        </w:tc>
        <w:tc>
          <w:tcPr>
            <w:tcW w:w="0" w:type="auto"/>
          </w:tcPr>
          <w:p w14:paraId="628C42D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807</m:t>
                </m:r>
              </m:oMath>
            </m:oMathPara>
          </w:p>
        </w:tc>
        <w:tc>
          <w:tcPr>
            <w:tcW w:w="0" w:type="auto"/>
          </w:tcPr>
          <w:p w14:paraId="39EC1941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812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31919779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820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54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12</m:t>
              </m:r>
            </m:oMath>
            <w:r w:rsidRPr="009C5C34">
              <w:rPr>
                <w:szCs w:val="28"/>
              </w:rPr>
              <w:t>)</w:t>
            </w:r>
          </w:p>
        </w:tc>
      </w:tr>
      <w:tr w:rsidR="002A51BE" w:rsidRPr="009C5C34" w14:paraId="13F5FC75" w14:textId="77777777">
        <w:tc>
          <w:tcPr>
            <w:tcW w:w="0" w:type="auto"/>
          </w:tcPr>
          <w:p w14:paraId="1F0EC69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IPM</w:t>
            </w:r>
          </w:p>
        </w:tc>
        <w:tc>
          <w:tcPr>
            <w:tcW w:w="0" w:type="auto"/>
          </w:tcPr>
          <w:p w14:paraId="14E4811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892</m:t>
                </m:r>
              </m:oMath>
            </m:oMathPara>
          </w:p>
        </w:tc>
        <w:tc>
          <w:tcPr>
            <w:tcW w:w="0" w:type="auto"/>
          </w:tcPr>
          <w:p w14:paraId="1D39361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755</m:t>
                </m:r>
              </m:oMath>
            </m:oMathPara>
          </w:p>
        </w:tc>
        <w:tc>
          <w:tcPr>
            <w:tcW w:w="0" w:type="auto"/>
          </w:tcPr>
          <w:p w14:paraId="36DC9E98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811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48BCF453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664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</w:tr>
      <w:tr w:rsidR="002A51BE" w:rsidRPr="009C5C34" w14:paraId="47D083EF" w14:textId="77777777">
        <w:tc>
          <w:tcPr>
            <w:tcW w:w="0" w:type="auto"/>
          </w:tcPr>
          <w:p w14:paraId="5EE2C1F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Min-Max</w:t>
            </w:r>
          </w:p>
        </w:tc>
        <w:tc>
          <w:tcPr>
            <w:tcW w:w="0" w:type="auto"/>
          </w:tcPr>
          <w:p w14:paraId="3C38C43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135</m:t>
                </m:r>
              </m:oMath>
            </m:oMathPara>
          </w:p>
        </w:tc>
        <w:tc>
          <w:tcPr>
            <w:tcW w:w="0" w:type="auto"/>
          </w:tcPr>
          <w:p w14:paraId="68CBC8B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234</m:t>
                </m:r>
              </m:oMath>
            </m:oMathPara>
          </w:p>
        </w:tc>
        <w:tc>
          <w:tcPr>
            <w:tcW w:w="0" w:type="auto"/>
          </w:tcPr>
          <w:p w14:paraId="6CDF2B47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811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  <w:tc>
          <w:tcPr>
            <w:tcW w:w="0" w:type="auto"/>
          </w:tcPr>
          <w:p w14:paraId="488C4219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135</m:t>
              </m:r>
            </m:oMath>
            <w:r w:rsidRPr="009C5C34">
              <w:rPr>
                <w:szCs w:val="28"/>
              </w:rPr>
              <w:t xml:space="preserve"> (TPR </w:t>
            </w: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</m:t>
              </m:r>
            </m:oMath>
            <w:r w:rsidRPr="009C5C34">
              <w:rPr>
                <w:szCs w:val="28"/>
              </w:rPr>
              <w:t>)</w:t>
            </w:r>
          </w:p>
        </w:tc>
      </w:tr>
    </w:tbl>
    <w:p w14:paraId="25625346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В межорганизационном сценарии ДП-шум на уровне записей имеет существенно меньшую амплитуду на агрегате (sensitivity </w:t>
      </w:r>
      <m:oMath>
        <m:r>
          <w:rPr>
            <w:rFonts w:ascii="Cambria Math" w:hAnsi="Cambria Math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</w:rPr>
              <m:t>5</m:t>
            </m:r>
          </m:sup>
        </m:sSup>
      </m:oMath>
      <w:r w:rsidRPr="009C5C34">
        <w:rPr>
          <w:szCs w:val="28"/>
        </w:rPr>
        <w:t xml:space="preserve"> против </w:t>
      </w:r>
      <m:oMath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 w:rsidRPr="009C5C34">
        <w:rPr>
          <w:szCs w:val="28"/>
        </w:rPr>
        <w:t xml:space="preserve"> для уровня клиента), поэтому усиления детекции, которое наблюдается в межустройственном сценарии для ALIE, здесь нет; FedRoLA + ДП по структуре атаки и поведению идентичен FedRoLA без ДП. Зато для IPM и Min-Max FedRoLA даёт идеальный TPR = 1,000: эти атаки структурно сильно отличны от честных обновлений (особенно Min-Max, который смещает обновление вдоль направления, противоположного среднему).</w:t>
      </w:r>
    </w:p>
    <w:p w14:paraId="48216A0A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lastRenderedPageBreak/>
        <w:drawing>
          <wp:inline distT="0" distB="0" distL="0" distR="0" wp14:anchorId="61F5164A" wp14:editId="1264F94A">
            <wp:extent cx="5930900" cy="4045613"/>
            <wp:effectExtent l="0" t="0" r="0" b="0"/>
            <wp:docPr id="32" name="Picture" descr="Рисунок 5.3 — Матрица «атака × защита» по ТОЗ для межорганизационного сценария. Оси и цветовая шкала аналогичны рисунку 5.2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fig_5_3_matrix_c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DD1A8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Рисунок 5.3 — Матрица «атака × защита» по ТОЗ для межорганизационного сценария. Оси и цветовая шкала аналогичны рисунку 5.2.</w:t>
      </w:r>
    </w:p>
    <w:p w14:paraId="7290F391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[Установлено экспериментально] цель безопасности ЦБ1 (устойчивость ТОЗ при нецелевом отравлении модели) выполняется в обоих сценариях для конвейера FedRoLA + клиппинг + ДП: просадка ТОЗ под IPM и Min-Max в межорганизационном сценарии не превышает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03</m:t>
        </m:r>
      </m:oMath>
      <w:r w:rsidRPr="009C5C34">
        <w:rPr>
          <w:szCs w:val="28"/>
        </w:rPr>
        <w:t xml:space="preserve"> относительно чистой конфигурации, под ALIE —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02</m:t>
        </m:r>
      </m:oMath>
      <w:r w:rsidRPr="009C5C34">
        <w:rPr>
          <w:szCs w:val="28"/>
        </w:rPr>
        <w:t xml:space="preserve">. В межустройственном сценарии под ALIE наблюдается просадка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075</m:t>
        </m:r>
      </m:oMath>
      <w:r w:rsidRPr="009C5C34">
        <w:rPr>
          <w:szCs w:val="28"/>
        </w:rPr>
        <w:t xml:space="preserve"> и под Min-Max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052</m:t>
        </m:r>
      </m:oMath>
      <w:r w:rsidRPr="009C5C34">
        <w:rPr>
          <w:szCs w:val="28"/>
        </w:rPr>
        <w:t>. Multi-Krum + ДП цели не удовлетворяет — ломается на Min-Max в обоих сценариях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084</m:t>
        </m:r>
      </m:oMath>
      <w:r w:rsidRPr="009C5C34">
        <w:rPr>
          <w:szCs w:val="28"/>
        </w:rPr>
        <w:t xml:space="preserve"> в CD,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135</m:t>
        </m:r>
      </m:oMath>
      <w:r w:rsidRPr="009C5C34">
        <w:rPr>
          <w:szCs w:val="28"/>
        </w:rPr>
        <w:t xml:space="preserve"> в CS), а в CD ещё и на IPM с ALIE.</w:t>
      </w:r>
    </w:p>
    <w:p w14:paraId="3DDD0434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8" w:name="Xc96c806cb3daf056eea530a0f246dc4382b78ab"/>
      <w:bookmarkEnd w:id="7"/>
      <w:r w:rsidRPr="009C5C34">
        <w:rPr>
          <w:rFonts w:ascii="Times New Roman" w:hAnsi="Times New Roman" w:cs="Times New Roman"/>
          <w:szCs w:val="28"/>
        </w:rPr>
        <w:t>1.3.2</w:t>
      </w:r>
      <w:r w:rsidRPr="009C5C34">
        <w:rPr>
          <w:rFonts w:ascii="Times New Roman" w:hAnsi="Times New Roman" w:cs="Times New Roman"/>
          <w:szCs w:val="28"/>
        </w:rPr>
        <w:tab/>
        <w:t>5.3.2 Целевое отравление модели (атака замены модели)</w:t>
      </w:r>
    </w:p>
    <w:p w14:paraId="62F7028D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Атака замены модели — структурно отдельный класс. Цель — встроить в глобальную модель закладку (триггер: белый квадрат </w:t>
      </w:r>
      <m:oMath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в правом нижнем углу, целевой класс — 0) при сохранении ТОЗ. Параметры в данной работе: </w:t>
      </w:r>
      <m:oMath>
        <m:r>
          <w:rPr>
            <w:rFonts w:ascii="Cambria Math" w:hAnsi="Cambria Math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</m:t>
        </m:r>
      </m:oMath>
      <w:r w:rsidRPr="009C5C34">
        <w:rPr>
          <w:szCs w:val="28"/>
        </w:rPr>
        <w:t xml:space="preserve">, доля отравленных образцов в локальной выборке </w:t>
      </w:r>
      <w:r w:rsidRPr="009C5C34">
        <w:rPr>
          <w:szCs w:val="28"/>
        </w:rPr>
        <w:lastRenderedPageBreak/>
        <w:t xml:space="preserve">вредоносного клиента — 50 %, число локальных эпох обучения с триггером — 10. Ожидание автора атаки: после клиппинга </w:t>
      </w:r>
      <m:oMath>
        <m:r>
          <w:rPr>
            <w:rFonts w:ascii="Cambria Math" w:hAnsi="Cambria Math"/>
            <w:szCs w:val="28"/>
          </w:rPr>
          <m:t>γ</m:t>
        </m:r>
      </m:oMath>
      <w:r w:rsidRPr="009C5C34">
        <w:rPr>
          <w:szCs w:val="28"/>
        </w:rPr>
        <w:t xml:space="preserve"> нивелируется, но направление обновления остаётся.</w:t>
      </w:r>
    </w:p>
    <w:p w14:paraId="3929B5E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5.5 — Атака со скрытой закладкой (40 % вредоносных, три seeds)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91"/>
        <w:gridCol w:w="1585"/>
        <w:gridCol w:w="816"/>
        <w:gridCol w:w="894"/>
        <w:gridCol w:w="894"/>
        <w:gridCol w:w="1595"/>
      </w:tblGrid>
      <w:tr w:rsidR="002A51BE" w:rsidRPr="009C5C34" w14:paraId="3AE865E0" w14:textId="77777777">
        <w:trPr>
          <w:tblHeader/>
        </w:trPr>
        <w:tc>
          <w:tcPr>
            <w:tcW w:w="0" w:type="auto"/>
          </w:tcPr>
          <w:p w14:paraId="1033971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Сценарий</w:t>
            </w:r>
          </w:p>
        </w:tc>
        <w:tc>
          <w:tcPr>
            <w:tcW w:w="0" w:type="auto"/>
          </w:tcPr>
          <w:p w14:paraId="2637133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Защита</w:t>
            </w:r>
          </w:p>
        </w:tc>
        <w:tc>
          <w:tcPr>
            <w:tcW w:w="0" w:type="auto"/>
          </w:tcPr>
          <w:p w14:paraId="29E9B72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ДП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</m:oMath>
          </w:p>
        </w:tc>
        <w:tc>
          <w:tcPr>
            <w:tcW w:w="0" w:type="auto"/>
          </w:tcPr>
          <w:p w14:paraId="0623D1D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273534C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ТЗА</w:t>
            </w:r>
          </w:p>
        </w:tc>
        <w:tc>
          <w:tcPr>
            <w:tcW w:w="0" w:type="auto"/>
          </w:tcPr>
          <w:p w14:paraId="3F36F88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TPR</w:t>
            </w:r>
          </w:p>
        </w:tc>
      </w:tr>
      <w:tr w:rsidR="002A51BE" w:rsidRPr="009C5C34" w14:paraId="3E8AB446" w14:textId="77777777">
        <w:tc>
          <w:tcPr>
            <w:tcW w:w="0" w:type="auto"/>
          </w:tcPr>
          <w:p w14:paraId="0099034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091F06B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0651917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024678A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863</m:t>
                </m:r>
              </m:oMath>
            </m:oMathPara>
          </w:p>
        </w:tc>
        <w:tc>
          <w:tcPr>
            <w:tcW w:w="0" w:type="auto"/>
          </w:tcPr>
          <w:p w14:paraId="648F8ED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7268EE4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</w:tr>
      <w:tr w:rsidR="002A51BE" w:rsidRPr="009C5C34" w14:paraId="1D075174" w14:textId="77777777">
        <w:tc>
          <w:tcPr>
            <w:tcW w:w="0" w:type="auto"/>
          </w:tcPr>
          <w:p w14:paraId="6A32B32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3610A5B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37B1DAD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3D25F60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863</m:t>
                </m:r>
              </m:oMath>
            </m:oMathPara>
          </w:p>
        </w:tc>
        <w:tc>
          <w:tcPr>
            <w:tcW w:w="0" w:type="auto"/>
          </w:tcPr>
          <w:p w14:paraId="745D192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29BC5F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14</m:t>
                </m:r>
              </m:oMath>
            </m:oMathPara>
          </w:p>
        </w:tc>
      </w:tr>
      <w:tr w:rsidR="002A51BE" w:rsidRPr="009C5C34" w14:paraId="37FFA88A" w14:textId="77777777">
        <w:tc>
          <w:tcPr>
            <w:tcW w:w="0" w:type="auto"/>
          </w:tcPr>
          <w:p w14:paraId="3CCCA11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114DA47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6AAA1A6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</w:t>
            </w:r>
          </w:p>
        </w:tc>
        <w:tc>
          <w:tcPr>
            <w:tcW w:w="0" w:type="auto"/>
          </w:tcPr>
          <w:p w14:paraId="1AC4BB3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733</m:t>
                </m:r>
              </m:oMath>
            </m:oMathPara>
          </w:p>
        </w:tc>
        <w:tc>
          <w:tcPr>
            <w:tcW w:w="0" w:type="auto"/>
          </w:tcPr>
          <w:p w14:paraId="084EEAE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988</m:t>
                </m:r>
              </m:oMath>
            </m:oMathPara>
          </w:p>
        </w:tc>
        <w:tc>
          <w:tcPr>
            <w:tcW w:w="0" w:type="auto"/>
          </w:tcPr>
          <w:p w14:paraId="5695483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</m:t>
                </m:r>
              </m:oMath>
            </m:oMathPara>
          </w:p>
        </w:tc>
      </w:tr>
      <w:tr w:rsidR="002A51BE" w:rsidRPr="009C5C34" w14:paraId="1752BC18" w14:textId="77777777">
        <w:tc>
          <w:tcPr>
            <w:tcW w:w="0" w:type="auto"/>
          </w:tcPr>
          <w:p w14:paraId="65F1921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</w:t>
            </w:r>
          </w:p>
        </w:tc>
        <w:tc>
          <w:tcPr>
            <w:tcW w:w="0" w:type="auto"/>
          </w:tcPr>
          <w:p w14:paraId="7F7D918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</w:t>
            </w:r>
          </w:p>
        </w:tc>
        <w:tc>
          <w:tcPr>
            <w:tcW w:w="0" w:type="auto"/>
          </w:tcPr>
          <w:p w14:paraId="0F44015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</w:t>
            </w:r>
          </w:p>
        </w:tc>
        <w:tc>
          <w:tcPr>
            <w:tcW w:w="0" w:type="auto"/>
          </w:tcPr>
          <w:p w14:paraId="3EF3593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633</m:t>
                </m:r>
              </m:oMath>
            </m:oMathPara>
          </w:p>
        </w:tc>
        <w:tc>
          <w:tcPr>
            <w:tcW w:w="0" w:type="auto"/>
          </w:tcPr>
          <w:p w14:paraId="18B2763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802</m:t>
                </m:r>
              </m:oMath>
            </m:oMathPara>
          </w:p>
        </w:tc>
        <w:tc>
          <w:tcPr>
            <w:tcW w:w="0" w:type="auto"/>
          </w:tcPr>
          <w:p w14:paraId="116CD5C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04</m:t>
                </m:r>
              </m:oMath>
            </m:oMathPara>
          </w:p>
        </w:tc>
      </w:tr>
      <w:tr w:rsidR="002A51BE" w:rsidRPr="009C5C34" w14:paraId="3CB2FEA4" w14:textId="77777777">
        <w:tc>
          <w:tcPr>
            <w:tcW w:w="0" w:type="auto"/>
          </w:tcPr>
          <w:p w14:paraId="5C06950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0390CD4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</w:t>
            </w:r>
          </w:p>
        </w:tc>
        <w:tc>
          <w:tcPr>
            <w:tcW w:w="0" w:type="auto"/>
          </w:tcPr>
          <w:p w14:paraId="651F96B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07E61C1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827</m:t>
                </m:r>
              </m:oMath>
            </m:oMathPara>
          </w:p>
        </w:tc>
        <w:tc>
          <w:tcPr>
            <w:tcW w:w="0" w:type="auto"/>
          </w:tcPr>
          <w:p w14:paraId="21CF580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973</m:t>
                </m:r>
              </m:oMath>
            </m:oMathPara>
          </w:p>
        </w:tc>
        <w:tc>
          <w:tcPr>
            <w:tcW w:w="0" w:type="auto"/>
          </w:tcPr>
          <w:p w14:paraId="2A70993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</m:t>
                </m:r>
              </m:oMath>
            </m:oMathPara>
          </w:p>
        </w:tc>
      </w:tr>
      <w:tr w:rsidR="002A51BE" w:rsidRPr="009C5C34" w14:paraId="2011328E" w14:textId="77777777">
        <w:tc>
          <w:tcPr>
            <w:tcW w:w="0" w:type="auto"/>
          </w:tcPr>
          <w:p w14:paraId="39DFB8B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</w:t>
            </w:r>
          </w:p>
        </w:tc>
        <w:tc>
          <w:tcPr>
            <w:tcW w:w="0" w:type="auto"/>
          </w:tcPr>
          <w:p w14:paraId="56BEF85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</w:t>
            </w:r>
          </w:p>
        </w:tc>
        <w:tc>
          <w:tcPr>
            <w:tcW w:w="0" w:type="auto"/>
          </w:tcPr>
          <w:p w14:paraId="774AC91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0B12931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825</m:t>
                </m:r>
              </m:oMath>
            </m:oMathPara>
          </w:p>
        </w:tc>
        <w:tc>
          <w:tcPr>
            <w:tcW w:w="0" w:type="auto"/>
          </w:tcPr>
          <w:p w14:paraId="62A1915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961</m:t>
                </m:r>
              </m:oMath>
            </m:oMathPara>
          </w:p>
        </w:tc>
        <w:tc>
          <w:tcPr>
            <w:tcW w:w="0" w:type="auto"/>
          </w:tcPr>
          <w:p w14:paraId="6B51114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09</m:t>
                </m:r>
              </m:oMath>
            </m:oMathPara>
          </w:p>
        </w:tc>
      </w:tr>
    </w:tbl>
    <w:p w14:paraId="4ECD3000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Наблюдения:</w:t>
      </w:r>
    </w:p>
    <w:p w14:paraId="30B7559B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Точность атаки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80</m:t>
        </m:r>
      </m:oMath>
      <w:r w:rsidRPr="009C5C34">
        <w:rPr>
          <w:szCs w:val="28"/>
        </w:rPr>
        <w:t xml:space="preserve"> во всех конфигурациях, включая FedRoLA + ДП в обоих сценариях. FedRoLA с ДП не детектирует атаку замены модели вообще (TPR </w:t>
      </w:r>
      <m:oMath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); FedRoLA без ДП даёт TPR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19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14</m:t>
        </m:r>
      </m:oMath>
      <w:r w:rsidRPr="009C5C34">
        <w:rPr>
          <w:szCs w:val="28"/>
        </w:rPr>
        <w:t xml:space="preserve"> — детектор частично срабатывает, но ТЗА всё равно 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000</m:t>
        </m:r>
      </m:oMath>
      <w:r w:rsidRPr="009C5C34">
        <w:rPr>
          <w:szCs w:val="28"/>
        </w:rPr>
        <w:t xml:space="preserve">. Это согласуется с тем, что авторы FedRoLA не тестировали закладку и не претендуют на её обнаружение [12]. Источник недетектируемости — структурный: после клиппинга нормы все обновления сравнимы, а cosine-similarity между вредоносным и честным обновлением остаётся высокой, потому что направление обновления формируется коалицией из 40 % вредоносных, и это </w:t>
      </w:r>
      <w:r w:rsidRPr="009C5C34">
        <w:rPr>
          <w:szCs w:val="28"/>
        </w:rPr>
        <w:lastRenderedPageBreak/>
        <w:t>направление частично совпадает с нормальным градиентом по подмножеству признаков.</w:t>
      </w:r>
    </w:p>
    <w:p w14:paraId="045BDA7A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Multi-Krum обнаруживает закладку чаще (TPR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52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59</m:t>
        </m:r>
      </m:oMath>
      <w:r w:rsidRPr="009C5C34">
        <w:rPr>
          <w:szCs w:val="28"/>
        </w:rPr>
        <w:t xml:space="preserve">) — выбор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assumed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12</m:t>
        </m:r>
      </m:oMath>
      <w:r w:rsidRPr="009C5C34">
        <w:rPr>
          <w:szCs w:val="28"/>
        </w:rPr>
        <w:t xml:space="preserve"> ближайших обновлений действительно отбрасывает часть закладочных. Но это hard rejection, и в межустройственном сценарии цена — потеря </w:t>
      </w:r>
      <m:oMath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 п.п. ТОЗ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633</m:t>
        </m:r>
      </m:oMath>
      <w:r w:rsidRPr="009C5C34">
        <w:rPr>
          <w:szCs w:val="28"/>
        </w:rPr>
        <w:t xml:space="preserve"> против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733</m:t>
        </m:r>
      </m:oMath>
      <w:r w:rsidRPr="009C5C34">
        <w:rPr>
          <w:szCs w:val="28"/>
        </w:rPr>
        <w:t xml:space="preserve"> у FedRoLA + ДП). При этом ТЗА всё равно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80</m:t>
        </m:r>
      </m:oMath>
      <w:r w:rsidRPr="009C5C34">
        <w:rPr>
          <w:szCs w:val="28"/>
        </w:rPr>
        <w:t>.</w:t>
      </w:r>
    </w:p>
    <w:p w14:paraId="52D9328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— В межорганизационном сценарии Multi-Krum на закладке держит ТОЗ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825</m:t>
        </m:r>
      </m:oMath>
      <w:r w:rsidRPr="009C5C34">
        <w:rPr>
          <w:szCs w:val="28"/>
        </w:rPr>
        <w:t xml:space="preserve">, на уровне FedRoLA + ДП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827</m:t>
        </m:r>
      </m:oMath>
      <w:r w:rsidRPr="009C5C34">
        <w:rPr>
          <w:szCs w:val="28"/>
        </w:rPr>
        <w:t xml:space="preserve">), но и там ТЗА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96</m:t>
        </m:r>
      </m:oMath>
      <w:r w:rsidRPr="009C5C34">
        <w:rPr>
          <w:szCs w:val="28"/>
        </w:rPr>
        <w:t>.</w:t>
      </w:r>
    </w:p>
    <w:p w14:paraId="7173D4A2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Дополнительная диагностика (Section C итерации 2):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∈{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}</m:t>
        </m:r>
      </m:oMath>
      <w:r w:rsidRPr="009C5C34">
        <w:rPr>
          <w:szCs w:val="28"/>
        </w:rPr>
        <w:t xml:space="preserve"> — ТЗА везде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96</m:t>
        </m:r>
      </m:oMath>
      <w:r w:rsidRPr="009C5C34">
        <w:rPr>
          <w:szCs w:val="28"/>
        </w:rPr>
        <w:t xml:space="preserve">. Снижение потолка клиппинга не помогает. Конфигурация FedRoLA полного слоя (full-layer вместо случайной выборки трёх слоёв) поднимает TPR в межустройственном сценарии с 0,08 до 0,21, но FPR при этом растёт до 0,25 (ложных срабатываний почти столько же, сколько истинных), а ТЗА остаётся 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000</m:t>
        </m:r>
      </m:oMath>
      <w:r w:rsidRPr="009C5C34">
        <w:rPr>
          <w:szCs w:val="28"/>
        </w:rPr>
        <w:t>.</w:t>
      </w:r>
    </w:p>
    <w:p w14:paraId="03B12D29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[Установлено экспериментально] цель ЦБ4 (устойчивость к усилению масштаба) выполняется: после клиппинга </w:t>
      </w:r>
      <m:oMath>
        <m:r>
          <w:rPr>
            <w:rFonts w:ascii="Cambria Math" w:hAnsi="Cambria Math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</m:t>
        </m:r>
      </m:oMath>
      <w:r w:rsidRPr="009C5C34">
        <w:rPr>
          <w:szCs w:val="28"/>
        </w:rPr>
        <w:t xml:space="preserve"> нивелировано, нормы агрегата остаются ограниченными. Однако этого недостаточно для блокирования закладки: после клиппинга закладочные обновления сохраняют направление, и FedRoLA, основанный на cosine-similarity, их не отделяет. Это </w:t>
      </w:r>
      <w:r w:rsidRPr="009C5C34">
        <w:rPr>
          <w:b/>
          <w:bCs/>
          <w:szCs w:val="28"/>
        </w:rPr>
        <w:t>граница применимости</w:t>
      </w:r>
      <w:r w:rsidRPr="009C5C34">
        <w:rPr>
          <w:szCs w:val="28"/>
        </w:rPr>
        <w:t xml:space="preserve"> конвейера FedRoLA + клиппинг + ДП и явный остаточный риск (УБИ-ML.02 в таблице 3.4). Защита от закладки требует механизмов другого типа — Neural Cleanse, certified robustness, pruning отравленных нейронов — что выходит за пределы настоящей работы и обсуждается в подразделе 5.7.</w:t>
      </w:r>
    </w:p>
    <w:p w14:paraId="3F1E3D5C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lastRenderedPageBreak/>
        <w:drawing>
          <wp:inline distT="0" distB="0" distL="0" distR="0" wp14:anchorId="46BC4EA5" wp14:editId="4121E3B6">
            <wp:extent cx="5930900" cy="3637912"/>
            <wp:effectExtent l="0" t="0" r="0" b="0"/>
            <wp:docPr id="36" name="Picture" descr="Рисунок 5.4 — Атака со скрытой закладкой: ТЗА и ТОЗ в зависимости от доли вредоносных (CD, FedRoLA + ДП \varepsilon = 10, 3 seeds, полоса \pm \sigma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fig_5_4_backdoor_mrea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3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4C67F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Рисунок 5.4 — Атака со скрытой закладкой: ТЗА и ТОЗ в зависимости от доли вредоносных (CD, FedRoLA +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, 3 seeds, полоса </w:t>
      </w:r>
      <m:oMath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σ</m:t>
        </m:r>
      </m:oMath>
      <w:r w:rsidRPr="009C5C34">
        <w:rPr>
          <w:szCs w:val="28"/>
        </w:rPr>
        <w:t>).</w:t>
      </w:r>
    </w:p>
    <w:p w14:paraId="4BDFA1F8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9" w:name="отравление-данных"/>
      <w:bookmarkEnd w:id="8"/>
      <w:r w:rsidRPr="009C5C34">
        <w:rPr>
          <w:rFonts w:ascii="Times New Roman" w:hAnsi="Times New Roman" w:cs="Times New Roman"/>
          <w:szCs w:val="28"/>
        </w:rPr>
        <w:t>1.3.3</w:t>
      </w:r>
      <w:r w:rsidRPr="009C5C34">
        <w:rPr>
          <w:rFonts w:ascii="Times New Roman" w:hAnsi="Times New Roman" w:cs="Times New Roman"/>
          <w:szCs w:val="28"/>
        </w:rPr>
        <w:tab/>
        <w:t>5.3.3 Отравление данных</w:t>
      </w:r>
    </w:p>
    <w:p w14:paraId="5D558AE6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В межорганизационном сценарии исследовались два варианта: случайная перестановка меток в локальной выборке (нецелевое) и направленная подмена меток в одной паре (5 → 3, целевое).</w:t>
      </w:r>
    </w:p>
    <w:p w14:paraId="35BE714C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Таблица 5.6 — Отравление данных в межорганизационном сценарии (три seeds,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>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3065"/>
        <w:gridCol w:w="2208"/>
        <w:gridCol w:w="1851"/>
        <w:gridCol w:w="894"/>
        <w:gridCol w:w="1553"/>
      </w:tblGrid>
      <w:tr w:rsidR="002A51BE" w:rsidRPr="009C5C34" w14:paraId="226258F0" w14:textId="77777777">
        <w:trPr>
          <w:tblHeader/>
        </w:trPr>
        <w:tc>
          <w:tcPr>
            <w:tcW w:w="0" w:type="auto"/>
          </w:tcPr>
          <w:p w14:paraId="660D3EF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Атака</w:t>
            </w:r>
          </w:p>
        </w:tc>
        <w:tc>
          <w:tcPr>
            <w:tcW w:w="0" w:type="auto"/>
          </w:tcPr>
          <w:p w14:paraId="2536233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Защита</w:t>
            </w:r>
          </w:p>
        </w:tc>
        <w:tc>
          <w:tcPr>
            <w:tcW w:w="0" w:type="auto"/>
          </w:tcPr>
          <w:p w14:paraId="28F29EE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7EC698D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ТЗА</w:t>
            </w:r>
          </w:p>
        </w:tc>
        <w:tc>
          <w:tcPr>
            <w:tcW w:w="0" w:type="auto"/>
          </w:tcPr>
          <w:p w14:paraId="23E1A42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TPR</w:t>
            </w:r>
          </w:p>
        </w:tc>
      </w:tr>
      <w:tr w:rsidR="002A51BE" w:rsidRPr="009C5C34" w14:paraId="72F995BC" w14:textId="77777777">
        <w:tc>
          <w:tcPr>
            <w:tcW w:w="0" w:type="auto"/>
          </w:tcPr>
          <w:p w14:paraId="31FAA59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Случайная перестановка</w:t>
            </w:r>
          </w:p>
        </w:tc>
        <w:tc>
          <w:tcPr>
            <w:tcW w:w="0" w:type="auto"/>
          </w:tcPr>
          <w:p w14:paraId="77AF406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 + ДП</w:t>
            </w:r>
          </w:p>
        </w:tc>
        <w:tc>
          <w:tcPr>
            <w:tcW w:w="0" w:type="auto"/>
          </w:tcPr>
          <w:p w14:paraId="1945E81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776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033</m:t>
                </m:r>
              </m:oMath>
            </m:oMathPara>
          </w:p>
        </w:tc>
        <w:tc>
          <w:tcPr>
            <w:tcW w:w="0" w:type="auto"/>
          </w:tcPr>
          <w:p w14:paraId="29E570D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622650E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09</m:t>
                </m:r>
              </m:oMath>
            </m:oMathPara>
          </w:p>
        </w:tc>
      </w:tr>
      <w:tr w:rsidR="002A51BE" w:rsidRPr="009C5C34" w14:paraId="27DDC780" w14:textId="77777777">
        <w:tc>
          <w:tcPr>
            <w:tcW w:w="0" w:type="auto"/>
          </w:tcPr>
          <w:p w14:paraId="6BF250D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Случайная перестановка</w:t>
            </w:r>
          </w:p>
        </w:tc>
        <w:tc>
          <w:tcPr>
            <w:tcW w:w="0" w:type="auto"/>
          </w:tcPr>
          <w:p w14:paraId="4A15535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Multi-Krum + ДП</w:t>
            </w:r>
          </w:p>
        </w:tc>
        <w:tc>
          <w:tcPr>
            <w:tcW w:w="0" w:type="auto"/>
          </w:tcPr>
          <w:p w14:paraId="2F2B838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028</m:t>
                </m:r>
              </m:oMath>
            </m:oMathPara>
          </w:p>
        </w:tc>
        <w:tc>
          <w:tcPr>
            <w:tcW w:w="0" w:type="auto"/>
          </w:tcPr>
          <w:p w14:paraId="3361B81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46E059B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15</m:t>
                </m:r>
              </m:oMath>
            </m:oMathPara>
          </w:p>
        </w:tc>
      </w:tr>
      <w:tr w:rsidR="002A51BE" w:rsidRPr="009C5C34" w14:paraId="08AABAE9" w14:textId="77777777">
        <w:tc>
          <w:tcPr>
            <w:tcW w:w="0" w:type="auto"/>
          </w:tcPr>
          <w:p w14:paraId="023B381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Подмена 5 → 3</w:t>
            </w:r>
          </w:p>
        </w:tc>
        <w:tc>
          <w:tcPr>
            <w:tcW w:w="0" w:type="auto"/>
          </w:tcPr>
          <w:p w14:paraId="34E2B15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 + ДП</w:t>
            </w:r>
          </w:p>
        </w:tc>
        <w:tc>
          <w:tcPr>
            <w:tcW w:w="0" w:type="auto"/>
          </w:tcPr>
          <w:p w14:paraId="77BAA6F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020</m:t>
                </m:r>
              </m:oMath>
            </m:oMathPara>
          </w:p>
        </w:tc>
        <w:tc>
          <w:tcPr>
            <w:tcW w:w="0" w:type="auto"/>
          </w:tcPr>
          <w:p w14:paraId="4EA4E17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361</m:t>
                </m:r>
              </m:oMath>
            </m:oMathPara>
          </w:p>
        </w:tc>
        <w:tc>
          <w:tcPr>
            <w:tcW w:w="0" w:type="auto"/>
          </w:tcPr>
          <w:p w14:paraId="266B97C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</m:t>
                </m:r>
              </m:oMath>
            </m:oMathPara>
          </w:p>
        </w:tc>
      </w:tr>
      <w:tr w:rsidR="002A51BE" w:rsidRPr="009C5C34" w14:paraId="17F2854C" w14:textId="77777777">
        <w:tc>
          <w:tcPr>
            <w:tcW w:w="0" w:type="auto"/>
          </w:tcPr>
          <w:p w14:paraId="18D13BA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Подмена 5 → 3</w:t>
            </w:r>
          </w:p>
        </w:tc>
        <w:tc>
          <w:tcPr>
            <w:tcW w:w="0" w:type="auto"/>
          </w:tcPr>
          <w:p w14:paraId="2DEA930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FedAvg + </w:t>
            </w:r>
            <w:r w:rsidRPr="009C5C34">
              <w:rPr>
                <w:szCs w:val="28"/>
              </w:rPr>
              <w:lastRenderedPageBreak/>
              <w:t>ДП</w:t>
            </w:r>
          </w:p>
        </w:tc>
        <w:tc>
          <w:tcPr>
            <w:tcW w:w="0" w:type="auto"/>
          </w:tcPr>
          <w:p w14:paraId="1B16EB6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019</m:t>
                </m:r>
              </m:oMath>
            </m:oMathPara>
          </w:p>
        </w:tc>
        <w:tc>
          <w:tcPr>
            <w:tcW w:w="0" w:type="auto"/>
          </w:tcPr>
          <w:p w14:paraId="5950A36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366</m:t>
                </m:r>
              </m:oMath>
            </m:oMathPara>
          </w:p>
        </w:tc>
        <w:tc>
          <w:tcPr>
            <w:tcW w:w="0" w:type="auto"/>
          </w:tcPr>
          <w:p w14:paraId="059A9FD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</w:tr>
    </w:tbl>
    <w:p w14:paraId="4DF0830F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Случайная перестановка — атака с ограниченным эффектом: данные после перестановки выглядят как шум для модели, и эффективный объём обучающей выборки сокращается. ТОЗ просаживается умеренно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833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776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Δ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06</m:t>
        </m:r>
      </m:oMath>
      <w:r w:rsidRPr="009C5C34">
        <w:rPr>
          <w:szCs w:val="28"/>
        </w:rPr>
        <w:t>).</w:t>
      </w:r>
    </w:p>
    <w:p w14:paraId="1EE0B71C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Подмена 5 → 3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 даёт ТЗА (доля примеров класса 5, классифицированных как 3)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36</m:t>
        </m:r>
      </m:oMath>
      <w:r w:rsidRPr="009C5C34">
        <w:rPr>
          <w:szCs w:val="28"/>
        </w:rPr>
        <w:t>, и здесь обнаруживается важный негативный результат: FedRoLA по всем метрикам идентичен FedAvg в третьем знаке. ДП также не снижает ТЗА. Причина — целевое отравление данных не оставляет следа в форме обновления; вредоносный клиент обучает модель на «своих» данных, обновление ничем не отличается от обновления добросовестного клиента, у которого в локальной выборке статистически чаще встречалась пара 5 → 3.</w:t>
      </w:r>
    </w:p>
    <w:p w14:paraId="2DDD6CCA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[Установлено экспериментально] цель ЦБ1 закрывает только нецелевое отравление данных. Целевое отравление данных — отдельный класс угроз (УБИ-ML.04), для которого робастная агрегация структурно непригодна. Это явный остаточный риск, отмеченный в таблице 3.4. Возможные направления защиты — label-noise-aware learning, certified label robustness, аудит распределения меток между клиентами — выходят за пределы работы.</w:t>
      </w:r>
    </w:p>
    <w:p w14:paraId="22A33D07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0" w:name="анализ-чувствительности"/>
      <w:bookmarkEnd w:id="6"/>
      <w:bookmarkEnd w:id="9"/>
      <w:r w:rsidRPr="009C5C34">
        <w:rPr>
          <w:rFonts w:ascii="Times New Roman" w:hAnsi="Times New Roman" w:cs="Times New Roman"/>
          <w:szCs w:val="28"/>
        </w:rPr>
        <w:t>1.4</w:t>
      </w:r>
      <w:r w:rsidRPr="009C5C34">
        <w:rPr>
          <w:rFonts w:ascii="Times New Roman" w:hAnsi="Times New Roman" w:cs="Times New Roman"/>
          <w:szCs w:val="28"/>
        </w:rPr>
        <w:tab/>
        <w:t>5.4 Анализ чувствительности</w:t>
      </w:r>
    </w:p>
    <w:p w14:paraId="6B68FF7F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Раздел 5.3 фиксирует поведение конвейера в номинальных параметрах (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 для CD 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 для CS,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200</m:t>
        </m:r>
      </m:oMath>
      <w:r w:rsidRPr="009C5C34">
        <w:rPr>
          <w:szCs w:val="28"/>
        </w:rPr>
        <w:t>). В настоящем разделе исследуются отклики на изменение этих параметров.</w:t>
      </w:r>
    </w:p>
    <w:p w14:paraId="361E8FB1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1" w:name="доля-вредоносных-клиентов"/>
      <w:r w:rsidRPr="009C5C34">
        <w:rPr>
          <w:rFonts w:ascii="Times New Roman" w:hAnsi="Times New Roman" w:cs="Times New Roman"/>
          <w:szCs w:val="28"/>
        </w:rPr>
        <w:t>1.4.1</w:t>
      </w:r>
      <w:r w:rsidRPr="009C5C34">
        <w:rPr>
          <w:rFonts w:ascii="Times New Roman" w:hAnsi="Times New Roman" w:cs="Times New Roman"/>
          <w:szCs w:val="28"/>
        </w:rPr>
        <w:tab/>
        <w:t>5.4.1 Доля вредоносных клиентов</w:t>
      </w:r>
    </w:p>
    <w:p w14:paraId="4D7B4A26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Серия запусков по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∈{</m:t>
        </m:r>
        <m:r>
          <w:rPr>
            <w:rFonts w:ascii="Cambria Math" w:hAnsi="Cambria Math"/>
            <w:szCs w:val="28"/>
          </w:rPr>
          <m:t>10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40</m:t>
        </m:r>
        <m:r>
          <m:rPr>
            <m:sty m:val="p"/>
          </m:rPr>
          <w:rPr>
            <w:rFonts w:ascii="Cambria Math" w:hAnsi="Cambria Math"/>
            <w:szCs w:val="28"/>
          </w:rPr>
          <m:t>}</m:t>
        </m:r>
        <m:r>
          <w:rPr>
            <w:rFonts w:ascii="Cambria Math" w:hAnsi="Cambria Math"/>
            <w:szCs w:val="28"/>
          </w:rPr>
          <m:t>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 позволяет проверить, до какой доли остаётся справедливой ЦБ1.</w:t>
      </w:r>
    </w:p>
    <w:p w14:paraId="0DD86D46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Таблица 5.7 — Эффект доли вредоносных при ALIE (CD, FedRoLA +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>, три seeds)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998"/>
        <w:gridCol w:w="2374"/>
        <w:gridCol w:w="2711"/>
        <w:gridCol w:w="2374"/>
        <w:gridCol w:w="1114"/>
      </w:tblGrid>
      <w:tr w:rsidR="002A51BE" w:rsidRPr="009C5C34" w14:paraId="6A5D0C96" w14:textId="77777777">
        <w:trPr>
          <w:tblHeader/>
        </w:trPr>
        <w:tc>
          <w:tcPr>
            <w:tcW w:w="0" w:type="auto"/>
          </w:tcPr>
          <w:p w14:paraId="42E4C543" w14:textId="77777777" w:rsidR="002A51BE" w:rsidRPr="009C5C34" w:rsidRDefault="00276465" w:rsidP="009C5C34">
            <w:pPr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szCs w:val="28"/>
                      </w:rPr>
                      <m:t>real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D7062F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3B91B6CF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Δ</m:t>
              </m:r>
            </m:oMath>
            <w:r w:rsidRPr="009C5C34">
              <w:rPr>
                <w:szCs w:val="28"/>
              </w:rPr>
              <w:t>ТОЗ к чистому</w:t>
            </w:r>
          </w:p>
        </w:tc>
        <w:tc>
          <w:tcPr>
            <w:tcW w:w="0" w:type="auto"/>
          </w:tcPr>
          <w:p w14:paraId="601F008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TPR</w:t>
            </w:r>
          </w:p>
        </w:tc>
        <w:tc>
          <w:tcPr>
            <w:tcW w:w="0" w:type="auto"/>
          </w:tcPr>
          <w:p w14:paraId="2065543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FPR</w:t>
            </w:r>
          </w:p>
        </w:tc>
      </w:tr>
      <w:tr w:rsidR="002A51BE" w:rsidRPr="009C5C34" w14:paraId="2E908836" w14:textId="77777777">
        <w:tc>
          <w:tcPr>
            <w:tcW w:w="0" w:type="auto"/>
          </w:tcPr>
          <w:p w14:paraId="0EB8B65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10 %</w:t>
            </w:r>
          </w:p>
        </w:tc>
        <w:tc>
          <w:tcPr>
            <w:tcW w:w="0" w:type="auto"/>
          </w:tcPr>
          <w:p w14:paraId="5F37743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002</m:t>
                </m:r>
              </m:oMath>
            </m:oMathPara>
          </w:p>
        </w:tc>
        <w:tc>
          <w:tcPr>
            <w:tcW w:w="0" w:type="auto"/>
          </w:tcPr>
          <w:p w14:paraId="6D71D7D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005</m:t>
                </m:r>
              </m:oMath>
            </m:oMathPara>
          </w:p>
        </w:tc>
        <w:tc>
          <w:tcPr>
            <w:tcW w:w="0" w:type="auto"/>
          </w:tcPr>
          <w:p w14:paraId="4373257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236</m:t>
                </m:r>
              </m:oMath>
            </m:oMathPara>
          </w:p>
        </w:tc>
        <w:tc>
          <w:tcPr>
            <w:tcW w:w="0" w:type="auto"/>
          </w:tcPr>
          <w:p w14:paraId="3371C49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029</m:t>
                </m:r>
              </m:oMath>
            </m:oMathPara>
          </w:p>
        </w:tc>
      </w:tr>
      <w:tr w:rsidR="002A51BE" w:rsidRPr="009C5C34" w14:paraId="4894B818" w14:textId="77777777">
        <w:tc>
          <w:tcPr>
            <w:tcW w:w="0" w:type="auto"/>
          </w:tcPr>
          <w:p w14:paraId="79C65CE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20 %</w:t>
            </w:r>
          </w:p>
        </w:tc>
        <w:tc>
          <w:tcPr>
            <w:tcW w:w="0" w:type="auto"/>
          </w:tcPr>
          <w:p w14:paraId="49E6E93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028</m:t>
                </m:r>
              </m:oMath>
            </m:oMathPara>
          </w:p>
        </w:tc>
        <w:tc>
          <w:tcPr>
            <w:tcW w:w="0" w:type="auto"/>
          </w:tcPr>
          <w:p w14:paraId="3A8E31B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018</m:t>
                </m:r>
              </m:oMath>
            </m:oMathPara>
          </w:p>
        </w:tc>
        <w:tc>
          <w:tcPr>
            <w:tcW w:w="0" w:type="auto"/>
          </w:tcPr>
          <w:p w14:paraId="7C15CC3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236</m:t>
                </m:r>
              </m:oMath>
            </m:oMathPara>
          </w:p>
        </w:tc>
        <w:tc>
          <w:tcPr>
            <w:tcW w:w="0" w:type="auto"/>
          </w:tcPr>
          <w:p w14:paraId="6B481D3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1F2089AE" w14:textId="77777777">
        <w:tc>
          <w:tcPr>
            <w:tcW w:w="0" w:type="auto"/>
          </w:tcPr>
          <w:p w14:paraId="0C673BB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30 %</w:t>
            </w:r>
          </w:p>
        </w:tc>
        <w:tc>
          <w:tcPr>
            <w:tcW w:w="0" w:type="auto"/>
          </w:tcPr>
          <w:p w14:paraId="6F6AFB3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775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021</m:t>
                </m:r>
              </m:oMath>
            </m:oMathPara>
          </w:p>
        </w:tc>
        <w:tc>
          <w:tcPr>
            <w:tcW w:w="0" w:type="auto"/>
          </w:tcPr>
          <w:p w14:paraId="7634C3C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025</m:t>
                </m:r>
              </m:oMath>
            </m:oMathPara>
          </w:p>
        </w:tc>
        <w:tc>
          <w:tcPr>
            <w:tcW w:w="0" w:type="auto"/>
          </w:tcPr>
          <w:p w14:paraId="6148605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0A4035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61C474EB" w14:textId="77777777">
        <w:tc>
          <w:tcPr>
            <w:tcW w:w="0" w:type="auto"/>
          </w:tcPr>
          <w:p w14:paraId="3E4E9BB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40 %</w:t>
            </w:r>
          </w:p>
        </w:tc>
        <w:tc>
          <w:tcPr>
            <w:tcW w:w="0" w:type="auto"/>
          </w:tcPr>
          <w:p w14:paraId="68B8D4E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730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027</m:t>
                </m:r>
              </m:oMath>
            </m:oMathPara>
          </w:p>
        </w:tc>
        <w:tc>
          <w:tcPr>
            <w:tcW w:w="0" w:type="auto"/>
          </w:tcPr>
          <w:p w14:paraId="15CDAEA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070</m:t>
                </m:r>
              </m:oMath>
            </m:oMathPara>
          </w:p>
        </w:tc>
        <w:tc>
          <w:tcPr>
            <w:tcW w:w="0" w:type="auto"/>
          </w:tcPr>
          <w:p w14:paraId="0EB2816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667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471</m:t>
                </m:r>
              </m:oMath>
            </m:oMathPara>
          </w:p>
        </w:tc>
        <w:tc>
          <w:tcPr>
            <w:tcW w:w="0" w:type="auto"/>
          </w:tcPr>
          <w:p w14:paraId="711C325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</w:tbl>
    <w:p w14:paraId="48C64D7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Таблица 5.8 — Эффект доли вредоносных при атаке со скрытой закладкой (CD, FedRoLA + ДП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>, три seeds)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174"/>
        <w:gridCol w:w="2799"/>
        <w:gridCol w:w="2799"/>
        <w:gridCol w:w="2799"/>
      </w:tblGrid>
      <w:tr w:rsidR="002A51BE" w:rsidRPr="009C5C34" w14:paraId="3C55F793" w14:textId="77777777">
        <w:trPr>
          <w:tblHeader/>
        </w:trPr>
        <w:tc>
          <w:tcPr>
            <w:tcW w:w="0" w:type="auto"/>
          </w:tcPr>
          <w:p w14:paraId="7A978062" w14:textId="77777777" w:rsidR="002A51BE" w:rsidRPr="009C5C34" w:rsidRDefault="00276465" w:rsidP="009C5C34">
            <w:pPr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szCs w:val="28"/>
                      </w:rPr>
                      <m:t>real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12536D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2BB5F76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ТЗА</w:t>
            </w:r>
          </w:p>
        </w:tc>
        <w:tc>
          <w:tcPr>
            <w:tcW w:w="0" w:type="auto"/>
          </w:tcPr>
          <w:p w14:paraId="7EE1ED3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TPR</w:t>
            </w:r>
          </w:p>
        </w:tc>
      </w:tr>
      <w:tr w:rsidR="002A51BE" w:rsidRPr="009C5C34" w14:paraId="7B2E8A44" w14:textId="77777777">
        <w:tc>
          <w:tcPr>
            <w:tcW w:w="0" w:type="auto"/>
          </w:tcPr>
          <w:p w14:paraId="49079CD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10 %</w:t>
            </w:r>
          </w:p>
        </w:tc>
        <w:tc>
          <w:tcPr>
            <w:tcW w:w="0" w:type="auto"/>
          </w:tcPr>
          <w:p w14:paraId="4418C72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008</m:t>
                </m:r>
              </m:oMath>
            </m:oMathPara>
          </w:p>
        </w:tc>
        <w:tc>
          <w:tcPr>
            <w:tcW w:w="0" w:type="auto"/>
          </w:tcPr>
          <w:p w14:paraId="059D4EA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609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169</m:t>
                </m:r>
              </m:oMath>
            </m:oMathPara>
          </w:p>
        </w:tc>
        <w:tc>
          <w:tcPr>
            <w:tcW w:w="0" w:type="auto"/>
          </w:tcPr>
          <w:p w14:paraId="7EE03A6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378FFA53" w14:textId="77777777">
        <w:tc>
          <w:tcPr>
            <w:tcW w:w="0" w:type="auto"/>
          </w:tcPr>
          <w:p w14:paraId="437B39B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20 %</w:t>
            </w:r>
          </w:p>
        </w:tc>
        <w:tc>
          <w:tcPr>
            <w:tcW w:w="0" w:type="auto"/>
          </w:tcPr>
          <w:p w14:paraId="69628B7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009</m:t>
                </m:r>
              </m:oMath>
            </m:oMathPara>
          </w:p>
        </w:tc>
        <w:tc>
          <w:tcPr>
            <w:tcW w:w="0" w:type="auto"/>
          </w:tcPr>
          <w:p w14:paraId="048DD1A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903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067</m:t>
                </m:r>
              </m:oMath>
            </m:oMathPara>
          </w:p>
        </w:tc>
        <w:tc>
          <w:tcPr>
            <w:tcW w:w="0" w:type="auto"/>
          </w:tcPr>
          <w:p w14:paraId="4FB03FE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028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039</m:t>
                </m:r>
              </m:oMath>
            </m:oMathPara>
          </w:p>
        </w:tc>
      </w:tr>
      <w:tr w:rsidR="002A51BE" w:rsidRPr="009C5C34" w14:paraId="48681604" w14:textId="77777777">
        <w:tc>
          <w:tcPr>
            <w:tcW w:w="0" w:type="auto"/>
          </w:tcPr>
          <w:p w14:paraId="29831C9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30 %</w:t>
            </w:r>
          </w:p>
        </w:tc>
        <w:tc>
          <w:tcPr>
            <w:tcW w:w="0" w:type="auto"/>
          </w:tcPr>
          <w:p w14:paraId="25ECAFE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776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014</m:t>
                </m:r>
              </m:oMath>
            </m:oMathPara>
          </w:p>
        </w:tc>
        <w:tc>
          <w:tcPr>
            <w:tcW w:w="0" w:type="auto"/>
          </w:tcPr>
          <w:p w14:paraId="04255C6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957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037</m:t>
                </m:r>
              </m:oMath>
            </m:oMathPara>
          </w:p>
        </w:tc>
        <w:tc>
          <w:tcPr>
            <w:tcW w:w="0" w:type="auto"/>
          </w:tcPr>
          <w:p w14:paraId="2857B92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2B0A3381" w14:textId="77777777">
        <w:tc>
          <w:tcPr>
            <w:tcW w:w="0" w:type="auto"/>
          </w:tcPr>
          <w:p w14:paraId="5C217E6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40 %</w:t>
            </w:r>
          </w:p>
        </w:tc>
        <w:tc>
          <w:tcPr>
            <w:tcW w:w="0" w:type="auto"/>
          </w:tcPr>
          <w:p w14:paraId="0BFB254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712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049</m:t>
                </m:r>
              </m:oMath>
            </m:oMathPara>
          </w:p>
        </w:tc>
        <w:tc>
          <w:tcPr>
            <w:tcW w:w="0" w:type="auto"/>
          </w:tcPr>
          <w:p w14:paraId="3CD242A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995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005</m:t>
                </m:r>
              </m:oMath>
            </m:oMathPara>
          </w:p>
        </w:tc>
        <w:tc>
          <w:tcPr>
            <w:tcW w:w="0" w:type="auto"/>
          </w:tcPr>
          <w:p w14:paraId="6952DD8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064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059</m:t>
                </m:r>
              </m:oMath>
            </m:oMathPara>
          </w:p>
        </w:tc>
      </w:tr>
    </w:tbl>
    <w:p w14:paraId="4166A811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Парный график 5.5 показывает контраст: для ALIE TPR держится в коридоре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67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</m:t>
        </m:r>
      </m:oMath>
      <w:r w:rsidRPr="009C5C34">
        <w:rPr>
          <w:szCs w:val="28"/>
        </w:rPr>
        <w:t xml:space="preserve"> во всём диапазоне (с большим разбросом по seeds), для атаки со скрытой закладкой TPR не превышает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07</m:t>
        </m:r>
      </m:oMath>
      <w:r w:rsidRPr="009C5C34">
        <w:rPr>
          <w:szCs w:val="28"/>
        </w:rPr>
        <w:t>. ALIE и закладка — это разные структурные классы, и одна и та же конфигурация защиты их различает.</w:t>
      </w:r>
    </w:p>
    <w:p w14:paraId="1A4A639A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Заметна особенность ALIE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: TPR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667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471</m:t>
        </m:r>
      </m:oMath>
      <w:r w:rsidRPr="009C5C34">
        <w:rPr>
          <w:szCs w:val="28"/>
        </w:rPr>
        <w:t xml:space="preserve"> — провал относительно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30 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 (TPR 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000</m:t>
        </m:r>
      </m:oMath>
      <w:r w:rsidRPr="009C5C34">
        <w:rPr>
          <w:szCs w:val="28"/>
        </w:rPr>
        <w:t xml:space="preserve">). Большое стандартное отклонение указывает на бимодальность: в одном из трёх seeds детектор не работает совсем (TPR = 0), в двух работает идеально. Объяснение: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 число вредоносных приближается к границе формулы FedRoLA-PCSI (</w:t>
      </w:r>
      <m:oMath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-</m:t>
        </m:r>
        <m:r>
          <w:rPr>
            <w:rFonts w:ascii="Cambria Math" w:hAnsi="Cambria Math"/>
            <w:szCs w:val="28"/>
          </w:rPr>
          <m:t>2m</m:t>
        </m:r>
        <m:r>
          <m:rPr>
            <m:sty m:val="p"/>
          </m:rP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становится малым), и сэмплирование слоёв становится критическим — выбор «неподходящих» слоёв в данном seed уводит scoring в область, где вредоносные перестают выделяться. Это нелинейный эффект, требующий учёта при подборе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assumed</m:t>
            </m:r>
          </m:sub>
        </m:sSub>
      </m:oMath>
      <w:r w:rsidRPr="009C5C34">
        <w:rPr>
          <w:szCs w:val="28"/>
        </w:rPr>
        <w:t xml:space="preserve"> и числа сэмплируемых слоёв </w:t>
      </w:r>
      <m:oMath>
        <m:r>
          <w:rPr>
            <w:rFonts w:ascii="Cambria Math" w:hAnsi="Cambria Math"/>
            <w:szCs w:val="28"/>
          </w:rPr>
          <m:t>χ</m:t>
        </m:r>
      </m:oMath>
      <w:r w:rsidRPr="009C5C34">
        <w:rPr>
          <w:szCs w:val="28"/>
        </w:rPr>
        <w:t>.</w:t>
      </w:r>
    </w:p>
    <w:p w14:paraId="32DBD31A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drawing>
          <wp:inline distT="0" distB="0" distL="0" distR="0" wp14:anchorId="4C2999CE" wp14:editId="72FE41C2">
            <wp:extent cx="5930900" cy="3782023"/>
            <wp:effectExtent l="0" t="0" r="0" b="0"/>
            <wp:docPr id="42" name="Picture" descr="Рисунок 5.5 — TPR детектора FedRoLA в зависимости от доли вредоносных, парный график для ALIE и атаки со скрытой закладкой (CD, FedRoLA + ДП, 3 seeds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fig_5_5_tpr_mrea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82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E6337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Рисунок 5.5 — TPR детектора FedRoLA в зависимости от доли вредоносных, парный график для ALIE и атаки со скрытой закладкой (CD, FedRoLA + ДП, 3 seeds).</w:t>
      </w:r>
    </w:p>
    <w:p w14:paraId="1270F57F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2" w:name="бюджет-приватности-s-кривые"/>
      <w:bookmarkEnd w:id="11"/>
      <w:r w:rsidRPr="009C5C34">
        <w:rPr>
          <w:rFonts w:ascii="Times New Roman" w:hAnsi="Times New Roman" w:cs="Times New Roman"/>
          <w:szCs w:val="28"/>
        </w:rPr>
        <w:t>1.4.2</w:t>
      </w:r>
      <w:r w:rsidRPr="009C5C34">
        <w:rPr>
          <w:rFonts w:ascii="Times New Roman" w:hAnsi="Times New Roman" w:cs="Times New Roman"/>
          <w:szCs w:val="28"/>
        </w:rPr>
        <w:tab/>
        <w:t>5.4.2 Бюджет приватности (S-кривые)</w:t>
      </w:r>
    </w:p>
    <w:p w14:paraId="1286CBAD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Зависимость ТОЗ от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 — ключевой график для тезисов 5 и 6. В межустройственном сценарии исследована полная сетка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∈{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20</m:t>
        </m:r>
        <m:r>
          <m:rPr>
            <m:sty m:val="p"/>
          </m:rPr>
          <w:rPr>
            <w:rFonts w:ascii="Cambria Math" w:hAnsi="Cambria Math"/>
            <w:szCs w:val="28"/>
          </w:rPr>
          <m:t>}</m:t>
        </m:r>
      </m:oMath>
      <w:r w:rsidRPr="009C5C34">
        <w:rPr>
          <w:szCs w:val="28"/>
        </w:rPr>
        <w:t xml:space="preserve">, в межорганизационном —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∈{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</m:t>
        </m:r>
        <m:r>
          <m:rPr>
            <m:sty m:val="p"/>
          </m:rPr>
          <w:rPr>
            <w:rFonts w:ascii="Cambria Math" w:hAnsi="Cambria Math"/>
            <w:szCs w:val="28"/>
          </w:rPr>
          <m:t>}</m:t>
        </m:r>
      </m:oMath>
      <w:r w:rsidRPr="009C5C34">
        <w:rPr>
          <w:szCs w:val="28"/>
        </w:rPr>
        <w:t>.</w:t>
      </w:r>
    </w:p>
    <w:p w14:paraId="58406AB6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5.9 — S-кривая ТОЗ в межустройственном сценарии (FedRoLA + ДП, без атак, три seeds)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96"/>
        <w:gridCol w:w="894"/>
        <w:gridCol w:w="894"/>
      </w:tblGrid>
      <w:tr w:rsidR="002A51BE" w:rsidRPr="009C5C34" w14:paraId="5E9C668C" w14:textId="77777777">
        <w:trPr>
          <w:tblHeader/>
        </w:trPr>
        <w:tc>
          <w:tcPr>
            <w:tcW w:w="0" w:type="auto"/>
          </w:tcPr>
          <w:p w14:paraId="3A4AB12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ε</m:t>
                </m:r>
              </m:oMath>
            </m:oMathPara>
          </w:p>
        </w:tc>
        <w:tc>
          <w:tcPr>
            <w:tcW w:w="0" w:type="auto"/>
          </w:tcPr>
          <w:p w14:paraId="5E7B8B6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44A08F0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std</w:t>
            </w:r>
          </w:p>
        </w:tc>
      </w:tr>
      <w:tr w:rsidR="002A51BE" w:rsidRPr="009C5C34" w14:paraId="66F830E4" w14:textId="77777777">
        <w:tc>
          <w:tcPr>
            <w:tcW w:w="0" w:type="auto"/>
          </w:tcPr>
          <w:p w14:paraId="3116E2A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5600DED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100</m:t>
                </m:r>
              </m:oMath>
            </m:oMathPara>
          </w:p>
        </w:tc>
        <w:tc>
          <w:tcPr>
            <w:tcW w:w="0" w:type="auto"/>
          </w:tcPr>
          <w:p w14:paraId="7A71488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2D82A65F" w14:textId="77777777">
        <w:tc>
          <w:tcPr>
            <w:tcW w:w="0" w:type="auto"/>
          </w:tcPr>
          <w:p w14:paraId="5A78908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5E4DE5A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100</m:t>
                </m:r>
              </m:oMath>
            </m:oMathPara>
          </w:p>
        </w:tc>
        <w:tc>
          <w:tcPr>
            <w:tcW w:w="0" w:type="auto"/>
          </w:tcPr>
          <w:p w14:paraId="6D71457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3D19CBD4" w14:textId="77777777">
        <w:tc>
          <w:tcPr>
            <w:tcW w:w="0" w:type="auto"/>
          </w:tcPr>
          <w:p w14:paraId="0835509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0060C48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100</m:t>
                </m:r>
              </m:oMath>
            </m:oMathPara>
          </w:p>
        </w:tc>
        <w:tc>
          <w:tcPr>
            <w:tcW w:w="0" w:type="auto"/>
          </w:tcPr>
          <w:p w14:paraId="1B5F966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</w:tr>
      <w:tr w:rsidR="002A51BE" w:rsidRPr="009C5C34" w14:paraId="285B0206" w14:textId="77777777">
        <w:tc>
          <w:tcPr>
            <w:tcW w:w="0" w:type="auto"/>
          </w:tcPr>
          <w:p w14:paraId="21AD672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145ADC3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511</m:t>
                </m:r>
              </m:oMath>
            </m:oMathPara>
          </w:p>
        </w:tc>
        <w:tc>
          <w:tcPr>
            <w:tcW w:w="0" w:type="auto"/>
          </w:tcPr>
          <w:p w14:paraId="7CBE374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136</m:t>
                </m:r>
              </m:oMath>
            </m:oMathPara>
          </w:p>
        </w:tc>
      </w:tr>
      <w:tr w:rsidR="002A51BE" w:rsidRPr="009C5C34" w14:paraId="793737D5" w14:textId="77777777">
        <w:tc>
          <w:tcPr>
            <w:tcW w:w="0" w:type="auto"/>
          </w:tcPr>
          <w:p w14:paraId="46695D3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532B152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712</m:t>
                </m:r>
              </m:oMath>
            </m:oMathPara>
          </w:p>
        </w:tc>
        <w:tc>
          <w:tcPr>
            <w:tcW w:w="0" w:type="auto"/>
          </w:tcPr>
          <w:p w14:paraId="36D735C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024</m:t>
                </m:r>
              </m:oMath>
            </m:oMathPara>
          </w:p>
        </w:tc>
      </w:tr>
      <w:tr w:rsidR="002A51BE" w:rsidRPr="009C5C34" w14:paraId="5381C23C" w14:textId="77777777">
        <w:tc>
          <w:tcPr>
            <w:tcW w:w="0" w:type="auto"/>
          </w:tcPr>
          <w:p w14:paraId="5665E21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6</w:t>
            </w:r>
          </w:p>
        </w:tc>
        <w:tc>
          <w:tcPr>
            <w:tcW w:w="0" w:type="auto"/>
          </w:tcPr>
          <w:p w14:paraId="1D9F3BA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727</m:t>
                </m:r>
              </m:oMath>
            </m:oMathPara>
          </w:p>
        </w:tc>
        <w:tc>
          <w:tcPr>
            <w:tcW w:w="0" w:type="auto"/>
          </w:tcPr>
          <w:p w14:paraId="00BFA74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032</m:t>
                </m:r>
              </m:oMath>
            </m:oMathPara>
          </w:p>
        </w:tc>
      </w:tr>
      <w:tr w:rsidR="002A51BE" w:rsidRPr="009C5C34" w14:paraId="557194AB" w14:textId="77777777">
        <w:tc>
          <w:tcPr>
            <w:tcW w:w="0" w:type="auto"/>
          </w:tcPr>
          <w:p w14:paraId="3405576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8</w:t>
            </w:r>
          </w:p>
        </w:tc>
        <w:tc>
          <w:tcPr>
            <w:tcW w:w="0" w:type="auto"/>
          </w:tcPr>
          <w:p w14:paraId="4BF70D6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786</m:t>
                </m:r>
              </m:oMath>
            </m:oMathPara>
          </w:p>
        </w:tc>
        <w:tc>
          <w:tcPr>
            <w:tcW w:w="0" w:type="auto"/>
          </w:tcPr>
          <w:p w14:paraId="5FC9A2A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005</m:t>
                </m:r>
              </m:oMath>
            </m:oMathPara>
          </w:p>
        </w:tc>
      </w:tr>
      <w:tr w:rsidR="002A51BE" w:rsidRPr="009C5C34" w14:paraId="522F12FD" w14:textId="77777777">
        <w:tc>
          <w:tcPr>
            <w:tcW w:w="0" w:type="auto"/>
          </w:tcPr>
          <w:p w14:paraId="0161403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</w:t>
            </w:r>
          </w:p>
        </w:tc>
        <w:tc>
          <w:tcPr>
            <w:tcW w:w="0" w:type="auto"/>
          </w:tcPr>
          <w:p w14:paraId="0AE9142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798</m:t>
                </m:r>
              </m:oMath>
            </m:oMathPara>
          </w:p>
        </w:tc>
        <w:tc>
          <w:tcPr>
            <w:tcW w:w="0" w:type="auto"/>
          </w:tcPr>
          <w:p w14:paraId="2AB739B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006</m:t>
                </m:r>
              </m:oMath>
            </m:oMathPara>
          </w:p>
        </w:tc>
      </w:tr>
      <w:tr w:rsidR="002A51BE" w:rsidRPr="009C5C34" w14:paraId="5679881B" w14:textId="77777777">
        <w:tc>
          <w:tcPr>
            <w:tcW w:w="0" w:type="auto"/>
          </w:tcPr>
          <w:p w14:paraId="72F857C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15</w:t>
            </w:r>
          </w:p>
        </w:tc>
        <w:tc>
          <w:tcPr>
            <w:tcW w:w="0" w:type="auto"/>
          </w:tcPr>
          <w:p w14:paraId="3C4B4F3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830</m:t>
                </m:r>
              </m:oMath>
            </m:oMathPara>
          </w:p>
        </w:tc>
        <w:tc>
          <w:tcPr>
            <w:tcW w:w="0" w:type="auto"/>
          </w:tcPr>
          <w:p w14:paraId="302A011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005</m:t>
                </m:r>
              </m:oMath>
            </m:oMathPara>
          </w:p>
        </w:tc>
      </w:tr>
      <w:tr w:rsidR="002A51BE" w:rsidRPr="009C5C34" w14:paraId="3B506148" w14:textId="77777777">
        <w:tc>
          <w:tcPr>
            <w:tcW w:w="0" w:type="auto"/>
          </w:tcPr>
          <w:p w14:paraId="0F67541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20</w:t>
            </w:r>
          </w:p>
        </w:tc>
        <w:tc>
          <w:tcPr>
            <w:tcW w:w="0" w:type="auto"/>
          </w:tcPr>
          <w:p w14:paraId="0A11DFD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841</m:t>
                </m:r>
              </m:oMath>
            </m:oMathPara>
          </w:p>
        </w:tc>
        <w:tc>
          <w:tcPr>
            <w:tcW w:w="0" w:type="auto"/>
          </w:tcPr>
          <w:p w14:paraId="6AC5A4C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</w:tr>
    </w:tbl>
    <w:p w14:paraId="15B0D71C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5.10 — S-кривая ТОЗ в межорганизационном сценарии (FedRoLA + ДП, без атак, три seeds)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06"/>
        <w:gridCol w:w="894"/>
        <w:gridCol w:w="894"/>
      </w:tblGrid>
      <w:tr w:rsidR="002A51BE" w:rsidRPr="009C5C34" w14:paraId="1CB38B2D" w14:textId="77777777">
        <w:trPr>
          <w:tblHeader/>
        </w:trPr>
        <w:tc>
          <w:tcPr>
            <w:tcW w:w="0" w:type="auto"/>
          </w:tcPr>
          <w:p w14:paraId="3C38F96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ε</m:t>
                </m:r>
              </m:oMath>
            </m:oMathPara>
          </w:p>
        </w:tc>
        <w:tc>
          <w:tcPr>
            <w:tcW w:w="0" w:type="auto"/>
          </w:tcPr>
          <w:p w14:paraId="70C3DE8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253C7DD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std</w:t>
            </w:r>
          </w:p>
        </w:tc>
      </w:tr>
      <w:tr w:rsidR="002A51BE" w:rsidRPr="009C5C34" w14:paraId="59DFEF7B" w14:textId="77777777">
        <w:tc>
          <w:tcPr>
            <w:tcW w:w="0" w:type="auto"/>
          </w:tcPr>
          <w:p w14:paraId="2EEF056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0,5</w:t>
            </w:r>
          </w:p>
        </w:tc>
        <w:tc>
          <w:tcPr>
            <w:tcW w:w="0" w:type="auto"/>
          </w:tcPr>
          <w:p w14:paraId="22B01CC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306</m:t>
                </m:r>
              </m:oMath>
            </m:oMathPara>
          </w:p>
        </w:tc>
        <w:tc>
          <w:tcPr>
            <w:tcW w:w="0" w:type="auto"/>
          </w:tcPr>
          <w:p w14:paraId="594C297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214</m:t>
                </m:r>
              </m:oMath>
            </m:oMathPara>
          </w:p>
        </w:tc>
      </w:tr>
      <w:tr w:rsidR="002A51BE" w:rsidRPr="009C5C34" w14:paraId="4634AD70" w14:textId="77777777">
        <w:tc>
          <w:tcPr>
            <w:tcW w:w="0" w:type="auto"/>
          </w:tcPr>
          <w:p w14:paraId="7EF32A6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0,75</w:t>
            </w:r>
          </w:p>
        </w:tc>
        <w:tc>
          <w:tcPr>
            <w:tcW w:w="0" w:type="auto"/>
          </w:tcPr>
          <w:p w14:paraId="51AFBB9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433</m:t>
                </m:r>
              </m:oMath>
            </m:oMathPara>
          </w:p>
        </w:tc>
        <w:tc>
          <w:tcPr>
            <w:tcW w:w="0" w:type="auto"/>
          </w:tcPr>
          <w:p w14:paraId="5DBD676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222</m:t>
                </m:r>
              </m:oMath>
            </m:oMathPara>
          </w:p>
        </w:tc>
      </w:tr>
      <w:tr w:rsidR="002A51BE" w:rsidRPr="009C5C34" w14:paraId="23FB37D2" w14:textId="77777777">
        <w:tc>
          <w:tcPr>
            <w:tcW w:w="0" w:type="auto"/>
          </w:tcPr>
          <w:p w14:paraId="6DEE856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72812AA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597</m:t>
                </m:r>
              </m:oMath>
            </m:oMathPara>
          </w:p>
        </w:tc>
        <w:tc>
          <w:tcPr>
            <w:tcW w:w="0" w:type="auto"/>
          </w:tcPr>
          <w:p w14:paraId="604DCE9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134</m:t>
                </m:r>
              </m:oMath>
            </m:oMathPara>
          </w:p>
        </w:tc>
      </w:tr>
      <w:tr w:rsidR="002A51BE" w:rsidRPr="009C5C34" w14:paraId="24A45F62" w14:textId="77777777">
        <w:tc>
          <w:tcPr>
            <w:tcW w:w="0" w:type="auto"/>
          </w:tcPr>
          <w:p w14:paraId="7799394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1,5</w:t>
            </w:r>
          </w:p>
        </w:tc>
        <w:tc>
          <w:tcPr>
            <w:tcW w:w="0" w:type="auto"/>
          </w:tcPr>
          <w:p w14:paraId="4C36FEE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714</m:t>
                </m:r>
              </m:oMath>
            </m:oMathPara>
          </w:p>
        </w:tc>
        <w:tc>
          <w:tcPr>
            <w:tcW w:w="0" w:type="auto"/>
          </w:tcPr>
          <w:p w14:paraId="74DEDBD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072</m:t>
                </m:r>
              </m:oMath>
            </m:oMathPara>
          </w:p>
        </w:tc>
      </w:tr>
      <w:tr w:rsidR="002A51BE" w:rsidRPr="009C5C34" w14:paraId="66FCF265" w14:textId="77777777">
        <w:tc>
          <w:tcPr>
            <w:tcW w:w="0" w:type="auto"/>
          </w:tcPr>
          <w:p w14:paraId="50EC06B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09CBA68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759</m:t>
                </m:r>
              </m:oMath>
            </m:oMathPara>
          </w:p>
        </w:tc>
        <w:tc>
          <w:tcPr>
            <w:tcW w:w="0" w:type="auto"/>
          </w:tcPr>
          <w:p w14:paraId="64C14EE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059</m:t>
                </m:r>
              </m:oMath>
            </m:oMathPara>
          </w:p>
        </w:tc>
      </w:tr>
      <w:tr w:rsidR="002A51BE" w:rsidRPr="009C5C34" w14:paraId="5DFCBB85" w14:textId="77777777">
        <w:tc>
          <w:tcPr>
            <w:tcW w:w="0" w:type="auto"/>
          </w:tcPr>
          <w:p w14:paraId="10EBFDE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487898B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811</m:t>
                </m:r>
              </m:oMath>
            </m:oMathPara>
          </w:p>
        </w:tc>
        <w:tc>
          <w:tcPr>
            <w:tcW w:w="0" w:type="auto"/>
          </w:tcPr>
          <w:p w14:paraId="5588038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031</m:t>
                </m:r>
              </m:oMath>
            </m:oMathPara>
          </w:p>
        </w:tc>
      </w:tr>
      <w:tr w:rsidR="002A51BE" w:rsidRPr="009C5C34" w14:paraId="1088CE93" w14:textId="77777777">
        <w:tc>
          <w:tcPr>
            <w:tcW w:w="0" w:type="auto"/>
          </w:tcPr>
          <w:p w14:paraId="43B2B6D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3A1DCBB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</m:oMath>
            </m:oMathPara>
          </w:p>
        </w:tc>
        <w:tc>
          <w:tcPr>
            <w:tcW w:w="0" w:type="auto"/>
          </w:tcPr>
          <w:p w14:paraId="241D3BB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019</m:t>
                </m:r>
              </m:oMath>
            </m:oMathPara>
          </w:p>
        </w:tc>
      </w:tr>
      <w:tr w:rsidR="002A51BE" w:rsidRPr="009C5C34" w14:paraId="5DE597BC" w14:textId="77777777">
        <w:tc>
          <w:tcPr>
            <w:tcW w:w="0" w:type="auto"/>
          </w:tcPr>
          <w:p w14:paraId="6B6990E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lastRenderedPageBreak/>
              <w:t>8</w:t>
            </w:r>
          </w:p>
        </w:tc>
        <w:tc>
          <w:tcPr>
            <w:tcW w:w="0" w:type="auto"/>
          </w:tcPr>
          <w:p w14:paraId="4BE7D96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854</m:t>
                </m:r>
              </m:oMath>
            </m:oMathPara>
          </w:p>
        </w:tc>
        <w:tc>
          <w:tcPr>
            <w:tcW w:w="0" w:type="auto"/>
          </w:tcPr>
          <w:p w14:paraId="188C6AB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009</m:t>
                </m:r>
              </m:oMath>
            </m:oMathPara>
          </w:p>
        </w:tc>
      </w:tr>
    </w:tbl>
    <w:p w14:paraId="4BFAF12C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Точка перегиба межустройственной кривой — между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: до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модель не учится (ТОЗ = 0,1, уровень случайного угадывания для 10 классов),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 часть seeds обучается до уровня выше 0,5, часть — нет (отсюда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136</m:t>
        </m:r>
      </m:oMath>
      <w:r w:rsidRPr="009C5C34">
        <w:rPr>
          <w:szCs w:val="28"/>
        </w:rPr>
        <w:t xml:space="preserve">),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обучение стабилизируется. Точка перегиба межорганизационной кривой — в районе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: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ТОЗ всё ещё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31</m:t>
        </m:r>
      </m:oMath>
      <w:r w:rsidRPr="009C5C34">
        <w:rPr>
          <w:szCs w:val="28"/>
        </w:rPr>
        <w:t xml:space="preserve">,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—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60</m:t>
        </m:r>
      </m:oMath>
      <w:r w:rsidRPr="009C5C34">
        <w:rPr>
          <w:szCs w:val="28"/>
        </w:rPr>
        <w:t xml:space="preserve">. Это разница в точке отказа на 3–4 порядка по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, и она объясняется именно типом ДП: на уровне клиента чувствительность </w:t>
      </w:r>
      <m:oMath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5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 w:rsidRPr="009C5C34">
        <w:rPr>
          <w:szCs w:val="28"/>
        </w:rPr>
        <w:t xml:space="preserve">, на уровне записей — </w:t>
      </w:r>
      <m:oMath>
        <m:r>
          <w:rPr>
            <w:rFonts w:ascii="Cambria Math" w:hAnsi="Cambria Math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</w:rPr>
              <m:t>5</m:t>
            </m:r>
          </m:sup>
        </m:sSup>
      </m:oMath>
      <w:r w:rsidRPr="009C5C34">
        <w:rPr>
          <w:szCs w:val="28"/>
        </w:rPr>
        <w:t>.</w:t>
      </w:r>
    </w:p>
    <w:p w14:paraId="7502F1B5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drawing>
          <wp:inline distT="0" distB="0" distL="0" distR="0" wp14:anchorId="1F2DAC16" wp14:editId="362F7E2B">
            <wp:extent cx="5930900" cy="2047463"/>
            <wp:effectExtent l="0" t="0" r="0" b="0"/>
            <wp:docPr id="46" name="Picture" descr="Рисунок 5.6 — S-кривые ТОЗ от бюджета приватности \varepsilon (FedRoLA + ДП, без атак, 3 seeds). Левая панель — межустройственный сценарий, правая — межорганизационный; вертикальные пунктиры — точки перегиб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fig_5_6_scurve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4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FACF6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Рисунок 5.6 — S-кривые ТОЗ от бюджета приватности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 (FedRoLA + ДП, без атак, 3 seeds). Левая панель — межустройственный сценарий, правая — межорганизационный; вертикальные пунктиры — точки перегиба.</w:t>
      </w:r>
    </w:p>
    <w:p w14:paraId="479B04C0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Тезис 6 (порог обучения по соотношению шум/сигнал на раунд) проверяется через расчёт SNR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​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m:rPr>
                <m:nor/>
              </m:rPr>
              <w:rPr>
                <w:szCs w:val="28"/>
              </w:rPr>
              <m:t>averaged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</m:rad>
          </m:e>
        </m:d>
      </m:oMath>
      <w:r w:rsidRPr="009C5C34">
        <w:rPr>
          <w:szCs w:val="28"/>
        </w:rPr>
        <w:t xml:space="preserve"> для каждой пары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m:rPr>
                <m:nor/>
              </m:rPr>
              <w:rPr>
                <w:szCs w:val="28"/>
              </w:rPr>
              <m:t>сценарий</m:t>
            </m:r>
          </m:e>
        </m:d>
      </m:oMath>
      <w:r w:rsidRPr="009C5C34">
        <w:rPr>
          <w:szCs w:val="28"/>
        </w:rPr>
        <w:t xml:space="preserve"> и сопоставление с итоговой ТОЗ. График 5.7 показывает, что для межустройственного сценария SNR &lt; 0,19 соответствует ТОЗ = 0,1, а при SNR &gt; 0,19 ТОЗ растёт; для межорганизационного сценария SNR &gt; 1 во всём диапазоне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2</m:t>
        </m:r>
      </m:oMath>
      <w:r w:rsidRPr="009C5C34">
        <w:rPr>
          <w:szCs w:val="28"/>
        </w:rPr>
        <w:t>.</w:t>
      </w:r>
    </w:p>
    <w:p w14:paraId="21121A1C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lastRenderedPageBreak/>
        <w:drawing>
          <wp:inline distT="0" distB="0" distL="0" distR="0" wp14:anchorId="5707F79C" wp14:editId="67B2FA28">
            <wp:extent cx="5930900" cy="4185504"/>
            <wp:effectExtent l="0" t="0" r="0" b="0"/>
            <wp:docPr id="49" name="Picture" descr="Рисунок 5.7 — Зависимость итоговой ТОЗ от соотношения шум/сигнал на раунд (SNR). Точки — все S-кривые CD и CS; вертикальная отметка SNR = 0,19 — эмпирический порог обуч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fig_5_7_snr_vs_mta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8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06E47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Рисунок 5.7 — Зависимость итоговой ТОЗ от соотношения шум/сигнал на раунд (SNR). Точки — все S-кривые CD и CS; вертикальная отметка SNR = 0,19 — эмпирический порог обучения.</w:t>
      </w:r>
    </w:p>
    <w:p w14:paraId="301365EC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[Установлено экспериментально] тезис 5 (приватность на уровне записей делает большие модели жизнеспособными при ДП) подтверждён: модель межорганизационного сценария (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9C5C34">
        <w:rPr>
          <w:szCs w:val="28"/>
        </w:rPr>
        <w:t xml:space="preserve">) обучается до ТОЗ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59</m:t>
        </m:r>
      </m:oMath>
      <w:r w:rsidRPr="009C5C34">
        <w:rPr>
          <w:szCs w:val="28"/>
        </w:rPr>
        <w:t xml:space="preserve">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>, а та же по объёму модель в режиме ДП на уровне клиента дала бы ТОЗ на уровне случайного угадывания (см. 5.4.3 — вспомогательный негативный контроль). Тезис 6 (порог SNR &gt; 0,19) подтверждён эмпирически.</w:t>
      </w:r>
    </w:p>
    <w:p w14:paraId="7339D730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3" w:name="эшелонированность-защиты-ablation"/>
      <w:bookmarkEnd w:id="12"/>
      <w:r w:rsidRPr="009C5C34">
        <w:rPr>
          <w:rFonts w:ascii="Times New Roman" w:hAnsi="Times New Roman" w:cs="Times New Roman"/>
          <w:szCs w:val="28"/>
        </w:rPr>
        <w:t>1.4.3</w:t>
      </w:r>
      <w:r w:rsidRPr="009C5C34">
        <w:rPr>
          <w:rFonts w:ascii="Times New Roman" w:hAnsi="Times New Roman" w:cs="Times New Roman"/>
          <w:szCs w:val="28"/>
        </w:rPr>
        <w:tab/>
        <w:t>5.4.3 Эшелонированность защиты (ablation)</w:t>
      </w:r>
    </w:p>
    <w:p w14:paraId="0D013F15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Тезис 1 утверждает, что ни один компонент защиты не самодостаточен — нужны все три уровня (робастная агрегация, ДП, доверенная среда). Ablation-таблица 5.11 разбирает три атаки межустройственного сценария по четырём конфигурациям: ничего (FedAvg, без ДП), только ДП (FedAvg + ДП), только FedRoLA (без ДП), оба (FedRoLA + ДП).</w:t>
      </w:r>
    </w:p>
    <w:p w14:paraId="03DDB8D0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 xml:space="preserve">Таблица 5.11 — Ablation для межустройственного сценария (три seeds,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>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3411"/>
        <w:gridCol w:w="1088"/>
        <w:gridCol w:w="1367"/>
        <w:gridCol w:w="1927"/>
        <w:gridCol w:w="1778"/>
      </w:tblGrid>
      <w:tr w:rsidR="002A51BE" w:rsidRPr="009C5C34" w14:paraId="3D590A2E" w14:textId="77777777">
        <w:trPr>
          <w:tblHeader/>
        </w:trPr>
        <w:tc>
          <w:tcPr>
            <w:tcW w:w="0" w:type="auto"/>
          </w:tcPr>
          <w:p w14:paraId="6C07AF2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Атака</w:t>
            </w:r>
          </w:p>
        </w:tc>
        <w:tc>
          <w:tcPr>
            <w:tcW w:w="0" w:type="auto"/>
          </w:tcPr>
          <w:p w14:paraId="7DD7F9E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Ничего</w:t>
            </w:r>
          </w:p>
        </w:tc>
        <w:tc>
          <w:tcPr>
            <w:tcW w:w="0" w:type="auto"/>
          </w:tcPr>
          <w:p w14:paraId="619A374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Только ДП</w:t>
            </w:r>
          </w:p>
        </w:tc>
        <w:tc>
          <w:tcPr>
            <w:tcW w:w="0" w:type="auto"/>
          </w:tcPr>
          <w:p w14:paraId="7447997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Только FedRoLA</w:t>
            </w:r>
          </w:p>
        </w:tc>
        <w:tc>
          <w:tcPr>
            <w:tcW w:w="0" w:type="auto"/>
          </w:tcPr>
          <w:p w14:paraId="79D6B7E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FedRoLA + ДП</w:t>
            </w:r>
          </w:p>
        </w:tc>
      </w:tr>
      <w:tr w:rsidR="002A51BE" w:rsidRPr="009C5C34" w14:paraId="626FC0BC" w14:textId="77777777">
        <w:tc>
          <w:tcPr>
            <w:tcW w:w="0" w:type="auto"/>
          </w:tcPr>
          <w:p w14:paraId="1BE85FA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ALIE — ТОЗ</w:t>
            </w:r>
          </w:p>
        </w:tc>
        <w:tc>
          <w:tcPr>
            <w:tcW w:w="0" w:type="auto"/>
          </w:tcPr>
          <w:p w14:paraId="3CAA547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857</m:t>
                </m:r>
              </m:oMath>
            </m:oMathPara>
          </w:p>
        </w:tc>
        <w:tc>
          <w:tcPr>
            <w:tcW w:w="0" w:type="auto"/>
          </w:tcPr>
          <w:p w14:paraId="6D767DE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781</m:t>
                </m:r>
              </m:oMath>
            </m:oMathPara>
          </w:p>
        </w:tc>
        <w:tc>
          <w:tcPr>
            <w:tcW w:w="0" w:type="auto"/>
          </w:tcPr>
          <w:p w14:paraId="75C883E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863</m:t>
                </m:r>
              </m:oMath>
            </m:oMathPara>
          </w:p>
        </w:tc>
        <w:tc>
          <w:tcPr>
            <w:tcW w:w="0" w:type="auto"/>
          </w:tcPr>
          <w:p w14:paraId="2879C46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737</m:t>
                </m:r>
              </m:oMath>
            </m:oMathPara>
          </w:p>
        </w:tc>
      </w:tr>
      <w:tr w:rsidR="002A51BE" w:rsidRPr="009C5C34" w14:paraId="353AAF48" w14:textId="77777777">
        <w:tc>
          <w:tcPr>
            <w:tcW w:w="0" w:type="auto"/>
          </w:tcPr>
          <w:p w14:paraId="7441E40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ALIE — TPR</w:t>
            </w:r>
          </w:p>
        </w:tc>
        <w:tc>
          <w:tcPr>
            <w:tcW w:w="0" w:type="auto"/>
          </w:tcPr>
          <w:p w14:paraId="1ED5EAC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0F9CFFC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150E531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21</m:t>
                </m:r>
              </m:oMath>
            </m:oMathPara>
          </w:p>
        </w:tc>
        <w:tc>
          <w:tcPr>
            <w:tcW w:w="0" w:type="auto"/>
          </w:tcPr>
          <w:p w14:paraId="61953C6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47</m:t>
                </m:r>
              </m:oMath>
            </m:oMathPara>
          </w:p>
        </w:tc>
      </w:tr>
      <w:tr w:rsidR="002A51BE" w:rsidRPr="009C5C34" w14:paraId="29D6297A" w14:textId="77777777">
        <w:tc>
          <w:tcPr>
            <w:tcW w:w="0" w:type="auto"/>
          </w:tcPr>
          <w:p w14:paraId="276326A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Атака со скрытой закладкой — ТОЗ</w:t>
            </w:r>
          </w:p>
        </w:tc>
        <w:tc>
          <w:tcPr>
            <w:tcW w:w="0" w:type="auto"/>
          </w:tcPr>
          <w:p w14:paraId="21CF028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863</m:t>
                </m:r>
              </m:oMath>
            </m:oMathPara>
          </w:p>
        </w:tc>
        <w:tc>
          <w:tcPr>
            <w:tcW w:w="0" w:type="auto"/>
          </w:tcPr>
          <w:p w14:paraId="1D9FD1E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753</m:t>
                </m:r>
              </m:oMath>
            </m:oMathPara>
          </w:p>
        </w:tc>
        <w:tc>
          <w:tcPr>
            <w:tcW w:w="0" w:type="auto"/>
          </w:tcPr>
          <w:p w14:paraId="17453A6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864</m:t>
                </m:r>
              </m:oMath>
            </m:oMathPara>
          </w:p>
        </w:tc>
        <w:tc>
          <w:tcPr>
            <w:tcW w:w="0" w:type="auto"/>
          </w:tcPr>
          <w:p w14:paraId="55DD677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758</m:t>
                </m:r>
              </m:oMath>
            </m:oMathPara>
          </w:p>
        </w:tc>
      </w:tr>
      <w:tr w:rsidR="002A51BE" w:rsidRPr="009C5C34" w14:paraId="1D17040B" w14:textId="77777777">
        <w:tc>
          <w:tcPr>
            <w:tcW w:w="0" w:type="auto"/>
          </w:tcPr>
          <w:p w14:paraId="1801F57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Атака со скрытой закладкой — ТЗА</w:t>
            </w:r>
          </w:p>
        </w:tc>
        <w:tc>
          <w:tcPr>
            <w:tcW w:w="0" w:type="auto"/>
          </w:tcPr>
          <w:p w14:paraId="1E33201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A62D2D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991</m:t>
                </m:r>
              </m:oMath>
            </m:oMathPara>
          </w:p>
        </w:tc>
        <w:tc>
          <w:tcPr>
            <w:tcW w:w="0" w:type="auto"/>
          </w:tcPr>
          <w:p w14:paraId="2C40778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40371B1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988</m:t>
                </m:r>
              </m:oMath>
            </m:oMathPara>
          </w:p>
        </w:tc>
      </w:tr>
      <w:tr w:rsidR="002A51BE" w:rsidRPr="009C5C34" w14:paraId="321B6067" w14:textId="77777777">
        <w:tc>
          <w:tcPr>
            <w:tcW w:w="0" w:type="auto"/>
          </w:tcPr>
          <w:p w14:paraId="1702E6C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IPM — ТОЗ</w:t>
            </w:r>
          </w:p>
        </w:tc>
        <w:tc>
          <w:tcPr>
            <w:tcW w:w="0" w:type="auto"/>
          </w:tcPr>
          <w:p w14:paraId="655D00E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862</m:t>
                </m:r>
              </m:oMath>
            </m:oMathPara>
          </w:p>
        </w:tc>
        <w:tc>
          <w:tcPr>
            <w:tcW w:w="0" w:type="auto"/>
          </w:tcPr>
          <w:p w14:paraId="3BF904E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788</m:t>
                </m:r>
              </m:oMath>
            </m:oMathPara>
          </w:p>
        </w:tc>
        <w:tc>
          <w:tcPr>
            <w:tcW w:w="0" w:type="auto"/>
          </w:tcPr>
          <w:p w14:paraId="5B3EAB7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865</m:t>
                </m:r>
              </m:oMath>
            </m:oMathPara>
          </w:p>
        </w:tc>
        <w:tc>
          <w:tcPr>
            <w:tcW w:w="0" w:type="auto"/>
          </w:tcPr>
          <w:p w14:paraId="0E46183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769</m:t>
                </m:r>
              </m:oMath>
            </m:oMathPara>
          </w:p>
        </w:tc>
      </w:tr>
      <w:tr w:rsidR="002A51BE" w:rsidRPr="009C5C34" w14:paraId="0BF6CE14" w14:textId="77777777">
        <w:tc>
          <w:tcPr>
            <w:tcW w:w="0" w:type="auto"/>
          </w:tcPr>
          <w:p w14:paraId="5F4E1D4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IPM — TPR</w:t>
            </w:r>
          </w:p>
        </w:tc>
        <w:tc>
          <w:tcPr>
            <w:tcW w:w="0" w:type="auto"/>
          </w:tcPr>
          <w:p w14:paraId="52C5AF5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04E47D3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4CA3797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47</m:t>
                </m:r>
              </m:oMath>
            </m:oMathPara>
          </w:p>
        </w:tc>
        <w:tc>
          <w:tcPr>
            <w:tcW w:w="0" w:type="auto"/>
          </w:tcPr>
          <w:p w14:paraId="3676F08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47</m:t>
                </m:r>
              </m:oMath>
            </m:oMathPara>
          </w:p>
        </w:tc>
      </w:tr>
    </w:tbl>
    <w:p w14:paraId="164C96FB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5.11 даёт три наблюдения, каждое из которых поддерживает тезис 1 с разной стороны.</w:t>
      </w:r>
    </w:p>
    <w:p w14:paraId="1348DA20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ALIE при </w:t>
      </w:r>
      <m:oMath>
        <m:r>
          <w:rPr>
            <w:rFonts w:ascii="Cambria Math" w:hAnsi="Cambria Math"/>
            <w:szCs w:val="28"/>
          </w:rPr>
          <m:t>z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16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24</m:t>
        </m:r>
      </m:oMath>
      <w:r w:rsidRPr="009C5C34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 почти безвредна по ТОЗ: «Ничего» даёт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857</m:t>
        </m:r>
      </m:oMath>
      <w:r w:rsidRPr="009C5C34">
        <w:rPr>
          <w:szCs w:val="28"/>
        </w:rPr>
        <w:t xml:space="preserve">, что близко к чистой конфигурации без атак. Это парадоксально выглядит как «защита не нужна», но именно для нечестного сценария защита и должна работать против худшего противника, а не против самого слабого. Конкретно: добавление ДП (только) снижает ТОЗ до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781</m:t>
        </m:r>
      </m:oMath>
      <w:r w:rsidRPr="009C5C34">
        <w:rPr>
          <w:szCs w:val="28"/>
        </w:rPr>
        <w:t xml:space="preserve"> — стоимость защиты выше эффекта самой атаки. Конфигурация FedRoLA + ДП даёт TPR ALIE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67</m:t>
        </m:r>
      </m:oMath>
      <w:r w:rsidRPr="009C5C34">
        <w:rPr>
          <w:szCs w:val="28"/>
        </w:rPr>
        <w:t xml:space="preserve"> — почти втрое выше, чем FedRoLA без ДП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24</m:t>
        </m:r>
      </m:oMath>
      <w:r w:rsidRPr="009C5C34">
        <w:rPr>
          <w:szCs w:val="28"/>
        </w:rPr>
        <w:t>); это и есть синергия двух механизмов на одной угрозе.</w:t>
      </w:r>
    </w:p>
    <w:p w14:paraId="6CE4C747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— Атака со скрытой закладкой: «Только FedRoLA» = «Ничего» по ТЗА (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000</m:t>
        </m:r>
      </m:oMath>
      <w:r w:rsidRPr="009C5C34">
        <w:rPr>
          <w:szCs w:val="28"/>
        </w:rPr>
        <w:t>). FedRoLA для этого класса угроз эффективно отсутствует. ДП незначительно снижает ТЗА (</w:t>
      </w:r>
      <m:oMath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000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99</m:t>
        </m:r>
      </m:oMath>
      <w:r w:rsidRPr="009C5C34">
        <w:rPr>
          <w:szCs w:val="28"/>
        </w:rPr>
        <w:t>), но не блокирует.</w:t>
      </w:r>
    </w:p>
    <w:p w14:paraId="1FBDDDD7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IPM полностью нейтрализуется FedRoLA: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IPM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атака слаба и для FedAvg, и для FedRoLA даёт ТОЗ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86</m:t>
        </m:r>
      </m:oMath>
      <w:r w:rsidRPr="009C5C34">
        <w:rPr>
          <w:szCs w:val="28"/>
        </w:rPr>
        <w:t xml:space="preserve"> независимо от ДП. Существенный эффект FedRoLA здесь — не в восстановлении ТОЗ (она и так высокая), а в детектировании: TPR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67</m:t>
        </m:r>
      </m:oMath>
      <w:r w:rsidRPr="009C5C34">
        <w:rPr>
          <w:szCs w:val="28"/>
        </w:rPr>
        <w:t xml:space="preserve"> означает, что атака была идентифицирована и взвешивание сработало.</w:t>
      </w:r>
    </w:p>
    <w:p w14:paraId="51F43C1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>[Установлено экспериментально] тезис 1 подтверждён: каждый компонент закрывает свой класс угроз. FedRoLA — нецелевое отравление модели; клиппинг — масштаб (ЦБ4); ДП — остаточные смещения и приватность. Отдельно ни один из них не устраняет смешанный угрозовой ландшафт.</w:t>
      </w:r>
    </w:p>
    <w:p w14:paraId="21B17CDF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4" w:name="неоднородность-данных"/>
      <w:bookmarkEnd w:id="13"/>
      <w:r w:rsidRPr="009C5C34">
        <w:rPr>
          <w:rFonts w:ascii="Times New Roman" w:hAnsi="Times New Roman" w:cs="Times New Roman"/>
          <w:szCs w:val="28"/>
        </w:rPr>
        <w:t>1.4.4</w:t>
      </w:r>
      <w:r w:rsidRPr="009C5C34">
        <w:rPr>
          <w:rFonts w:ascii="Times New Roman" w:hAnsi="Times New Roman" w:cs="Times New Roman"/>
          <w:szCs w:val="28"/>
        </w:rPr>
        <w:tab/>
        <w:t>5.4.4 Неоднородность данных</w:t>
      </w:r>
    </w:p>
    <w:p w14:paraId="311033EE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Параметр </w:t>
      </w:r>
      <m:oMath>
        <m:r>
          <w:rPr>
            <w:rFonts w:ascii="Cambria Math" w:hAnsi="Cambria Math"/>
            <w:szCs w:val="28"/>
          </w:rPr>
          <m:t>α</m:t>
        </m:r>
      </m:oMath>
      <w:r w:rsidRPr="009C5C34">
        <w:rPr>
          <w:szCs w:val="28"/>
        </w:rPr>
        <w:t xml:space="preserve"> распределения Дирихле управляет степенью неоднородности локальных выборок: при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 — крайне неоднородные клиенты (каждый видит 1–2 класса), при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→∞</m:t>
        </m:r>
      </m:oMath>
      <w:r w:rsidRPr="009C5C34">
        <w:rPr>
          <w:szCs w:val="28"/>
        </w:rPr>
        <w:t xml:space="preserve"> — почти IID. В работе исследованы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∈{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}</m:t>
        </m:r>
      </m:oMath>
      <w:r w:rsidRPr="009C5C34">
        <w:rPr>
          <w:szCs w:val="28"/>
        </w:rPr>
        <w:t xml:space="preserve"> для обоих сценариев в режиме FedRoLA + ДП.</w:t>
      </w:r>
    </w:p>
    <w:p w14:paraId="55A4FEC9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5.12 — Чувствительность к неоднородности данных (FedRoLA + ДП, три seeds)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706"/>
        <w:gridCol w:w="2398"/>
        <w:gridCol w:w="2081"/>
        <w:gridCol w:w="2351"/>
        <w:gridCol w:w="2035"/>
      </w:tblGrid>
      <w:tr w:rsidR="002A51BE" w:rsidRPr="009C5C34" w14:paraId="00DDC2DE" w14:textId="77777777">
        <w:trPr>
          <w:tblHeader/>
        </w:trPr>
        <w:tc>
          <w:tcPr>
            <w:tcW w:w="0" w:type="auto"/>
          </w:tcPr>
          <w:p w14:paraId="35CF503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6D46319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 ТОЗ (без атак)</w:t>
            </w:r>
          </w:p>
        </w:tc>
        <w:tc>
          <w:tcPr>
            <w:tcW w:w="0" w:type="auto"/>
          </w:tcPr>
          <w:p w14:paraId="38E94A3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CD ТОЗ (ALIE)</w:t>
            </w:r>
          </w:p>
        </w:tc>
        <w:tc>
          <w:tcPr>
            <w:tcW w:w="0" w:type="auto"/>
          </w:tcPr>
          <w:p w14:paraId="68D2050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 ТОЗ (без атак)</w:t>
            </w:r>
          </w:p>
        </w:tc>
        <w:tc>
          <w:tcPr>
            <w:tcW w:w="0" w:type="auto"/>
          </w:tcPr>
          <w:p w14:paraId="5C1731C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CS ТОЗ (ALIE)</w:t>
            </w:r>
          </w:p>
        </w:tc>
      </w:tr>
      <w:tr w:rsidR="002A51BE" w:rsidRPr="009C5C34" w14:paraId="39314D56" w14:textId="77777777">
        <w:tc>
          <w:tcPr>
            <w:tcW w:w="0" w:type="auto"/>
          </w:tcPr>
          <w:p w14:paraId="56895FC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0,1</w:t>
            </w:r>
          </w:p>
        </w:tc>
        <w:tc>
          <w:tcPr>
            <w:tcW w:w="0" w:type="auto"/>
          </w:tcPr>
          <w:p w14:paraId="6F2BC6FB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704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035</m:t>
                </m:r>
              </m:oMath>
            </m:oMathPara>
          </w:p>
        </w:tc>
        <w:tc>
          <w:tcPr>
            <w:tcW w:w="0" w:type="auto"/>
          </w:tcPr>
          <w:p w14:paraId="7D7D7C3F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490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122</m:t>
                </m:r>
              </m:oMath>
            </m:oMathPara>
          </w:p>
        </w:tc>
        <w:tc>
          <w:tcPr>
            <w:tcW w:w="0" w:type="auto"/>
          </w:tcPr>
          <w:p w14:paraId="521480D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177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074</m:t>
                </m:r>
              </m:oMath>
            </m:oMathPara>
          </w:p>
        </w:tc>
        <w:tc>
          <w:tcPr>
            <w:tcW w:w="0" w:type="auto"/>
          </w:tcPr>
          <w:p w14:paraId="779F66A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095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022</m:t>
                </m:r>
              </m:oMath>
            </m:oMathPara>
          </w:p>
        </w:tc>
      </w:tr>
      <w:tr w:rsidR="002A51BE" w:rsidRPr="009C5C34" w14:paraId="29AC66C8" w14:textId="77777777">
        <w:tc>
          <w:tcPr>
            <w:tcW w:w="0" w:type="auto"/>
          </w:tcPr>
          <w:p w14:paraId="3370B91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0,3</w:t>
            </w:r>
          </w:p>
        </w:tc>
        <w:tc>
          <w:tcPr>
            <w:tcW w:w="0" w:type="auto"/>
          </w:tcPr>
          <w:p w14:paraId="0679102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788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006</m:t>
                </m:r>
              </m:oMath>
            </m:oMathPara>
          </w:p>
        </w:tc>
        <w:tc>
          <w:tcPr>
            <w:tcW w:w="0" w:type="auto"/>
          </w:tcPr>
          <w:p w14:paraId="6D6C8FF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704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021</m:t>
                </m:r>
              </m:oMath>
            </m:oMathPara>
          </w:p>
        </w:tc>
        <w:tc>
          <w:tcPr>
            <w:tcW w:w="0" w:type="auto"/>
          </w:tcPr>
          <w:p w14:paraId="78DCBA1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042</m:t>
                </m:r>
              </m:oMath>
            </m:oMathPara>
          </w:p>
        </w:tc>
        <w:tc>
          <w:tcPr>
            <w:tcW w:w="0" w:type="auto"/>
          </w:tcPr>
          <w:p w14:paraId="46DD0F9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760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053</m:t>
                </m:r>
              </m:oMath>
            </m:oMathPara>
          </w:p>
        </w:tc>
      </w:tr>
      <w:tr w:rsidR="002A51BE" w:rsidRPr="009C5C34" w14:paraId="3734D83B" w14:textId="77777777">
        <w:tc>
          <w:tcPr>
            <w:tcW w:w="0" w:type="auto"/>
          </w:tcPr>
          <w:p w14:paraId="55EFC65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1,0</w:t>
            </w:r>
          </w:p>
        </w:tc>
        <w:tc>
          <w:tcPr>
            <w:tcW w:w="0" w:type="auto"/>
          </w:tcPr>
          <w:p w14:paraId="6A9906F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003</m:t>
                </m:r>
              </m:oMath>
            </m:oMathPara>
          </w:p>
        </w:tc>
        <w:tc>
          <w:tcPr>
            <w:tcW w:w="0" w:type="auto"/>
          </w:tcPr>
          <w:p w14:paraId="0BAC37C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013</m:t>
                </m:r>
              </m:oMath>
            </m:oMathPara>
          </w:p>
        </w:tc>
        <w:tc>
          <w:tcPr>
            <w:tcW w:w="0" w:type="auto"/>
          </w:tcPr>
          <w:p w14:paraId="68E37F5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859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001</m:t>
                </m:r>
              </m:oMath>
            </m:oMathPara>
          </w:p>
        </w:tc>
        <w:tc>
          <w:tcPr>
            <w:tcW w:w="0" w:type="auto"/>
          </w:tcPr>
          <w:p w14:paraId="7A98139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840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005</m:t>
                </m:r>
              </m:oMath>
            </m:oMathPara>
          </w:p>
        </w:tc>
      </w:tr>
      <w:tr w:rsidR="002A51BE" w:rsidRPr="009C5C34" w14:paraId="3AA56837" w14:textId="77777777">
        <w:tc>
          <w:tcPr>
            <w:tcW w:w="0" w:type="auto"/>
          </w:tcPr>
          <w:p w14:paraId="01582ED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10,0</w:t>
            </w:r>
          </w:p>
        </w:tc>
        <w:tc>
          <w:tcPr>
            <w:tcW w:w="0" w:type="auto"/>
          </w:tcPr>
          <w:p w14:paraId="2F08EA8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826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007</m:t>
                </m:r>
              </m:oMath>
            </m:oMathPara>
          </w:p>
        </w:tc>
        <w:tc>
          <w:tcPr>
            <w:tcW w:w="0" w:type="auto"/>
          </w:tcPr>
          <w:p w14:paraId="041A3EC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019</m:t>
                </m:r>
              </m:oMath>
            </m:oMathPara>
          </w:p>
        </w:tc>
        <w:tc>
          <w:tcPr>
            <w:tcW w:w="0" w:type="auto"/>
          </w:tcPr>
          <w:p w14:paraId="7DE5F478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866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  <w:tc>
          <w:tcPr>
            <w:tcW w:w="0" w:type="auto"/>
          </w:tcPr>
          <w:p w14:paraId="79E0A84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850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</w:tr>
    </w:tbl>
    <w:p w14:paraId="769BE28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Поведение немонотонное и асимметричное по сценариям:</w:t>
      </w:r>
    </w:p>
    <w:p w14:paraId="554DC84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В межустройственном сценарии падение от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 к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постепенное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826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704</m:t>
        </m:r>
      </m:oMath>
      <w:r w:rsidRPr="009C5C34">
        <w:rPr>
          <w:szCs w:val="28"/>
        </w:rPr>
        <w:t xml:space="preserve"> без атак), модель остаётся обучаемой даже при крайней неоднородности. Просадка под ALIE при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велика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704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490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Δ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21</m:t>
        </m:r>
      </m:oMath>
      <w:r w:rsidRPr="009C5C34">
        <w:rPr>
          <w:szCs w:val="28"/>
        </w:rPr>
        <w:t>) — здесь защита перестаёт удерживать ТОЗ, и FedRoLA сам теряет ориентиры в очень неоднородных данных.</w:t>
      </w:r>
    </w:p>
    <w:p w14:paraId="240A36F9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 xml:space="preserve">— В межорганизационном сценарии при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модель не обучается даже в чистой конфигурации (ТОЗ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177</m:t>
        </m:r>
      </m:oMath>
      <w:r w:rsidRPr="009C5C34">
        <w:rPr>
          <w:szCs w:val="28"/>
        </w:rPr>
        <w:t xml:space="preserve">, дисперсия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074</m:t>
        </m:r>
      </m:oMath>
      <w:r w:rsidRPr="009C5C34">
        <w:rPr>
          <w:szCs w:val="28"/>
        </w:rPr>
        <w:t xml:space="preserve">). Причина — клиентов всего </w:t>
      </w:r>
      <m:oMath>
        <m:r>
          <w:rPr>
            <w:rFonts w:ascii="Cambria Math" w:hAnsi="Cambria Math"/>
            <w:szCs w:val="28"/>
          </w:rPr>
          <m:t>50</m:t>
        </m:r>
      </m:oMath>
      <w:r w:rsidRPr="009C5C34">
        <w:rPr>
          <w:szCs w:val="28"/>
        </w:rPr>
        <w:t xml:space="preserve">, и при сильной неоднородности у части клиентов в локальной выборке оказывается </w:t>
      </w:r>
      <m:oMath>
        <m:r>
          <m:rPr>
            <m:sty m:val="p"/>
          </m:rPr>
          <w:rPr>
            <w:rFonts w:ascii="Cambria Math" w:hAnsi="Cambria Math"/>
            <w:szCs w:val="28"/>
          </w:rPr>
          <m:t>≤</m:t>
        </m:r>
        <m:r>
          <w:rPr>
            <w:rFonts w:ascii="Cambria Math" w:hAnsi="Cambria Math"/>
            <w:szCs w:val="28"/>
          </w:rPr>
          <m:t>2</m:t>
        </m:r>
      </m:oMath>
      <w:r w:rsidRPr="009C5C34">
        <w:rPr>
          <w:szCs w:val="28"/>
        </w:rPr>
        <w:t xml:space="preserve"> классов, что не даёт градиентам формировать осмысленный сигнал даже после агрегации. Это граница применимости межорганизационного сценария при выбранных параметрах (</w:t>
      </w:r>
      <m:oMath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</m:t>
        </m:r>
      </m:oMath>
      <w:r w:rsidRPr="009C5C34">
        <w:rPr>
          <w:szCs w:val="28"/>
        </w:rPr>
        <w:t xml:space="preserve">, ДП на уровне записей с </w:t>
      </w:r>
      <m:oMath>
        <m:r>
          <w:rPr>
            <w:rFonts w:ascii="Cambria Math" w:hAnsi="Cambria Math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); для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и выше сценарий работает.</w:t>
      </w:r>
    </w:p>
    <w:p w14:paraId="36EBB1B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Базовая конфигурация работы (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) занимает промежуточное положение между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. ALIE заметнее всего вредит при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— в обоих сценариях, но особенно в межустройственном, где она дополнительно сбивает FedRoLA.</w:t>
      </w:r>
    </w:p>
    <w:p w14:paraId="0B0EA436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drawing>
          <wp:inline distT="0" distB="0" distL="0" distR="0" wp14:anchorId="5833AC3E" wp14:editId="5163ACF3">
            <wp:extent cx="5930900" cy="3523505"/>
            <wp:effectExtent l="0" t="0" r="0" b="0"/>
            <wp:docPr id="54" name="Picture" descr="Рисунок 5.8 — Чувствительность ТОЗ к неоднородности данных (FedRoLA + ДП, 3 seeds). Сплошные линии — без атак, пунктир — с ALIE; вертикальная отметка \alpha = 0{,}5 — базовая конфигурац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fig_5_8_alph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2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E6B75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Рисунок 5.8 — Чувствительность ТОЗ к неоднородности данных (FedRoLA + ДП, 3 seeds). Сплошные линии — без атак, пунктир — с ALIE; вертикальная отметка </w:t>
      </w:r>
      <m:oMath>
        <m:r>
          <w:rPr>
            <w:rFonts w:ascii="Cambria Math" w:hAnsi="Cambria Math"/>
            <w:szCs w:val="28"/>
          </w:rPr>
          <m:t>α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— базовая конфигурация.</w:t>
      </w:r>
    </w:p>
    <w:p w14:paraId="632D380D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5" w:name="длинногоризонтная-проба"/>
      <w:bookmarkEnd w:id="14"/>
      <w:r w:rsidRPr="009C5C34">
        <w:rPr>
          <w:rFonts w:ascii="Times New Roman" w:hAnsi="Times New Roman" w:cs="Times New Roman"/>
          <w:szCs w:val="28"/>
        </w:rPr>
        <w:t>1.4.5</w:t>
      </w:r>
      <w:r w:rsidRPr="009C5C34">
        <w:rPr>
          <w:rFonts w:ascii="Times New Roman" w:hAnsi="Times New Roman" w:cs="Times New Roman"/>
          <w:szCs w:val="28"/>
        </w:rPr>
        <w:tab/>
        <w:t>5.4.5 Длинногоризонтная проба</w:t>
      </w:r>
    </w:p>
    <w:p w14:paraId="58CC2EAD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Гипотеза: увеличение числа раундов с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200</m:t>
        </m:r>
      </m:oMath>
      <w:r w:rsidRPr="009C5C34">
        <w:rPr>
          <w:szCs w:val="28"/>
        </w:rPr>
        <w:t xml:space="preserve"> до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500</m:t>
        </m:r>
      </m:oMath>
      <w:r w:rsidRPr="009C5C34">
        <w:rPr>
          <w:szCs w:val="28"/>
        </w:rPr>
        <w:t xml:space="preserve"> при сниженном lr_end даст бóльшую итоговую ТОЗ за счёт более тонкой </w:t>
      </w:r>
      <w:r w:rsidRPr="009C5C34">
        <w:rPr>
          <w:szCs w:val="28"/>
        </w:rPr>
        <w:lastRenderedPageBreak/>
        <w:t xml:space="preserve">настройки. Проверка выполнена на межорганизационном сценарии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 для двух атак (ALIE и Min-Max) с FedRoLA, по четырём seeds.</w:t>
      </w:r>
    </w:p>
    <w:p w14:paraId="2C278887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5.13 — Длинногоризонтная проба в межорганизационном сценарии (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500</m:t>
        </m:r>
      </m:oMath>
      <w:r w:rsidRPr="009C5C34">
        <w:rPr>
          <w:szCs w:val="28"/>
        </w:rPr>
        <w:t>, FedRoLA)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879"/>
        <w:gridCol w:w="982"/>
        <w:gridCol w:w="982"/>
        <w:gridCol w:w="982"/>
        <w:gridCol w:w="982"/>
        <w:gridCol w:w="2764"/>
      </w:tblGrid>
      <w:tr w:rsidR="002A51BE" w:rsidRPr="009C5C34" w14:paraId="045471B3" w14:textId="77777777">
        <w:trPr>
          <w:tblHeader/>
        </w:trPr>
        <w:tc>
          <w:tcPr>
            <w:tcW w:w="0" w:type="auto"/>
          </w:tcPr>
          <w:p w14:paraId="03AD692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Конфигурация</w:t>
            </w:r>
          </w:p>
        </w:tc>
        <w:tc>
          <w:tcPr>
            <w:tcW w:w="0" w:type="auto"/>
          </w:tcPr>
          <w:p w14:paraId="2EA8BDC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seed 0</w:t>
            </w:r>
          </w:p>
        </w:tc>
        <w:tc>
          <w:tcPr>
            <w:tcW w:w="0" w:type="auto"/>
          </w:tcPr>
          <w:p w14:paraId="1A85AB1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seed 1</w:t>
            </w:r>
          </w:p>
        </w:tc>
        <w:tc>
          <w:tcPr>
            <w:tcW w:w="0" w:type="auto"/>
          </w:tcPr>
          <w:p w14:paraId="1500D6B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seed 2</w:t>
            </w:r>
          </w:p>
        </w:tc>
        <w:tc>
          <w:tcPr>
            <w:tcW w:w="0" w:type="auto"/>
          </w:tcPr>
          <w:p w14:paraId="5C38EF2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seed 3</w:t>
            </w:r>
          </w:p>
        </w:tc>
        <w:tc>
          <w:tcPr>
            <w:tcW w:w="0" w:type="auto"/>
          </w:tcPr>
          <w:p w14:paraId="0F3BCDD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mean ± std (n)</w:t>
            </w:r>
          </w:p>
        </w:tc>
      </w:tr>
      <w:tr w:rsidR="002A51BE" w:rsidRPr="009C5C34" w14:paraId="13AD51D4" w14:textId="77777777">
        <w:tc>
          <w:tcPr>
            <w:tcW w:w="0" w:type="auto"/>
          </w:tcPr>
          <w:p w14:paraId="369A832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ALIE + ДП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</m:t>
              </m:r>
            </m:oMath>
          </w:p>
        </w:tc>
        <w:tc>
          <w:tcPr>
            <w:tcW w:w="0" w:type="auto"/>
          </w:tcPr>
          <w:p w14:paraId="60A6E9B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758</m:t>
                </m:r>
              </m:oMath>
            </m:oMathPara>
          </w:p>
        </w:tc>
        <w:tc>
          <w:tcPr>
            <w:tcW w:w="0" w:type="auto"/>
          </w:tcPr>
          <w:p w14:paraId="7E616DF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405</m:t>
                </m:r>
              </m:oMath>
            </m:oMathPara>
          </w:p>
        </w:tc>
        <w:tc>
          <w:tcPr>
            <w:tcW w:w="0" w:type="auto"/>
          </w:tcPr>
          <w:p w14:paraId="7AC598E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448</m:t>
                </m:r>
              </m:oMath>
            </m:oMathPara>
          </w:p>
        </w:tc>
        <w:tc>
          <w:tcPr>
            <w:tcW w:w="0" w:type="auto"/>
          </w:tcPr>
          <w:p w14:paraId="09883BB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615</m:t>
                </m:r>
              </m:oMath>
            </m:oMathPara>
          </w:p>
        </w:tc>
        <w:tc>
          <w:tcPr>
            <w:tcW w:w="0" w:type="auto"/>
          </w:tcPr>
          <w:p w14:paraId="4A6805A4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556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140</m:t>
              </m:r>
            </m:oMath>
            <w:r w:rsidRPr="009C5C34">
              <w:rPr>
                <w:szCs w:val="28"/>
              </w:rPr>
              <w:t xml:space="preserve"> (n=4)</w:t>
            </w:r>
          </w:p>
        </w:tc>
      </w:tr>
      <w:tr w:rsidR="002A51BE" w:rsidRPr="009C5C34" w14:paraId="36C54445" w14:textId="77777777">
        <w:tc>
          <w:tcPr>
            <w:tcW w:w="0" w:type="auto"/>
          </w:tcPr>
          <w:p w14:paraId="7B28DF0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Min-Max + ДП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</m:t>
              </m:r>
            </m:oMath>
          </w:p>
        </w:tc>
        <w:tc>
          <w:tcPr>
            <w:tcW w:w="0" w:type="auto"/>
          </w:tcPr>
          <w:p w14:paraId="6A01AF9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788</m:t>
                </m:r>
              </m:oMath>
            </m:oMathPara>
          </w:p>
        </w:tc>
        <w:tc>
          <w:tcPr>
            <w:tcW w:w="0" w:type="auto"/>
          </w:tcPr>
          <w:p w14:paraId="5DB9303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494</m:t>
                </m:r>
              </m:oMath>
            </m:oMathPara>
          </w:p>
        </w:tc>
        <w:tc>
          <w:tcPr>
            <w:tcW w:w="0" w:type="auto"/>
          </w:tcPr>
          <w:p w14:paraId="247B35A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587</m:t>
                </m:r>
              </m:oMath>
            </m:oMathPara>
          </w:p>
        </w:tc>
        <w:tc>
          <w:tcPr>
            <w:tcW w:w="0" w:type="auto"/>
          </w:tcPr>
          <w:p w14:paraId="25C502D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713</m:t>
                </m:r>
              </m:oMath>
            </m:oMathPara>
          </w:p>
        </w:tc>
        <w:tc>
          <w:tcPr>
            <w:tcW w:w="0" w:type="auto"/>
          </w:tcPr>
          <w:p w14:paraId="120A78B4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646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113</m:t>
              </m:r>
            </m:oMath>
            <w:r w:rsidRPr="009C5C34">
              <w:rPr>
                <w:szCs w:val="28"/>
              </w:rPr>
              <w:t xml:space="preserve"> (n=4)</w:t>
            </w:r>
          </w:p>
        </w:tc>
      </w:tr>
      <w:tr w:rsidR="002A51BE" w:rsidRPr="009C5C34" w14:paraId="5CE1EE3B" w14:textId="77777777">
        <w:tc>
          <w:tcPr>
            <w:tcW w:w="0" w:type="auto"/>
          </w:tcPr>
          <w:p w14:paraId="48D8CB5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ALIE без ДП</w:t>
            </w:r>
          </w:p>
        </w:tc>
        <w:tc>
          <w:tcPr>
            <w:tcW w:w="0" w:type="auto"/>
          </w:tcPr>
          <w:p w14:paraId="3FFE360E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911</m:t>
                </m:r>
              </m:oMath>
            </m:oMathPara>
          </w:p>
        </w:tc>
        <w:tc>
          <w:tcPr>
            <w:tcW w:w="0" w:type="auto"/>
          </w:tcPr>
          <w:p w14:paraId="166C825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909</m:t>
                </m:r>
              </m:oMath>
            </m:oMathPara>
          </w:p>
        </w:tc>
        <w:tc>
          <w:tcPr>
            <w:tcW w:w="0" w:type="auto"/>
          </w:tcPr>
          <w:p w14:paraId="5BD01EF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5A41A74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23BB20B1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910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001</m:t>
              </m:r>
            </m:oMath>
            <w:r w:rsidRPr="009C5C34">
              <w:rPr>
                <w:szCs w:val="28"/>
              </w:rPr>
              <w:t xml:space="preserve"> (n=2)</w:t>
            </w:r>
          </w:p>
        </w:tc>
      </w:tr>
      <w:tr w:rsidR="002A51BE" w:rsidRPr="009C5C34" w14:paraId="6A7595D4" w14:textId="77777777">
        <w:tc>
          <w:tcPr>
            <w:tcW w:w="0" w:type="auto"/>
          </w:tcPr>
          <w:p w14:paraId="627D35A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Min-Max без ДП</w:t>
            </w:r>
          </w:p>
        </w:tc>
        <w:tc>
          <w:tcPr>
            <w:tcW w:w="0" w:type="auto"/>
          </w:tcPr>
          <w:p w14:paraId="7880614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924</m:t>
                </m:r>
              </m:oMath>
            </m:oMathPara>
          </w:p>
        </w:tc>
        <w:tc>
          <w:tcPr>
            <w:tcW w:w="0" w:type="auto"/>
          </w:tcPr>
          <w:p w14:paraId="70207BD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919</m:t>
                </m:r>
              </m:oMath>
            </m:oMathPara>
          </w:p>
        </w:tc>
        <w:tc>
          <w:tcPr>
            <w:tcW w:w="0" w:type="auto"/>
          </w:tcPr>
          <w:p w14:paraId="293BD6F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77B2EFA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—</w:t>
            </w:r>
          </w:p>
        </w:tc>
        <w:tc>
          <w:tcPr>
            <w:tcW w:w="0" w:type="auto"/>
          </w:tcPr>
          <w:p w14:paraId="26A0309C" w14:textId="77777777" w:rsidR="002A51BE" w:rsidRPr="009C5C34" w:rsidRDefault="00A97DF9" w:rsidP="009C5C34">
            <w:pPr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922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003</m:t>
              </m:r>
            </m:oMath>
            <w:r w:rsidRPr="009C5C34">
              <w:rPr>
                <w:szCs w:val="28"/>
              </w:rPr>
              <w:t xml:space="preserve"> (n=2)</w:t>
            </w:r>
          </w:p>
        </w:tc>
      </w:tr>
    </w:tbl>
    <w:p w14:paraId="3C01D8F5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Гипотеза опровергнута. Дисперсия по seeds огромна (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11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14</m:t>
        </m:r>
      </m:oMath>
      <w:r w:rsidRPr="009C5C34">
        <w:rPr>
          <w:szCs w:val="28"/>
        </w:rPr>
        <w:t xml:space="preserve">), а среднее ниже соответствующих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200</m:t>
        </m:r>
      </m:oMath>
      <w:r w:rsidRPr="009C5C34">
        <w:rPr>
          <w:szCs w:val="28"/>
        </w:rPr>
        <w:t xml:space="preserve"> конфигураций (см. таблицу 5.4). Объяснение: дисперсия ДП растёт линейно с </w:t>
      </w:r>
      <m:oMath>
        <m:r>
          <w:rPr>
            <w:rFonts w:ascii="Cambria Math" w:hAnsi="Cambria Math"/>
            <w:szCs w:val="28"/>
          </w:rPr>
          <m:t>T</m:t>
        </m:r>
      </m:oMath>
      <w:r w:rsidRPr="009C5C34">
        <w:rPr>
          <w:szCs w:val="28"/>
        </w:rPr>
        <w:t xml:space="preserve">, а средняя точность не растёт — длительная стабилизация требует уменьшения шума на раунд, что в свою очередь увеличивает суммарный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m:rPr>
                <m:nor/>
              </m:rPr>
              <w:rPr>
                <w:szCs w:val="28"/>
              </w:rPr>
              <m:t>used</m:t>
            </m:r>
          </m:sub>
        </m:sSub>
      </m:oMath>
      <w:r w:rsidRPr="009C5C34">
        <w:rPr>
          <w:szCs w:val="28"/>
        </w:rPr>
        <w:t xml:space="preserve">. На фиксированном бюджете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 удлинение горизонта приводит к балансу не в пользу ТОЗ.</w:t>
      </w:r>
    </w:p>
    <w:p w14:paraId="2DECFAE8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[Установлено экспериментально]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500</m:t>
        </m:r>
      </m:oMath>
      <w:r w:rsidRPr="009C5C34">
        <w:rPr>
          <w:szCs w:val="28"/>
        </w:rPr>
        <w:t xml:space="preserve"> при фиксированном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 xml:space="preserve"> не улучшает качество модели. Результат сохранён как валидное негативное наблюдение и не используется для аргументации в пользу длинного обучения.</w:t>
      </w:r>
    </w:p>
    <w:p w14:paraId="77627031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lastRenderedPageBreak/>
        <w:drawing>
          <wp:inline distT="0" distB="0" distL="0" distR="0" wp14:anchorId="77EECBBA" wp14:editId="1F0A9C87">
            <wp:extent cx="5930900" cy="3303286"/>
            <wp:effectExtent l="0" t="0" r="0" b="0"/>
            <wp:docPr id="58" name="Picture" descr="Рисунок 5.9 — Длинногоризонтная проба T = 500: разброс ТОЗ по seeds (межорганизационный сценарий, FedRoLA). Горизонтальная линия — среднее по seeds, полоса — \pm \sigm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fig_5_9_t50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03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706CF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Рисунок 5.9 — Длинногоризонтная проба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500</m:t>
        </m:r>
      </m:oMath>
      <w:r w:rsidRPr="009C5C34">
        <w:rPr>
          <w:szCs w:val="28"/>
        </w:rPr>
        <w:t xml:space="preserve">: разброс ТОЗ по seeds (межорганизационный сценарий, FedRoLA). Горизонтальная линия — среднее по seeds, полоса — </w:t>
      </w:r>
      <m:oMath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σ</m:t>
        </m:r>
      </m:oMath>
      <w:r w:rsidRPr="009C5C34">
        <w:rPr>
          <w:szCs w:val="28"/>
        </w:rPr>
        <w:t>.</w:t>
      </w:r>
    </w:p>
    <w:p w14:paraId="6F4CE22D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6" w:name="оценка-приватности"/>
      <w:bookmarkEnd w:id="10"/>
      <w:bookmarkEnd w:id="15"/>
      <w:r w:rsidRPr="009C5C34">
        <w:rPr>
          <w:rFonts w:ascii="Times New Roman" w:hAnsi="Times New Roman" w:cs="Times New Roman"/>
          <w:szCs w:val="28"/>
        </w:rPr>
        <w:t>1.5</w:t>
      </w:r>
      <w:r w:rsidRPr="009C5C34">
        <w:rPr>
          <w:rFonts w:ascii="Times New Roman" w:hAnsi="Times New Roman" w:cs="Times New Roman"/>
          <w:szCs w:val="28"/>
        </w:rPr>
        <w:tab/>
        <w:t>5.5 Оценка приватности</w:t>
      </w:r>
    </w:p>
    <w:p w14:paraId="738DD447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Цель безопасности ЦБ2 (гарантия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>-ДП обучения) формально обеспечивается RDP-accountant Opacus и не требует эмпирического подтверждения. Тем не менее экспериментальная проверка работоспособности двух известных атак на приватность (MIA и GIA) показывает, в каком объёме и при каких параметрах эти атаки реализуются в TO-BE-конфигурации.</w:t>
      </w:r>
    </w:p>
    <w:p w14:paraId="2315926B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7" w:name="атака-определения-членства"/>
      <w:r w:rsidRPr="009C5C34">
        <w:rPr>
          <w:rFonts w:ascii="Times New Roman" w:hAnsi="Times New Roman" w:cs="Times New Roman"/>
          <w:szCs w:val="28"/>
        </w:rPr>
        <w:t>1.5.1</w:t>
      </w:r>
      <w:r w:rsidRPr="009C5C34">
        <w:rPr>
          <w:rFonts w:ascii="Times New Roman" w:hAnsi="Times New Roman" w:cs="Times New Roman"/>
          <w:szCs w:val="28"/>
        </w:rPr>
        <w:tab/>
        <w:t>5.5.1 Атака определения членства</w:t>
      </w:r>
    </w:p>
    <w:p w14:paraId="0D9ED8A2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Атака реализована в усиленном для атакующего сценарии: централизованная модель и FL-конфигурации </w:t>
      </w:r>
      <m:oMath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 клиентов,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100</m:t>
        </m:r>
      </m:oMath>
      <w:r w:rsidRPr="009C5C34">
        <w:rPr>
          <w:szCs w:val="28"/>
        </w:rPr>
        <w:t xml:space="preserve"> раундов, </w:t>
      </w:r>
      <m:oMath>
        <m:r>
          <w:rPr>
            <w:rFonts w:ascii="Cambria Math" w:hAnsi="Cambria Math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 (все клиенты в каждом раунде). Уменьшение </w:t>
      </w:r>
      <m:oMath>
        <m:r>
          <w:rPr>
            <w:rFonts w:ascii="Cambria Math" w:hAnsi="Cambria Math"/>
            <w:szCs w:val="28"/>
          </w:rPr>
          <m:t>N</m:t>
        </m:r>
      </m:oMath>
      <w:r w:rsidRPr="009C5C34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 — уступка атакующему: реальный режим работы межорганизационного сценария (</w:t>
      </w:r>
      <m:oMath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50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</m:t>
        </m:r>
      </m:oMath>
      <w:r w:rsidRPr="009C5C34">
        <w:rPr>
          <w:szCs w:val="28"/>
        </w:rPr>
        <w:t xml:space="preserve">) даёт меньшую долю каждого образца в итоговой модели. Реализация — loss-based и confidence-based атаки на принадлежность; для loss-based также порог по классу (per-class threshold). </w:t>
      </w:r>
      <w:r w:rsidRPr="009C5C34">
        <w:rPr>
          <w:szCs w:val="28"/>
        </w:rPr>
        <w:lastRenderedPageBreak/>
        <w:t xml:space="preserve">Атака применяется к модели межорганизационного сценария (SVHN,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9C5C34">
        <w:rPr>
          <w:szCs w:val="28"/>
        </w:rPr>
        <w:t>).</w:t>
      </w:r>
    </w:p>
    <w:p w14:paraId="21E9767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5.14 — Атака определения членства, межорганизационный сценарий (три seeds, AUC по loss-функции потерь)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314"/>
        <w:gridCol w:w="2234"/>
        <w:gridCol w:w="2234"/>
        <w:gridCol w:w="2789"/>
      </w:tblGrid>
      <w:tr w:rsidR="002A51BE" w:rsidRPr="009C5C34" w14:paraId="4983BC7F" w14:textId="77777777">
        <w:trPr>
          <w:tblHeader/>
        </w:trPr>
        <w:tc>
          <w:tcPr>
            <w:tcW w:w="0" w:type="auto"/>
          </w:tcPr>
          <w:p w14:paraId="1471EB1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Конфигурация</w:t>
            </w:r>
          </w:p>
        </w:tc>
        <w:tc>
          <w:tcPr>
            <w:tcW w:w="0" w:type="auto"/>
          </w:tcPr>
          <w:p w14:paraId="715414D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  <w:tc>
          <w:tcPr>
            <w:tcW w:w="0" w:type="auto"/>
          </w:tcPr>
          <w:p w14:paraId="41AF526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AUC loss</w:t>
            </w:r>
          </w:p>
        </w:tc>
        <w:tc>
          <w:tcPr>
            <w:tcW w:w="0" w:type="auto"/>
          </w:tcPr>
          <w:p w14:paraId="7DF8B6A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AUC loss per-class</w:t>
            </w:r>
          </w:p>
        </w:tc>
      </w:tr>
      <w:tr w:rsidR="002A51BE" w:rsidRPr="009C5C34" w14:paraId="3F2A5964" w14:textId="77777777">
        <w:tc>
          <w:tcPr>
            <w:tcW w:w="0" w:type="auto"/>
          </w:tcPr>
          <w:p w14:paraId="5DE324F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FL без ДП</w:t>
            </w:r>
          </w:p>
        </w:tc>
        <w:tc>
          <w:tcPr>
            <w:tcW w:w="0" w:type="auto"/>
          </w:tcPr>
          <w:p w14:paraId="6E0EB102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926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  <w:tc>
          <w:tcPr>
            <w:tcW w:w="0" w:type="auto"/>
          </w:tcPr>
          <w:p w14:paraId="44A9954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479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  <w:tc>
          <w:tcPr>
            <w:tcW w:w="0" w:type="auto"/>
          </w:tcPr>
          <w:p w14:paraId="38D0D93A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486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004</m:t>
                </m:r>
              </m:oMath>
            </m:oMathPara>
          </w:p>
        </w:tc>
      </w:tr>
      <w:tr w:rsidR="002A51BE" w:rsidRPr="009C5C34" w14:paraId="34A31EDA" w14:textId="77777777">
        <w:tc>
          <w:tcPr>
            <w:tcW w:w="0" w:type="auto"/>
          </w:tcPr>
          <w:p w14:paraId="56B42A9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FL + ДП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</m:t>
              </m:r>
            </m:oMath>
          </w:p>
        </w:tc>
        <w:tc>
          <w:tcPr>
            <w:tcW w:w="0" w:type="auto"/>
          </w:tcPr>
          <w:p w14:paraId="58D1E35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019</m:t>
                </m:r>
              </m:oMath>
            </m:oMathPara>
          </w:p>
        </w:tc>
        <w:tc>
          <w:tcPr>
            <w:tcW w:w="0" w:type="auto"/>
          </w:tcPr>
          <w:p w14:paraId="070AE18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434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001</m:t>
                </m:r>
              </m:oMath>
            </m:oMathPara>
          </w:p>
        </w:tc>
        <w:tc>
          <w:tcPr>
            <w:tcW w:w="0" w:type="auto"/>
          </w:tcPr>
          <w:p w14:paraId="477A29D1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459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003</m:t>
                </m:r>
              </m:oMath>
            </m:oMathPara>
          </w:p>
        </w:tc>
      </w:tr>
      <w:tr w:rsidR="002A51BE" w:rsidRPr="009C5C34" w14:paraId="1B39F6C3" w14:textId="77777777">
        <w:tc>
          <w:tcPr>
            <w:tcW w:w="0" w:type="auto"/>
          </w:tcPr>
          <w:p w14:paraId="70E3688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FL + ДП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8</m:t>
              </m:r>
            </m:oMath>
          </w:p>
        </w:tc>
        <w:tc>
          <w:tcPr>
            <w:tcW w:w="0" w:type="auto"/>
          </w:tcPr>
          <w:p w14:paraId="5F2F2E3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854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009</m:t>
                </m:r>
              </m:oMath>
            </m:oMathPara>
          </w:p>
        </w:tc>
        <w:tc>
          <w:tcPr>
            <w:tcW w:w="0" w:type="auto"/>
          </w:tcPr>
          <w:p w14:paraId="300C95A0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438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003</m:t>
                </m:r>
              </m:oMath>
            </m:oMathPara>
          </w:p>
        </w:tc>
        <w:tc>
          <w:tcPr>
            <w:tcW w:w="0" w:type="auto"/>
          </w:tcPr>
          <w:p w14:paraId="6DD4E3F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461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002</m:t>
                </m:r>
              </m:oMath>
            </m:oMathPara>
          </w:p>
        </w:tc>
      </w:tr>
    </w:tbl>
    <w:p w14:paraId="19BC58B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Все AUC лежат в коридоре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43</m:t>
        </m:r>
      </m:oMath>
      <w:r w:rsidRPr="009C5C34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48</m:t>
        </m:r>
      </m:oMath>
      <w:r w:rsidRPr="009C5C34">
        <w:rPr>
          <w:szCs w:val="28"/>
        </w:rPr>
        <w:t>. Значение 0,5 — порог случайного угадывания; 0,479 фактически совпадает с этим порогом, 0,434 — ниже него (для loss-based MIA это означает, что член класса в среднем имеет бóльший loss, чем не-член, — обратный к ожидаемому сигнал; такой эффект известен в литературе [14] для регуляризированных или зашумлённых моделей).</w:t>
      </w:r>
    </w:p>
    <w:p w14:paraId="69A3BE4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Причина слабого сигнала — несоответствие ёмкости модели объёму данных. SVHNCNN с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9C5C34">
        <w:rPr>
          <w:szCs w:val="28"/>
        </w:rPr>
        <w:t xml:space="preserve"> не переобучается на 73 тыс. примерах SVHN: даже без ДП, на чистой федеративной модели с ТОЗ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926</m:t>
        </m:r>
      </m:oMath>
      <w:r w:rsidRPr="009C5C34">
        <w:rPr>
          <w:szCs w:val="28"/>
        </w:rPr>
        <w:t xml:space="preserve"> AUC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479</m:t>
        </m:r>
      </m:oMath>
      <w:r w:rsidRPr="009C5C34">
        <w:rPr>
          <w:szCs w:val="28"/>
        </w:rPr>
        <w:t xml:space="preserve"> — атакующий не отличает членов от не-членов. Это согласуется с известным результатом: сила MIA пропорциональна степени переобучения [7]; для не переобучающихся моделей MIA вырождается в случайное угадывание.</w:t>
      </w:r>
    </w:p>
    <w:p w14:paraId="49C71E7B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[Установлено экспериментально] цель ЦБ2 в части блокирования MIA выполнена: AUC во всех режимах не выше 0,49, что не отличимо от случайного. Целевая же гарантия (формальная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9C5C34">
        <w:rPr>
          <w:szCs w:val="28"/>
        </w:rPr>
        <w:t>-ДП через RDP-accountant) не зависит от выбора конкретной атаки — она следует из конструкции конвейера и закрывается ссылкой на результаты [13; 14; 15].</w:t>
      </w:r>
    </w:p>
    <w:p w14:paraId="76E91E1C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lastRenderedPageBreak/>
        <w:drawing>
          <wp:inline distT="0" distB="0" distL="0" distR="0" wp14:anchorId="7523A78E" wp14:editId="73DFDB7C">
            <wp:extent cx="5930900" cy="3078062"/>
            <wp:effectExtent l="0" t="0" r="0" b="0"/>
            <wp:docPr id="63" name="Picture" descr="Рисунок 5.10 — AUC атаки определения членства в межорганизационном сценарии (3 seeds). Горизонтальный пунктир — порог случайного угадывания AUC = 0,5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fig_5_10_mia_au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7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18AC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Рисунок 5.10 — AUC атаки определения членства в межорганизационном сценарии (3 seeds). Горизонтальный пунктир — порог случайного угадывания AUC = 0,5.</w:t>
      </w:r>
    </w:p>
    <w:p w14:paraId="58006C1A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В межустройственном сценарии аналогичный эксперимент дал необучаемую модель в режиме ДП (</w:t>
      </w:r>
      <m:oMath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, ТОЗ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); AUC во всех режимах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50</m:t>
        </m:r>
      </m:oMath>
      <w:r w:rsidRPr="009C5C34">
        <w:rPr>
          <w:szCs w:val="28"/>
        </w:rPr>
        <w:t>, но это не «защита через ДП», а «защита через бесполезность» (модель не имеет полезного сигнала для атакующего, потому что ничему не научилась). Поэтому для межустройственного сценария результат как самостоятельное подтверждение ЦБ2 не используется; читателю предлагается опираться на формальную гарантию RDP-accountant и на результат межорганизационного сценария.</w:t>
      </w:r>
    </w:p>
    <w:p w14:paraId="234017AF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8" w:name="X863d92c20ad0a6f54f96d801fa936c971cc459e"/>
      <w:bookmarkEnd w:id="17"/>
      <w:r w:rsidRPr="009C5C34">
        <w:rPr>
          <w:rFonts w:ascii="Times New Roman" w:hAnsi="Times New Roman" w:cs="Times New Roman"/>
          <w:szCs w:val="28"/>
        </w:rPr>
        <w:t>1.5.2</w:t>
      </w:r>
      <w:r w:rsidRPr="009C5C34">
        <w:rPr>
          <w:rFonts w:ascii="Times New Roman" w:hAnsi="Times New Roman" w:cs="Times New Roman"/>
          <w:szCs w:val="28"/>
        </w:rPr>
        <w:tab/>
        <w:t>5.5.2 Атака восстановления данных по градиентам</w:t>
      </w:r>
    </w:p>
    <w:p w14:paraId="6CD9602D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Атака DLG [6] / iDLG [8] восстанавливает локальный обучающий пример клиента из наблюдаемого градиента. В работе атака применяется к модели межорганизационного сценария (SVHN,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9C5C34">
        <w:rPr>
          <w:szCs w:val="28"/>
        </w:rPr>
        <w:t xml:space="preserve">): пять изображений, 600 шагов оптимизации, три уровня шума на градиенте — без ДП,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>. Атакующий имеет доступ к градиенту одного клиента до агрегации (модельная угроза; в TO-BE-конфигурации защищена анклавом).</w:t>
      </w:r>
    </w:p>
    <w:p w14:paraId="6A4B82C0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>Таблица 5.15 — DLG-атака на отдельный градиент SVHNCNN (5 изображений, 600 шагов)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509"/>
        <w:gridCol w:w="1667"/>
        <w:gridCol w:w="2855"/>
        <w:gridCol w:w="3540"/>
      </w:tblGrid>
      <w:tr w:rsidR="002A51BE" w:rsidRPr="009C5C34" w14:paraId="4EFD2708" w14:textId="77777777">
        <w:trPr>
          <w:tblHeader/>
        </w:trPr>
        <w:tc>
          <w:tcPr>
            <w:tcW w:w="0" w:type="auto"/>
          </w:tcPr>
          <w:p w14:paraId="6DE3E8DF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Уровень шума</w:t>
            </w:r>
          </w:p>
        </w:tc>
        <w:tc>
          <w:tcPr>
            <w:tcW w:w="0" w:type="auto"/>
          </w:tcPr>
          <w:p w14:paraId="5B69AD2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Среднее grad_diff</w:t>
            </w:r>
          </w:p>
        </w:tc>
        <w:tc>
          <w:tcPr>
            <w:tcW w:w="0" w:type="auto"/>
          </w:tcPr>
          <w:p w14:paraId="0024414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Точность восстановления метки</w:t>
            </w:r>
          </w:p>
        </w:tc>
        <w:tc>
          <w:tcPr>
            <w:tcW w:w="0" w:type="auto"/>
          </w:tcPr>
          <w:p w14:paraId="09E91CA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Визуальное узнавание</w:t>
            </w:r>
          </w:p>
        </w:tc>
      </w:tr>
      <w:tr w:rsidR="002A51BE" w:rsidRPr="009C5C34" w14:paraId="19255417" w14:textId="77777777">
        <w:tc>
          <w:tcPr>
            <w:tcW w:w="0" w:type="auto"/>
          </w:tcPr>
          <w:p w14:paraId="60CF497E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Без ДП</w:t>
            </w:r>
          </w:p>
        </w:tc>
        <w:tc>
          <w:tcPr>
            <w:tcW w:w="0" w:type="auto"/>
          </w:tcPr>
          <w:p w14:paraId="0B43516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343</m:t>
                </m:r>
              </m:oMath>
            </m:oMathPara>
          </w:p>
        </w:tc>
        <w:tc>
          <w:tcPr>
            <w:tcW w:w="0" w:type="auto"/>
          </w:tcPr>
          <w:p w14:paraId="30967BB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</m:t>
                </m:r>
              </m:oMath>
            </m:oMathPara>
          </w:p>
        </w:tc>
        <w:tc>
          <w:tcPr>
            <w:tcW w:w="0" w:type="auto"/>
          </w:tcPr>
          <w:p w14:paraId="1815D8A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Контуры цифры различимы</w:t>
            </w:r>
          </w:p>
        </w:tc>
      </w:tr>
      <w:tr w:rsidR="002A51BE" w:rsidRPr="009C5C34" w14:paraId="0CB8F1E1" w14:textId="77777777">
        <w:tc>
          <w:tcPr>
            <w:tcW w:w="0" w:type="auto"/>
          </w:tcPr>
          <w:p w14:paraId="4817AC8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F429D65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893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9</m:t>
                </m:r>
              </m:oMath>
            </m:oMathPara>
          </w:p>
        </w:tc>
        <w:tc>
          <w:tcPr>
            <w:tcW w:w="0" w:type="auto"/>
          </w:tcPr>
          <w:p w14:paraId="499D0A2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</m:t>
                </m:r>
              </m:oMath>
            </m:oMathPara>
          </w:p>
        </w:tc>
        <w:tc>
          <w:tcPr>
            <w:tcW w:w="0" w:type="auto"/>
          </w:tcPr>
          <w:p w14:paraId="289C3C10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Случайный шум, метка восстанавливается</w:t>
            </w:r>
          </w:p>
        </w:tc>
      </w:tr>
      <w:tr w:rsidR="002A51BE" w:rsidRPr="009C5C34" w14:paraId="12527ACC" w14:textId="77777777">
        <w:tc>
          <w:tcPr>
            <w:tcW w:w="0" w:type="auto"/>
          </w:tcPr>
          <w:p w14:paraId="2E2403D4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36B3B39C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22295</m:t>
                </m:r>
              </m:oMath>
            </m:oMathPara>
          </w:p>
        </w:tc>
        <w:tc>
          <w:tcPr>
            <w:tcW w:w="0" w:type="auto"/>
          </w:tcPr>
          <w:p w14:paraId="26FE281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80</m:t>
                </m:r>
              </m:oMath>
            </m:oMathPara>
          </w:p>
        </w:tc>
        <w:tc>
          <w:tcPr>
            <w:tcW w:w="0" w:type="auto"/>
          </w:tcPr>
          <w:p w14:paraId="7F559C1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Случайный шум</w:t>
            </w:r>
          </w:p>
        </w:tc>
      </w:tr>
    </w:tbl>
    <w:p w14:paraId="013DA69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Для одиночного применения механизма Гаусса с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(</w:t>
      </w:r>
      <m:oMath>
        <m:r>
          <w:rPr>
            <w:rFonts w:ascii="Cambria Math" w:hAnsi="Cambria Math"/>
            <w:szCs w:val="28"/>
          </w:rPr>
          <m:t>δ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</w:rPr>
              <m:t>5</m:t>
            </m:r>
          </m:sup>
        </m:sSup>
      </m:oMath>
      <w:r w:rsidRPr="009C5C34">
        <w:rPr>
          <w:szCs w:val="28"/>
        </w:rPr>
        <w:t xml:space="preserve">, sensitivity </w:t>
      </w:r>
      <m:oMath>
        <m:r>
          <w:rPr>
            <w:rFonts w:ascii="Cambria Math" w:hAnsi="Cambria Math"/>
            <w:szCs w:val="28"/>
          </w:rPr>
          <m:t>C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) аналитический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, через RDP-accountant —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11</m:t>
        </m:r>
      </m:oMath>
      <w:r w:rsidRPr="009C5C34">
        <w:rPr>
          <w:szCs w:val="28"/>
        </w:rPr>
        <w:t xml:space="preserve">. Это </w:t>
      </w:r>
      <w:r w:rsidRPr="009C5C34">
        <w:rPr>
          <w:b/>
          <w:bCs/>
          <w:szCs w:val="28"/>
        </w:rPr>
        <w:t>single-shot</w:t>
      </w:r>
      <w:r w:rsidRPr="009C5C34">
        <w:rPr>
          <w:szCs w:val="28"/>
        </w:rPr>
        <w:t xml:space="preserve"> оценка для одного градиента, а не для всего FL-сеанса; прямое сопоставление с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 в основной матрице (раздел 5.4.2) некорректно — там шум добавляется на агрегате после клиппинга на сервере, контекст композиции другой.</w:t>
      </w:r>
    </w:p>
    <w:p w14:paraId="352C0D4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Качественный вывод: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уже разрушает визуальное восстановление,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оставляет от изображения только шум. Метки, однако, восстанавливаются и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 xml:space="preserve"> с точностью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80</m:t>
        </m:r>
      </m:oMath>
      <w:r w:rsidRPr="009C5C34">
        <w:rPr>
          <w:szCs w:val="28"/>
        </w:rPr>
        <w:t xml:space="preserve"> — это известное свойство: знак градиента последнего слоя даёт точку утечки метки (iDLG, [8]). Изображение защищается шумом ДП, метка — нет.</w:t>
      </w:r>
    </w:p>
    <w:p w14:paraId="760709C7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Дополнительное замечание: само DLG на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9C5C34">
        <w:rPr>
          <w:szCs w:val="28"/>
        </w:rPr>
        <w:t xml:space="preserve"> — заметно более тяжёлая задача, чем на моделях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∼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4</m:t>
            </m:r>
          </m:sup>
        </m:sSup>
      </m:oMath>
      <w:r w:rsidRPr="009C5C34">
        <w:rPr>
          <w:szCs w:val="28"/>
        </w:rPr>
        <w:t>, использованных в оригинальной работе [6]. Реконструкция «без ДП» в данной работе уже размыта; визуальный контраст «без ДП vs. с ДП» ослаблен, и это не следует трактовать как «ДП не нужна» — это означает «сама модель уже частично защищает от DLG».</w:t>
      </w:r>
    </w:p>
    <w:p w14:paraId="070F1597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lastRenderedPageBreak/>
        <w:drawing>
          <wp:inline distT="0" distB="0" distL="0" distR="0" wp14:anchorId="6DF40946" wp14:editId="4614AB8E">
            <wp:extent cx="5930900" cy="7541704"/>
            <wp:effectExtent l="0" t="0" r="0" b="0"/>
            <wp:docPr id="67" name="Picture" descr="Рисунок 5.11 — Визуализация атаки восстановления данных по градиентам (DLG): пять изображений из SVHN, столбцы — исходное, восстановление без ДП, при \sigma = 0{,}1, при \sigma = 0{,}5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/fig_5_11_gia_gri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541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BE824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Рисунок 5.11 — Визуализация атаки восстановления данных по градиентам (DLG): пять изображений из SVHN, столбцы — исходное, восстановление без ДП,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,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>.</w:t>
      </w:r>
    </w:p>
    <w:p w14:paraId="0BC5A651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[Установлено экспериментально] цель ЦБ2 в части блокирования DLG выполнена для шума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: визуальная реконструкция изображения </w:t>
      </w:r>
      <w:r w:rsidRPr="009C5C34">
        <w:rPr>
          <w:szCs w:val="28"/>
        </w:rPr>
        <w:lastRenderedPageBreak/>
        <w:t xml:space="preserve">становится неотличимой от случайного шума. Утечка меток через знак градиента — известный остаточный канал [8]; в TO-BE-конфигурации он закрыт исполнением серверной части в анклаве (политика П4): атакующий снаружи анклава не имеет доступа к индивидуальным градиентам. Формальная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9C5C34">
        <w:rPr>
          <w:szCs w:val="28"/>
        </w:rPr>
        <w:t>-гарантия независимо от конкретной атаки следует из конструкции конвейера.</w:t>
      </w:r>
    </w:p>
    <w:p w14:paraId="388A20DB" w14:textId="77777777" w:rsidR="002A51BE" w:rsidRPr="009C5C34" w:rsidRDefault="00A97DF9" w:rsidP="009C5C34">
      <w:pPr>
        <w:pStyle w:val="3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19" w:name="X20a0c72bbc7a8291c748a32eb2b9291fa1ce0df"/>
      <w:bookmarkEnd w:id="18"/>
      <w:r w:rsidRPr="009C5C34">
        <w:rPr>
          <w:rFonts w:ascii="Times New Roman" w:hAnsi="Times New Roman" w:cs="Times New Roman"/>
          <w:szCs w:val="28"/>
        </w:rPr>
        <w:t>1.5.3</w:t>
      </w:r>
      <w:r w:rsidRPr="009C5C34">
        <w:rPr>
          <w:rFonts w:ascii="Times New Roman" w:hAnsi="Times New Roman" w:cs="Times New Roman"/>
          <w:szCs w:val="28"/>
        </w:rPr>
        <w:tab/>
        <w:t>5.5.3 Центральная и локальная дифференциальная приватность</w:t>
      </w:r>
    </w:p>
    <w:p w14:paraId="261B4A93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Тезис 2 (центральная ДП предпочтительнее локальной при наличии TEE) формально следует из соотношения ошибок: центральная —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/</m:t>
            </m:r>
            <m:r>
              <w:rPr>
                <w:rFonts w:ascii="Cambria Math" w:hAnsi="Cambria Math"/>
                <w:szCs w:val="28"/>
              </w:rPr>
              <m:t>K</m:t>
            </m:r>
          </m:e>
        </m:d>
      </m:oMath>
      <w:r w:rsidRPr="009C5C34">
        <w:rPr>
          <w:szCs w:val="28"/>
        </w:rPr>
        <w:t xml:space="preserve">, локальная —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</w:rPr>
                  <m:t>K</m:t>
                </m:r>
              </m:e>
            </m:rad>
          </m:e>
        </m:d>
      </m:oMath>
      <w:r w:rsidRPr="009C5C34">
        <w:rPr>
          <w:szCs w:val="28"/>
        </w:rPr>
        <w:t xml:space="preserve"> [14]. Эмпирическая проверка выполнена на межустройственном сценарии при фиксированном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>, без атак, для двух режимов добавления шума: на сервере (центральный) и на клиенте до отправки (локальный, политика противоположная П3).</w:t>
      </w:r>
    </w:p>
    <w:p w14:paraId="0008BB27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Таблица 5.16 — Центральная и локальная ДП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2110"/>
        <w:gridCol w:w="3198"/>
        <w:gridCol w:w="1965"/>
        <w:gridCol w:w="2298"/>
      </w:tblGrid>
      <w:tr w:rsidR="002A51BE" w:rsidRPr="009C5C34" w14:paraId="21E94B9C" w14:textId="77777777">
        <w:trPr>
          <w:tblHeader/>
        </w:trPr>
        <w:tc>
          <w:tcPr>
            <w:tcW w:w="0" w:type="auto"/>
          </w:tcPr>
          <w:p w14:paraId="6A00812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Режим</w:t>
            </w:r>
          </w:p>
        </w:tc>
        <w:tc>
          <w:tcPr>
            <w:tcW w:w="0" w:type="auto"/>
          </w:tcPr>
          <w:p w14:paraId="3067F25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Сценарий, атака</w:t>
            </w:r>
          </w:p>
        </w:tc>
        <w:tc>
          <w:tcPr>
            <w:tcW w:w="0" w:type="auto"/>
          </w:tcPr>
          <w:p w14:paraId="1EC9B38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Число seeds</w:t>
            </w:r>
          </w:p>
        </w:tc>
        <w:tc>
          <w:tcPr>
            <w:tcW w:w="0" w:type="auto"/>
          </w:tcPr>
          <w:p w14:paraId="3AF9F2ED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ТОЗ</w:t>
            </w:r>
          </w:p>
        </w:tc>
      </w:tr>
      <w:tr w:rsidR="002A51BE" w:rsidRPr="009C5C34" w14:paraId="43DA9C9C" w14:textId="77777777">
        <w:tc>
          <w:tcPr>
            <w:tcW w:w="0" w:type="auto"/>
          </w:tcPr>
          <w:p w14:paraId="0E066D87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Центральная</w:t>
            </w:r>
          </w:p>
        </w:tc>
        <w:tc>
          <w:tcPr>
            <w:tcW w:w="0" w:type="auto"/>
          </w:tcPr>
          <w:p w14:paraId="27A47CF5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CD, без атак,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10</m:t>
              </m:r>
            </m:oMath>
          </w:p>
        </w:tc>
        <w:tc>
          <w:tcPr>
            <w:tcW w:w="0" w:type="auto"/>
          </w:tcPr>
          <w:p w14:paraId="6C5A7D3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4</w:t>
            </w:r>
          </w:p>
        </w:tc>
        <w:tc>
          <w:tcPr>
            <w:tcW w:w="0" w:type="auto"/>
          </w:tcPr>
          <w:p w14:paraId="6682D2B7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799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007</m:t>
                </m:r>
              </m:oMath>
            </m:oMathPara>
          </w:p>
        </w:tc>
      </w:tr>
      <w:tr w:rsidR="002A51BE" w:rsidRPr="009C5C34" w14:paraId="7BEEA592" w14:textId="77777777">
        <w:tc>
          <w:tcPr>
            <w:tcW w:w="0" w:type="auto"/>
          </w:tcPr>
          <w:p w14:paraId="34B6D64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Локальная</w:t>
            </w:r>
          </w:p>
        </w:tc>
        <w:tc>
          <w:tcPr>
            <w:tcW w:w="0" w:type="auto"/>
          </w:tcPr>
          <w:p w14:paraId="65463D53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CD, без атак,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10</m:t>
              </m:r>
            </m:oMath>
          </w:p>
        </w:tc>
        <w:tc>
          <w:tcPr>
            <w:tcW w:w="0" w:type="auto"/>
          </w:tcPr>
          <w:p w14:paraId="52AB7E74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5</w:t>
            </w:r>
          </w:p>
        </w:tc>
        <w:tc>
          <w:tcPr>
            <w:tcW w:w="0" w:type="auto"/>
          </w:tcPr>
          <w:p w14:paraId="181F182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500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053</m:t>
                </m:r>
              </m:oMath>
            </m:oMathPara>
          </w:p>
        </w:tc>
      </w:tr>
      <w:tr w:rsidR="002A51BE" w:rsidRPr="009C5C34" w14:paraId="1727A7AF" w14:textId="77777777">
        <w:tc>
          <w:tcPr>
            <w:tcW w:w="0" w:type="auto"/>
          </w:tcPr>
          <w:p w14:paraId="0D52D99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Центральная</w:t>
            </w:r>
          </w:p>
        </w:tc>
        <w:tc>
          <w:tcPr>
            <w:tcW w:w="0" w:type="auto"/>
          </w:tcPr>
          <w:p w14:paraId="3E721999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CD, ALIE,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10</m:t>
              </m:r>
            </m:oMath>
          </w:p>
        </w:tc>
        <w:tc>
          <w:tcPr>
            <w:tcW w:w="0" w:type="auto"/>
          </w:tcPr>
          <w:p w14:paraId="3A4CCEB6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2FA2E493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725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017</m:t>
                </m:r>
              </m:oMath>
            </m:oMathPara>
          </w:p>
        </w:tc>
      </w:tr>
      <w:tr w:rsidR="002A51BE" w:rsidRPr="009C5C34" w14:paraId="340EF957" w14:textId="77777777">
        <w:tc>
          <w:tcPr>
            <w:tcW w:w="0" w:type="auto"/>
          </w:tcPr>
          <w:p w14:paraId="6758949A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Локальная</w:t>
            </w:r>
          </w:p>
        </w:tc>
        <w:tc>
          <w:tcPr>
            <w:tcW w:w="0" w:type="auto"/>
          </w:tcPr>
          <w:p w14:paraId="4C49C25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CD, ALIE,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10</m:t>
              </m:r>
            </m:oMath>
          </w:p>
        </w:tc>
        <w:tc>
          <w:tcPr>
            <w:tcW w:w="0" w:type="auto"/>
          </w:tcPr>
          <w:p w14:paraId="44B1811C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68B2F286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171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078</m:t>
                </m:r>
              </m:oMath>
            </m:oMathPara>
          </w:p>
        </w:tc>
      </w:tr>
      <w:tr w:rsidR="002A51BE" w:rsidRPr="009C5C34" w14:paraId="447E4CE5" w14:textId="77777777">
        <w:tc>
          <w:tcPr>
            <w:tcW w:w="0" w:type="auto"/>
          </w:tcPr>
          <w:p w14:paraId="3D803F5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Центральная</w:t>
            </w:r>
          </w:p>
        </w:tc>
        <w:tc>
          <w:tcPr>
            <w:tcW w:w="0" w:type="auto"/>
          </w:tcPr>
          <w:p w14:paraId="7C0AEA68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CS, ALIE,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</m:t>
              </m:r>
            </m:oMath>
          </w:p>
        </w:tc>
        <w:tc>
          <w:tcPr>
            <w:tcW w:w="0" w:type="auto"/>
          </w:tcPr>
          <w:p w14:paraId="49CF9702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3BE1120D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812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023</m:t>
                </m:r>
              </m:oMath>
            </m:oMathPara>
          </w:p>
        </w:tc>
      </w:tr>
      <w:tr w:rsidR="002A51BE" w:rsidRPr="009C5C34" w14:paraId="783C2162" w14:textId="77777777">
        <w:tc>
          <w:tcPr>
            <w:tcW w:w="0" w:type="auto"/>
          </w:tcPr>
          <w:p w14:paraId="3C58D4A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Локальная</w:t>
            </w:r>
          </w:p>
        </w:tc>
        <w:tc>
          <w:tcPr>
            <w:tcW w:w="0" w:type="auto"/>
          </w:tcPr>
          <w:p w14:paraId="36E3780B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 xml:space="preserve">CS, ALIE, </w:t>
            </w:r>
            <m:oMath>
              <m:r>
                <w:rPr>
                  <w:rFonts w:ascii="Cambria Math" w:hAnsi="Cambria Math"/>
                  <w:szCs w:val="28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</m:t>
              </m:r>
            </m:oMath>
          </w:p>
        </w:tc>
        <w:tc>
          <w:tcPr>
            <w:tcW w:w="0" w:type="auto"/>
          </w:tcPr>
          <w:p w14:paraId="4F810241" w14:textId="77777777" w:rsidR="002A51BE" w:rsidRPr="009C5C34" w:rsidRDefault="00A97DF9" w:rsidP="009C5C34">
            <w:pPr>
              <w:rPr>
                <w:szCs w:val="28"/>
              </w:rPr>
            </w:pPr>
            <w:r w:rsidRPr="009C5C34"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234063A9" w14:textId="77777777" w:rsidR="002A51BE" w:rsidRPr="009C5C34" w:rsidRDefault="00A97DF9" w:rsidP="009C5C34">
            <w:pPr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137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±</m:t>
                </m:r>
                <m:r>
                  <w:rPr>
                    <w:rFonts w:ascii="Cambria Math" w:hAnsi="Cambria Math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032</m:t>
                </m:r>
              </m:oMath>
            </m:oMathPara>
          </w:p>
        </w:tc>
      </w:tr>
    </w:tbl>
    <w:p w14:paraId="35D9A862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 xml:space="preserve">Разница ТОЗ без атак — около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30</m:t>
        </m:r>
      </m:oMath>
      <w:r w:rsidRPr="009C5C34">
        <w:rPr>
          <w:szCs w:val="28"/>
        </w:rPr>
        <w:t xml:space="preserve"> при одинаковом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 (центральная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799</m:t>
        </m:r>
      </m:oMath>
      <w:r w:rsidRPr="009C5C34">
        <w:rPr>
          <w:szCs w:val="28"/>
        </w:rPr>
        <w:t xml:space="preserve">, локальная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500</m:t>
        </m:r>
      </m:oMath>
      <w:r w:rsidRPr="009C5C34">
        <w:rPr>
          <w:szCs w:val="28"/>
        </w:rPr>
        <w:t xml:space="preserve">). Источник: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m:rPr>
                <m:nor/>
              </m:rPr>
              <w:rPr>
                <w:szCs w:val="28"/>
              </w:rPr>
              <m:t>local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3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35</m:t>
        </m:r>
      </m:oMath>
      <w:r w:rsidRPr="009C5C34">
        <w:rPr>
          <w:szCs w:val="28"/>
        </w:rPr>
        <w:t xml:space="preserve"> против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m:rPr>
                <m:nor/>
              </m:rPr>
              <w:rPr>
                <w:szCs w:val="28"/>
              </w:rPr>
              <m:t>central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71</m:t>
        </m:r>
      </m:oMath>
      <w:r w:rsidRPr="009C5C34">
        <w:rPr>
          <w:szCs w:val="28"/>
        </w:rPr>
        <w:t xml:space="preserve">, потому что локальная ДП не амортизирует privacy budget через sampling rate — каждое из </w:t>
      </w:r>
      <m:oMath>
        <m:r>
          <w:rPr>
            <w:rFonts w:ascii="Cambria Math" w:hAnsi="Cambria Math"/>
            <w:szCs w:val="28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q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</m:t>
        </m:r>
      </m:oMath>
      <w:r w:rsidRPr="009C5C34">
        <w:rPr>
          <w:szCs w:val="28"/>
        </w:rPr>
        <w:t xml:space="preserve"> участий клиента должно независимо удовлетворять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9C5C34">
        <w:rPr>
          <w:szCs w:val="28"/>
        </w:rPr>
        <w:t>.</w:t>
      </w:r>
    </w:p>
    <w:p w14:paraId="7A1D9423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Под атакой ALIE разница усиливается до катастрофической: локальная ДП даёт ТОЗ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171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078</m:t>
        </m:r>
      </m:oMath>
      <w:r w:rsidRPr="009C5C34">
        <w:rPr>
          <w:szCs w:val="28"/>
        </w:rPr>
        <w:t xml:space="preserve"> на межустройственном сценарии и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137</m:t>
        </m:r>
        <m:r>
          <m:rPr>
            <m:sty m:val="p"/>
          </m:rPr>
          <w:rPr>
            <w:rFonts w:ascii="Cambria Math" w:hAnsi="Cambria Math"/>
            <w:szCs w:val="28"/>
          </w:rPr>
          <m:t>±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032</m:t>
        </m:r>
      </m:oMath>
      <w:r w:rsidRPr="009C5C34">
        <w:rPr>
          <w:szCs w:val="28"/>
        </w:rPr>
        <w:t xml:space="preserve"> на межорганизационном — обе на уровне случайного угадывания для 10 классов. Причина — шум на стороне клиента искажает оценки FedRoLA (cosine-similarity между обновлениями становится случайной величиной с большой дисперсией), и робастный фильтр не отличает атаку от честных клиентов.</w:t>
      </w:r>
    </w:p>
    <w:p w14:paraId="5BC8E911" w14:textId="77777777" w:rsidR="002A51BE" w:rsidRPr="009C5C34" w:rsidRDefault="00A97DF9" w:rsidP="009C5C34">
      <w:pPr>
        <w:rPr>
          <w:szCs w:val="28"/>
        </w:rPr>
      </w:pPr>
      <w:r w:rsidRPr="009C5C34">
        <w:rPr>
          <w:noProof/>
          <w:szCs w:val="28"/>
        </w:rPr>
        <w:drawing>
          <wp:inline distT="0" distB="0" distL="0" distR="0" wp14:anchorId="22063A6F" wp14:editId="63FC719D">
            <wp:extent cx="5930900" cy="3106661"/>
            <wp:effectExtent l="0" t="0" r="0" b="0"/>
            <wp:docPr id="71" name="Picture" descr="Рисунок 5.12 — Центральная и локальная дифференциальная приватность (FedRoLA, фиксированный \varepsilon). Зелёные столбцы — центральная ДП, красные — локальна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s/fig_5_12_central_vs_local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0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20FCF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 xml:space="preserve">Рисунок 5.12 — Центральная и локальная дифференциальная приватность (FedRoLA, фиксированный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>). Зелёные столбцы — центральная ДП, красные — локальная.</w:t>
      </w:r>
    </w:p>
    <w:p w14:paraId="754561D8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[Установлено экспериментально] тезис 2 подтверждён численно: при фиксированном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 центральная ДП даёт ТОЗ выше на 0,30 (без атак, межустройственный сценарий), а под нецелевым отравлением модели локальная ДП теряет робастность качественно (TPR → 0). Условие </w:t>
      </w:r>
      <w:r w:rsidRPr="009C5C34">
        <w:rPr>
          <w:szCs w:val="28"/>
        </w:rPr>
        <w:lastRenderedPageBreak/>
        <w:t>применимости центральной ДП — наличие TEE — обеспечено политикой П4 и закрывает соответствующее доверительное допущение.</w:t>
      </w:r>
    </w:p>
    <w:p w14:paraId="01C7A005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20" w:name="накладные-расходы-доверенной-среды"/>
      <w:bookmarkEnd w:id="16"/>
      <w:bookmarkEnd w:id="19"/>
      <w:r w:rsidRPr="009C5C34">
        <w:rPr>
          <w:rFonts w:ascii="Times New Roman" w:hAnsi="Times New Roman" w:cs="Times New Roman"/>
          <w:szCs w:val="28"/>
        </w:rPr>
        <w:t>1.6</w:t>
      </w:r>
      <w:r w:rsidRPr="009C5C34">
        <w:rPr>
          <w:rFonts w:ascii="Times New Roman" w:hAnsi="Times New Roman" w:cs="Times New Roman"/>
          <w:szCs w:val="28"/>
        </w:rPr>
        <w:tab/>
        <w:t>5.6 Накладные расходы доверенной среды</w:t>
      </w:r>
    </w:p>
    <w:p w14:paraId="62529FBA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Раздел адресует ЦБ3 в части эффективной реализуемости: доверенная среда должна обеспечивать конфиденциальность и целостность серверного конвейера без прибавки, делающей систему практически непригодной. Измерения выполняются на двух стендах:</w:t>
      </w:r>
    </w:p>
    <w:p w14:paraId="16C6A074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SCONE-стенд в режиме SIM</w:t>
      </w:r>
      <w:r w:rsidRPr="009C5C34">
        <w:rPr>
          <w:szCs w:val="28"/>
        </w:rPr>
        <w:t xml:space="preserve"> — Docker-контейнер с сконифицированным образом, исполняемый без аппаратной защиты на любом Linux-хосте. Замеры показывают накладные расходы платформы SCONE без эффекта ограниченной EPC-памяти.</w:t>
      </w:r>
    </w:p>
    <w:p w14:paraId="5D06529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SCONE-стенд в режиме HW</w:t>
      </w:r>
      <w:r w:rsidRPr="009C5C34">
        <w:rPr>
          <w:szCs w:val="28"/>
        </w:rPr>
        <w:t xml:space="preserve"> — выделенный сервер с поддержкой Intel SGX. Замеры включают эффект ограниченной EPC и реальной аппаратной защиты, в том числе шифрование страниц памяти и удалённую аттестацию.</w:t>
      </w:r>
    </w:p>
    <w:p w14:paraId="569C2E05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Эксперимент включает запуск одного раунда серверной части (FedRoLA + клиппинг + шум ДП на 40 обновлениях) с измерением: общего времени раунда, времени каждой подоперации, размера обмена с клиентами, длительности удалённой аттестации.</w:t>
      </w:r>
    </w:p>
    <w:p w14:paraId="409E5F9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[Раздел будет дополнен после получения результатов с HW-стенда. На момент сдачи текущей версии главы аппаратная среда находится в стадии подготовки. Ожидаемая структура раздела:</w:t>
      </w:r>
    </w:p>
    <w:p w14:paraId="16C6F629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5.6.1 Конфигурация стенда (CPU, ОС, версия SGX-driver, параметры SCONE). 5.6.2 Накладные расходы режима SIM против native (без SCONE). 5.6.3 Накладные расходы режима HW против режима SIM (стоимость аппаратной защиты). 5.6.4 Профиль раунда: разбиение времени по подоперациям. 5.6.5 Удалённая аттестация: задержка установления сессии, размер квоты.</w:t>
      </w:r>
    </w:p>
    <w:p w14:paraId="69DE3A7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Сбор данных и подготовка раздела — в работе.]</w:t>
      </w:r>
    </w:p>
    <w:p w14:paraId="0D76C513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21" w:name="остаточные-угрозы-и-границы-применимости"/>
      <w:bookmarkEnd w:id="20"/>
      <w:r w:rsidRPr="009C5C34">
        <w:rPr>
          <w:rFonts w:ascii="Times New Roman" w:hAnsi="Times New Roman" w:cs="Times New Roman"/>
          <w:szCs w:val="28"/>
        </w:rPr>
        <w:lastRenderedPageBreak/>
        <w:t>1.7</w:t>
      </w:r>
      <w:r w:rsidRPr="009C5C34">
        <w:rPr>
          <w:rFonts w:ascii="Times New Roman" w:hAnsi="Times New Roman" w:cs="Times New Roman"/>
          <w:szCs w:val="28"/>
        </w:rPr>
        <w:tab/>
        <w:t>5.7 Остаточные угрозы и границы применимости</w:t>
      </w:r>
    </w:p>
    <w:p w14:paraId="20732074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В таблице 3.4 столбец «Остаточный риск» отмечал угрозы, которые штатными средствами TO-BE-конфигурации не закрываются полностью или выходят за пределы рассматриваемых средств защиты. Экспериментальное подтверждение этих границ из разделов 5.3–5.5 сводится в перечне ниже.</w:t>
      </w:r>
    </w:p>
    <w:p w14:paraId="7BB0BE9B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Атака со скрытой закладкой через замену модели (УБИ-ML.02)</w:t>
      </w:r>
      <w:r w:rsidRPr="009C5C34">
        <w:rPr>
          <w:szCs w:val="28"/>
        </w:rPr>
        <w:t xml:space="preserve">. Эмпирически подтверждено в 5.3.2: ТЗА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96</m:t>
        </m:r>
      </m:oMath>
      <w:r w:rsidRPr="009C5C34">
        <w:rPr>
          <w:szCs w:val="28"/>
        </w:rPr>
        <w:t xml:space="preserve"> во всех конфигурациях FedRoLA + клиппинг + ДП в обоих сценариях. Граница применимости — фундаментальная для cosine-similarity-based защит, отмечена и в [12]. Возможные направления усиления: certified label-robust training, Neural Cleanse, sparsity-pruning отравленных нейронов на отдельной валидационной выборке внутри анклава. Все они расширяют ДВБ либо требуют дополнительных доверительных допущений и в настоящей работе не применяются.</w:t>
      </w:r>
    </w:p>
    <w:p w14:paraId="468D308D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Целевое отравление данных в паре классов (УБИ-ML.04)</w:t>
      </w:r>
      <w:r w:rsidRPr="009C5C34">
        <w:rPr>
          <w:szCs w:val="28"/>
        </w:rPr>
        <w:t xml:space="preserve">. Эмпирически подтверждено в 5.3.3: ТЗА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40</m:t>
        </m:r>
      </m:oMath>
      <w:r w:rsidRPr="009C5C34">
        <w:rPr>
          <w:szCs w:val="28"/>
        </w:rPr>
        <w:t xml:space="preserve">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>, FedRoLA по метрикам идентичен FedAvg. Граница применимости — отдельный класс угроз, для которого робастная агрегация структурно непригодна. Направления — label-noise-aware learning, аудит распределения меток между клиентами; выходят за пределы работы.</w:t>
      </w:r>
    </w:p>
    <w:p w14:paraId="318C6EF6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Адаптивные атаки против FedRoLA (УБИ-ML.07)</w:t>
      </w:r>
      <w:r w:rsidRPr="009C5C34">
        <w:rPr>
          <w:szCs w:val="28"/>
        </w:rPr>
        <w:t>. На момент работы в открытой литературе адаптивная атака, оптимизированная под FedRoLA, не описана. Авторы FedRoLA предложили SimAttack [12], при которой TPR падает с 0,92–0,98 до 0,67–0,69; в настоящей работе SimAttack не воспроизводилась — эксперимент остаётся на следующую итерацию.</w:t>
      </w:r>
    </w:p>
    <w:p w14:paraId="73898FC2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  <w:lang w:val="en-US"/>
        </w:rPr>
        <w:t xml:space="preserve">— </w:t>
      </w:r>
      <w:r w:rsidRPr="009C5C34">
        <w:rPr>
          <w:i/>
          <w:iCs/>
          <w:szCs w:val="28"/>
          <w:lang w:val="en-US"/>
        </w:rPr>
        <w:t>Side-channel-</w:t>
      </w:r>
      <w:r w:rsidRPr="009C5C34">
        <w:rPr>
          <w:i/>
          <w:iCs/>
          <w:szCs w:val="28"/>
        </w:rPr>
        <w:t>атаки</w:t>
      </w:r>
      <w:r w:rsidRPr="009C5C34">
        <w:rPr>
          <w:i/>
          <w:iCs/>
          <w:szCs w:val="28"/>
          <w:lang w:val="en-US"/>
        </w:rPr>
        <w:t xml:space="preserve"> </w:t>
      </w:r>
      <w:r w:rsidRPr="009C5C34">
        <w:rPr>
          <w:i/>
          <w:iCs/>
          <w:szCs w:val="28"/>
        </w:rPr>
        <w:t>на</w:t>
      </w:r>
      <w:r w:rsidRPr="009C5C34">
        <w:rPr>
          <w:i/>
          <w:iCs/>
          <w:szCs w:val="28"/>
          <w:lang w:val="en-US"/>
        </w:rPr>
        <w:t xml:space="preserve"> SGX</w:t>
      </w:r>
      <w:r w:rsidRPr="009C5C34">
        <w:rPr>
          <w:szCs w:val="28"/>
          <w:lang w:val="en-US"/>
        </w:rPr>
        <w:t xml:space="preserve">. </w:t>
      </w:r>
      <w:r w:rsidRPr="009C5C34">
        <w:rPr>
          <w:szCs w:val="28"/>
        </w:rPr>
        <w:t xml:space="preserve">Класс атак, требующий физического доступа к CPU сервера (Foreshadow, ÆPIC Leak и др., [16]). В модели нарушителя (подраздел 3.3.1) этот класс не рассматривается; остаточный риск принимается явно и фиксируется как ограничение модели TEE в целом. </w:t>
      </w:r>
      <w:r w:rsidRPr="009C5C34">
        <w:rPr>
          <w:szCs w:val="28"/>
        </w:rPr>
        <w:lastRenderedPageBreak/>
        <w:t>Меры противодействия (микрокодные обновления Intel, ограничение физического доступа) лежат вне программной части системы.</w:t>
      </w:r>
    </w:p>
    <w:p w14:paraId="7F5CEEBF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Нестабильность ДП на длинном горизонте</w:t>
      </w:r>
      <w:r w:rsidRPr="009C5C34">
        <w:rPr>
          <w:szCs w:val="28"/>
        </w:rPr>
        <w:t xml:space="preserve">. В 5.4.5 показано, что увеличение </w:t>
      </w:r>
      <m:oMath>
        <m:r>
          <w:rPr>
            <w:rFonts w:ascii="Cambria Math" w:hAnsi="Cambria Math"/>
            <w:szCs w:val="28"/>
          </w:rPr>
          <m:t>T</m:t>
        </m:r>
      </m:oMath>
      <w:r w:rsidRPr="009C5C34">
        <w:rPr>
          <w:szCs w:val="28"/>
        </w:rPr>
        <w:t xml:space="preserve"> при фиксированном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 повышает дисперсию ТОЗ. Это не угроза, а эксплуатационное ограничение: операционно осмысленный диапазон </w:t>
      </w:r>
      <m:oMath>
        <m:r>
          <w:rPr>
            <w:rFonts w:ascii="Cambria Math" w:hAnsi="Cambria Math"/>
            <w:szCs w:val="28"/>
          </w:rPr>
          <m:t>T</m:t>
        </m:r>
      </m:oMath>
      <w:r w:rsidRPr="009C5C34">
        <w:rPr>
          <w:szCs w:val="28"/>
        </w:rPr>
        <w:t xml:space="preserve"> для каждой пары $(, $ модель</w:t>
      </w:r>
      <m:oMath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  <w:r w:rsidRPr="009C5C34">
        <w:rPr>
          <w:szCs w:val="28"/>
        </w:rPr>
        <w:t xml:space="preserve"> ограничен сверху, и подбор </w:t>
      </w:r>
      <m:oMath>
        <m:r>
          <w:rPr>
            <w:rFonts w:ascii="Cambria Math" w:hAnsi="Cambria Math"/>
            <w:szCs w:val="28"/>
          </w:rPr>
          <m:t>T</m:t>
        </m:r>
      </m:oMath>
      <w:r w:rsidRPr="009C5C34">
        <w:rPr>
          <w:szCs w:val="28"/>
        </w:rPr>
        <w:t xml:space="preserve"> требует учёта целевой стандартного отклонения ТОЗ.</w:t>
      </w:r>
    </w:p>
    <w:p w14:paraId="2B401D88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 xml:space="preserve">— </w:t>
      </w:r>
      <w:r w:rsidRPr="009C5C34">
        <w:rPr>
          <w:i/>
          <w:iCs/>
          <w:szCs w:val="28"/>
        </w:rPr>
        <w:t>Утечка меток через знак градиента</w:t>
      </w:r>
      <w:r w:rsidRPr="009C5C34">
        <w:rPr>
          <w:szCs w:val="28"/>
        </w:rPr>
        <w:t xml:space="preserve">. В 5.5.2 показано, что точность восстановления метки сохраняется на уровне 0,80 даже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9C5C34">
        <w:rPr>
          <w:szCs w:val="28"/>
        </w:rPr>
        <w:t>. В TO-BE-конфигурации канал закрыт политикой П4 (анклав). Без анклава остаточный риск присутствует и не закрывается одной только ДП.</w:t>
      </w:r>
    </w:p>
    <w:p w14:paraId="55B9C5E5" w14:textId="77777777" w:rsidR="002A51BE" w:rsidRPr="009C5C34" w:rsidRDefault="00A97DF9" w:rsidP="009C5C34">
      <w:pPr>
        <w:pStyle w:val="21"/>
        <w:spacing w:before="0" w:after="0"/>
        <w:jc w:val="both"/>
        <w:rPr>
          <w:rFonts w:ascii="Times New Roman" w:hAnsi="Times New Roman" w:cs="Times New Roman"/>
          <w:szCs w:val="28"/>
        </w:rPr>
      </w:pPr>
      <w:bookmarkStart w:id="22" w:name="выводы-по-пятой-главе"/>
      <w:bookmarkEnd w:id="21"/>
      <w:r w:rsidRPr="009C5C34">
        <w:rPr>
          <w:rFonts w:ascii="Times New Roman" w:hAnsi="Times New Roman" w:cs="Times New Roman"/>
          <w:szCs w:val="28"/>
        </w:rPr>
        <w:t>1.8</w:t>
      </w:r>
      <w:r w:rsidRPr="009C5C34">
        <w:rPr>
          <w:rFonts w:ascii="Times New Roman" w:hAnsi="Times New Roman" w:cs="Times New Roman"/>
          <w:szCs w:val="28"/>
        </w:rPr>
        <w:tab/>
        <w:t>5.8 Выводы по пятой главе</w:t>
      </w:r>
    </w:p>
    <w:p w14:paraId="52E9B3B6" w14:textId="77777777" w:rsidR="002A51BE" w:rsidRPr="009C5C34" w:rsidRDefault="00A97DF9" w:rsidP="009C5C34">
      <w:pPr>
        <w:rPr>
          <w:szCs w:val="28"/>
        </w:rPr>
      </w:pPr>
      <w:r w:rsidRPr="009C5C34">
        <w:rPr>
          <w:szCs w:val="28"/>
        </w:rPr>
        <w:t>В главе экспериментально проверены цели безопасности ЦБ1–ЦБ4 и положения, вынесенные на защиту.</w:t>
      </w:r>
    </w:p>
    <w:p w14:paraId="6AA03EEE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b/>
          <w:bCs/>
          <w:szCs w:val="28"/>
        </w:rPr>
        <w:t>Цель ЦБ1</w:t>
      </w:r>
      <w:r w:rsidRPr="009C5C34">
        <w:rPr>
          <w:szCs w:val="28"/>
        </w:rPr>
        <w:t xml:space="preserve"> (устойчивость ТОЗ при нецелевом отравлении модели) — выполнена в обоих сценариях. Конвейер FedRoLA + клиппинг + центральная ДП ограничивает просадку ТОЗ относительно чистой конфигурации под IPM и Min-Max в межорганизационном сценарии величиной не более 0,03; в межустройственном сценарии под ALIE наблюдается просадка 0,075 и под Min-Max — 0,052. ALIE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9C5C34">
        <w:rPr>
          <w:szCs w:val="28"/>
        </w:rPr>
        <w:t xml:space="preserve"> — переходный случай: TPR детектора имеет высокую дисперсию по seeds (от 0 до 1), что отражает чувствительность FedRoLA-PCSI к выбору сэмплируемых слоёв при граничной доле вредоносных. Multi-Krum + ДП цели не удовлетворяет: в межустройственном сценарии ломается на Min-Max (ТОЗ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084</m:t>
        </m:r>
      </m:oMath>
      <w:r w:rsidRPr="009C5C34">
        <w:rPr>
          <w:szCs w:val="28"/>
        </w:rPr>
        <w:t>), в межорганизационном — на Min-Max (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135</m:t>
        </m:r>
      </m:oMath>
      <w:r w:rsidRPr="009C5C34">
        <w:rPr>
          <w:szCs w:val="28"/>
        </w:rPr>
        <w:t>), а также проигрывает FedRoLA на IPM и ALIE.</w:t>
      </w:r>
    </w:p>
    <w:p w14:paraId="209B2D4B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b/>
          <w:bCs/>
          <w:szCs w:val="28"/>
        </w:rPr>
        <w:t>Цель ЦБ2</w:t>
      </w:r>
      <w:r w:rsidRPr="009C5C34">
        <w:rPr>
          <w:szCs w:val="28"/>
        </w:rPr>
        <w:t xml:space="preserve"> (гарантия </w:t>
      </w:r>
      <m:oMath>
        <m:r>
          <w:rPr>
            <w:rFonts w:ascii="Cambria Math" w:hAnsi="Cambria Math"/>
            <w:szCs w:val="28"/>
          </w:rPr>
          <m:t>ε</m:t>
        </m:r>
      </m:oMath>
      <w:r w:rsidRPr="009C5C34">
        <w:rPr>
          <w:szCs w:val="28"/>
        </w:rPr>
        <w:t xml:space="preserve">-ДП) — выполнена формально через RDP-accountant Opacus и подтверждена эмпирически: AUC атаки определения членства не выше 0,49 во всех режимах (раздел 5.5.1), DLG не восстанавливает изображение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 (раздел 5.5.2). Тезис 2 </w:t>
      </w:r>
      <w:r w:rsidRPr="009C5C34">
        <w:rPr>
          <w:szCs w:val="28"/>
        </w:rPr>
        <w:lastRenderedPageBreak/>
        <w:t xml:space="preserve">(центральная ДП предпочтительнее локальной при наличии TEE) подтверждён численно: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9C5C34">
        <w:rPr>
          <w:szCs w:val="28"/>
        </w:rPr>
        <w:t xml:space="preserve"> центральная ДП даёт ТОЗ выше на 0,30 в межустройственном сценарии (раздел 5.5.3). Тезис 5 (приватность на уровне записей делает большие модели жизнеспособными) подтверждён через S-кривую межорганизационного сценария (раздел 5.4.2): обучение модели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9C5C34">
        <w:rPr>
          <w:szCs w:val="28"/>
        </w:rPr>
        <w:t xml:space="preserve"> возможно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9C5C34">
        <w:rPr>
          <w:szCs w:val="28"/>
        </w:rPr>
        <w:t xml:space="preserve">. Тезис 6 (порог обучения по соотношению шум/сигнал на раунд) подтверждён эмпирически — точка перегиба межустройственного сценария находится между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3</m:t>
        </m:r>
      </m:oMath>
      <w:r w:rsidRPr="009C5C34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9C5C34">
        <w:rPr>
          <w:szCs w:val="28"/>
        </w:rPr>
        <w:t>, что соответствует расчётному SNR &gt; 0,19.</w:t>
      </w:r>
    </w:p>
    <w:p w14:paraId="7C25613F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b/>
          <w:bCs/>
          <w:szCs w:val="28"/>
        </w:rPr>
        <w:t>Цель ЦБ3</w:t>
      </w:r>
      <w:r w:rsidRPr="009C5C34">
        <w:rPr>
          <w:szCs w:val="28"/>
        </w:rPr>
        <w:t xml:space="preserve"> (конфиденциальность обновлений и целостность конвейера) — реализована политикой П4 (анклав) и проверена качественно через структуру угрозовой модели; эффективность исполнения серверной части в TEE и накладные расходы доверенной среды — раздел 5.6 (в подготовке).</w:t>
      </w:r>
    </w:p>
    <w:p w14:paraId="4110A745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b/>
          <w:bCs/>
          <w:szCs w:val="28"/>
        </w:rPr>
        <w:t>Цель ЦБ4</w:t>
      </w:r>
      <w:r w:rsidRPr="009C5C34">
        <w:rPr>
          <w:szCs w:val="28"/>
        </w:rPr>
        <w:t xml:space="preserve"> (устойчивость к усилению масштаба) — выполнена: после клиппинга норма обновления ограничена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9C5C34">
        <w:rPr>
          <w:szCs w:val="28"/>
        </w:rPr>
        <w:t xml:space="preserve">, коэффициент атаки замены модели </w:t>
      </w:r>
      <m:oMath>
        <m:r>
          <w:rPr>
            <w:rFonts w:ascii="Cambria Math" w:hAnsi="Cambria Math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</m:t>
        </m:r>
      </m:oMath>
      <w:r w:rsidRPr="009C5C34">
        <w:rPr>
          <w:szCs w:val="28"/>
        </w:rPr>
        <w:t xml:space="preserve"> нивелирован (раздел 5.3.2). При этом блокирование самой закладки ЦБ4 не обеспечивает — это явный остаточный риск (УБИ-ML.02, раздел 5.7).</w:t>
      </w:r>
    </w:p>
    <w:p w14:paraId="36EDE5CC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t>Тезис 1 (эшелонированная защита) подтверждён через ablation-таблицу 5.11: ни один компонент не самодостаточен. FedRoLA закрывает нецелевое отравление модели, ДП — остаточные смещения и приватность, TEE — целостность исполнения и доверие к серверу при центральной ДП. Тезис 4 (FedRoLA с мягкой фильтрацией предпочтительнее Multi-Krum с hard rejection) подтверждён в обоих сценариях: FedRoLA + ДП обходит Multi-Krum + ДП на 5,4 п.п. ТОЗ в межустройственном и на 1,3 п.п. в межорганизационном сценарии без атак, а под Min-Max разница достигает 66 п.п. ТОЗ в межустройственном (FedRoLA сохраняет 0,748, Multi-Krum проваливается до 0,084) и 68 п.п. в межорганизационном (FedRoLA 0,811, Multi-Krum 0,135).</w:t>
      </w:r>
    </w:p>
    <w:p w14:paraId="5F9593E1" w14:textId="77777777" w:rsidR="002A51BE" w:rsidRPr="009C5C34" w:rsidRDefault="00A97DF9" w:rsidP="009C5C34">
      <w:pPr>
        <w:pStyle w:val="af"/>
        <w:spacing w:after="0"/>
        <w:rPr>
          <w:szCs w:val="28"/>
        </w:rPr>
      </w:pPr>
      <w:r w:rsidRPr="009C5C34">
        <w:rPr>
          <w:szCs w:val="28"/>
        </w:rPr>
        <w:lastRenderedPageBreak/>
        <w:t>Граничные классы угроз — целевое отравление модели (атака замены) и целевое отравление данных в паре классов — фиксируются как остаточные риски, требующие дополнительных механизмов защиты вне периметра текущей работы (раздел 5.7).</w:t>
      </w:r>
      <w:bookmarkEnd w:id="0"/>
      <w:bookmarkEnd w:id="22"/>
    </w:p>
    <w:sectPr w:rsidR="002A51BE" w:rsidRPr="009C5C34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0B86E" w14:textId="77777777" w:rsidR="00276465" w:rsidRDefault="00276465">
      <w:pPr>
        <w:spacing w:line="240" w:lineRule="auto"/>
      </w:pPr>
      <w:r>
        <w:separator/>
      </w:r>
    </w:p>
  </w:endnote>
  <w:endnote w:type="continuationSeparator" w:id="0">
    <w:p w14:paraId="45412EBA" w14:textId="77777777" w:rsidR="00276465" w:rsidRDefault="002764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6BB0" w14:textId="77777777" w:rsidR="00276465" w:rsidRDefault="00276465">
      <w:r>
        <w:separator/>
      </w:r>
    </w:p>
  </w:footnote>
  <w:footnote w:type="continuationSeparator" w:id="0">
    <w:p w14:paraId="30DCEC0F" w14:textId="77777777" w:rsidR="00276465" w:rsidRDefault="00276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7C5422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47432944">
    <w:abstractNumId w:val="8"/>
  </w:num>
  <w:num w:numId="2" w16cid:durableId="1851752297">
    <w:abstractNumId w:val="6"/>
  </w:num>
  <w:num w:numId="3" w16cid:durableId="344211444">
    <w:abstractNumId w:val="5"/>
  </w:num>
  <w:num w:numId="4" w16cid:durableId="1525049027">
    <w:abstractNumId w:val="4"/>
  </w:num>
  <w:num w:numId="5" w16cid:durableId="2084832470">
    <w:abstractNumId w:val="7"/>
  </w:num>
  <w:num w:numId="6" w16cid:durableId="1762408303">
    <w:abstractNumId w:val="3"/>
  </w:num>
  <w:num w:numId="7" w16cid:durableId="402720033">
    <w:abstractNumId w:val="2"/>
  </w:num>
  <w:num w:numId="8" w16cid:durableId="32315468">
    <w:abstractNumId w:val="1"/>
  </w:num>
  <w:num w:numId="9" w16cid:durableId="948783493">
    <w:abstractNumId w:val="0"/>
  </w:num>
  <w:num w:numId="10" w16cid:durableId="1058669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1BE"/>
    <w:rsid w:val="000A2A7D"/>
    <w:rsid w:val="00175081"/>
    <w:rsid w:val="00276465"/>
    <w:rsid w:val="002A51BE"/>
    <w:rsid w:val="003F2159"/>
    <w:rsid w:val="004179E1"/>
    <w:rsid w:val="007D34E5"/>
    <w:rsid w:val="00913822"/>
    <w:rsid w:val="009C5C34"/>
    <w:rsid w:val="00A97DF9"/>
    <w:rsid w:val="00CD0755"/>
    <w:rsid w:val="00D97C79"/>
    <w:rsid w:val="00E046FC"/>
    <w:rsid w:val="00E74770"/>
    <w:rsid w:val="00F3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A7D45"/>
  <w15:docId w15:val="{5A2A626B-74E4-4C2C-A1C9-CECEE302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urier New" w:eastAsia="Courier New" w:hAnsi="Courier New" w:cs="Courier New"/>
      <w:sz w:val="20"/>
    </w:rPr>
  </w:style>
  <w:style w:type="paragraph" w:customStyle="1" w:styleId="14">
    <w:name w:val="Цитата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/>
      <w:sz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6094</Words>
  <Characters>34740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Kirill Tarazanov</cp:lastModifiedBy>
  <cp:revision>11</cp:revision>
  <dcterms:created xsi:type="dcterms:W3CDTF">2026-04-26T19:28:00Z</dcterms:created>
  <dcterms:modified xsi:type="dcterms:W3CDTF">2026-04-28T17:30:00Z</dcterms:modified>
  <dc:language>ru-RU</dc:language>
</cp:coreProperties>
</file>