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52B9" w14:textId="77777777" w:rsidR="00DE2FFE" w:rsidRPr="00F9132C" w:rsidRDefault="002975A5">
      <w:pPr>
        <w:pStyle w:val="21"/>
        <w:rPr>
          <w:rFonts w:ascii="Times New Roman" w:hAnsi="Times New Roman" w:cs="Times New Roman"/>
          <w:szCs w:val="28"/>
        </w:rPr>
      </w:pPr>
      <w:bookmarkStart w:id="0" w:name="накладные-расходы-доверенной-среды"/>
      <w:r w:rsidRPr="00F9132C">
        <w:rPr>
          <w:rFonts w:ascii="Times New Roman" w:hAnsi="Times New Roman" w:cs="Times New Roman"/>
          <w:szCs w:val="28"/>
        </w:rPr>
        <w:t>0.1</w:t>
      </w:r>
      <w:r w:rsidRPr="00F9132C">
        <w:rPr>
          <w:rFonts w:ascii="Times New Roman" w:hAnsi="Times New Roman" w:cs="Times New Roman"/>
          <w:szCs w:val="28"/>
        </w:rPr>
        <w:tab/>
        <w:t>5.6 Накладные расходы доверенной среды</w:t>
      </w:r>
    </w:p>
    <w:p w14:paraId="6BFB6583" w14:textId="77777777" w:rsidR="00DE2FFE" w:rsidRPr="00F9132C" w:rsidRDefault="002975A5">
      <w:pPr>
        <w:rPr>
          <w:szCs w:val="28"/>
        </w:rPr>
      </w:pPr>
      <w:r w:rsidRPr="00F9132C">
        <w:rPr>
          <w:szCs w:val="28"/>
        </w:rPr>
        <w:t xml:space="preserve">Раздел адресует ЦБ3 в части реализуемости: доверенная среда должна обеспечивать конфиденциальность серверного конвейера без надбавки, делающей систему практически непригодной. Замеры выполнены на одной аппаратной платформе для двух режимов исполнения серверной агрегации — native (без TEE) и SCONE HW (Intel SGX с реальной EPC-памятью). Контрольные измерения в SCONE SIM сохранены в scone/measurements/server_e2386g_long/, но в основной таблице не приводятся: SIM не моделирует ни ограничение EPC, ни шифрование </w:t>
      </w:r>
      <w:r w:rsidRPr="00F9132C">
        <w:rPr>
          <w:szCs w:val="28"/>
        </w:rPr>
        <w:t>страниц.</w:t>
      </w:r>
    </w:p>
    <w:p w14:paraId="267246CE" w14:textId="77777777" w:rsidR="00DE2FFE" w:rsidRPr="00F9132C" w:rsidRDefault="002975A5">
      <w:pPr>
        <w:pStyle w:val="31"/>
        <w:rPr>
          <w:rFonts w:ascii="Times New Roman" w:hAnsi="Times New Roman" w:cs="Times New Roman"/>
          <w:szCs w:val="28"/>
        </w:rPr>
      </w:pPr>
      <w:bookmarkStart w:id="1" w:name="конфигурация-стенда"/>
      <w:r w:rsidRPr="00F9132C">
        <w:rPr>
          <w:rFonts w:ascii="Times New Roman" w:hAnsi="Times New Roman" w:cs="Times New Roman"/>
          <w:szCs w:val="28"/>
        </w:rPr>
        <w:t>0.1.1</w:t>
      </w:r>
      <w:r w:rsidRPr="00F9132C">
        <w:rPr>
          <w:rFonts w:ascii="Times New Roman" w:hAnsi="Times New Roman" w:cs="Times New Roman"/>
          <w:szCs w:val="28"/>
        </w:rPr>
        <w:tab/>
        <w:t>5.6.1 Конфигурация стенда</w:t>
      </w:r>
    </w:p>
    <w:p w14:paraId="09131C30" w14:textId="77777777" w:rsidR="00DE2FFE" w:rsidRPr="00F9132C" w:rsidRDefault="002975A5">
      <w:pPr>
        <w:rPr>
          <w:szCs w:val="28"/>
        </w:rPr>
      </w:pPr>
      <w:r w:rsidRPr="00F9132C">
        <w:rPr>
          <w:szCs w:val="28"/>
        </w:rPr>
        <w:t>Сервер — Intel Xeon E-2386G (Rocket Lake-Server, поколение SGX1, ECDSA-аттестация), Ubuntu 24.04, ядро Linux 6.17 со встроенным SGX-драйвером (устройства /dev/sgx_enclave, /dev/sgx_provision). Видимая EPC-область — 378 МиБ. Контейнер собран сценарием scone/scone_build.sh поверх python:3.11-slim-bookworm (PyTorch 2.5.1+cpu, Opacus 1.5.2, Flower 1.13.1) с использованием registry.scontain.com/sconectl/sconify-</w:t>
      </w:r>
      <w:proofErr w:type="gramStart"/>
      <w:r w:rsidRPr="00F9132C">
        <w:rPr>
          <w:szCs w:val="28"/>
        </w:rPr>
        <w:t>image:latest</w:t>
      </w:r>
      <w:proofErr w:type="gramEnd"/>
      <w:r w:rsidRPr="00F9132C">
        <w:rPr>
          <w:szCs w:val="28"/>
        </w:rPr>
        <w:t xml:space="preserve"> (SCONE Community Edition); защищённая куча анклава — 4 ГБ (SCONE_HEAP=4G), TCB-advisories для платформы приняты флагом --allow-tcb-vulnerabilities. Методика замера (scone/measure_overhead.py): на каждом раунде генерируются 40 случайных обновлений размерности </w:t>
      </w:r>
      <m:oMath>
        <m:r>
          <w:rPr>
            <w:rFonts w:ascii="Cambria Math" w:hAnsi="Cambria Math"/>
            <w:szCs w:val="28"/>
          </w:rPr>
          <m:t>d</m:t>
        </m:r>
      </m:oMath>
      <w:r w:rsidRPr="00F9132C">
        <w:rPr>
          <w:szCs w:val="28"/>
        </w:rPr>
        <w:t>, выполняется адаптивный клиппинг, агрегация и добавление гауссовского шума ДП; замеряется wall-clock от первой операции до материализации результата. Один эксперимент — 10 000 раундов в HW и 5 000 в native (плюс 20 раундов прогрева), отдельный JSONL-лог на каждое условие. Случайные обновления исключают зависимость от сходимости и позволяют сравнивать алгоритмы только по стоимости вычисления и инфраструктуры TEE.</w:t>
      </w:r>
    </w:p>
    <w:p w14:paraId="3D2D1EA0" w14:textId="77777777" w:rsidR="00DE2FFE" w:rsidRPr="00F9132C" w:rsidRDefault="002975A5">
      <w:pPr>
        <w:pStyle w:val="31"/>
        <w:rPr>
          <w:rFonts w:ascii="Times New Roman" w:hAnsi="Times New Roman" w:cs="Times New Roman"/>
          <w:szCs w:val="28"/>
        </w:rPr>
      </w:pPr>
      <w:bookmarkStart w:id="2" w:name="накладные-расходы-агрегации"/>
      <w:bookmarkEnd w:id="1"/>
      <w:r w:rsidRPr="00F9132C">
        <w:rPr>
          <w:rFonts w:ascii="Times New Roman" w:hAnsi="Times New Roman" w:cs="Times New Roman"/>
          <w:szCs w:val="28"/>
        </w:rPr>
        <w:lastRenderedPageBreak/>
        <w:t>0.1.2</w:t>
      </w:r>
      <w:r w:rsidRPr="00F9132C">
        <w:rPr>
          <w:rFonts w:ascii="Times New Roman" w:hAnsi="Times New Roman" w:cs="Times New Roman"/>
          <w:szCs w:val="28"/>
        </w:rPr>
        <w:tab/>
        <w:t>5.6.2 Накладные расходы агрегации</w:t>
      </w:r>
    </w:p>
    <w:p w14:paraId="06FCBB04" w14:textId="77777777" w:rsidR="00DE2FFE" w:rsidRPr="00F9132C" w:rsidRDefault="002975A5">
      <w:pPr>
        <w:rPr>
          <w:szCs w:val="28"/>
        </w:rPr>
      </w:pPr>
      <w:r w:rsidRPr="00F9132C">
        <w:rPr>
          <w:szCs w:val="28"/>
        </w:rPr>
        <w:t>Таблица 5.17 — Медианное время раунда (мс) и относительный TEE-overhead (медиана HW / медиана native)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897"/>
        <w:gridCol w:w="1151"/>
        <w:gridCol w:w="1133"/>
        <w:gridCol w:w="1611"/>
        <w:gridCol w:w="1058"/>
        <w:gridCol w:w="1119"/>
        <w:gridCol w:w="1602"/>
      </w:tblGrid>
      <w:tr w:rsidR="00DE2FFE" w:rsidRPr="00F9132C" w14:paraId="695BEE91" w14:textId="77777777">
        <w:trPr>
          <w:tblHeader/>
        </w:trPr>
        <w:tc>
          <w:tcPr>
            <w:tcW w:w="0" w:type="auto"/>
          </w:tcPr>
          <w:p w14:paraId="289F4898" w14:textId="77777777" w:rsidR="00DE2FFE" w:rsidRPr="00F9132C" w:rsidRDefault="002975A5">
            <w:pPr>
              <w:jc w:val="left"/>
              <w:rPr>
                <w:szCs w:val="28"/>
              </w:rPr>
            </w:pPr>
            <w:r w:rsidRPr="00F9132C">
              <w:rPr>
                <w:szCs w:val="28"/>
              </w:rPr>
              <w:t>Агрегация</w:t>
            </w:r>
          </w:p>
        </w:tc>
        <w:tc>
          <w:tcPr>
            <w:tcW w:w="0" w:type="auto"/>
          </w:tcPr>
          <w:p w14:paraId="01B0B548" w14:textId="77777777" w:rsidR="00DE2FFE" w:rsidRPr="00F9132C" w:rsidRDefault="002975A5">
            <w:pPr>
              <w:jc w:val="right"/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89834</m:t>
              </m:r>
            </m:oMath>
            <w:r w:rsidRPr="00F9132C">
              <w:rPr>
                <w:szCs w:val="28"/>
              </w:rPr>
              <w:t xml:space="preserve"> (CS), native</w:t>
            </w:r>
          </w:p>
        </w:tc>
        <w:tc>
          <w:tcPr>
            <w:tcW w:w="0" w:type="auto"/>
          </w:tcPr>
          <w:p w14:paraId="73273843" w14:textId="77777777" w:rsidR="00DE2FFE" w:rsidRPr="00F9132C" w:rsidRDefault="002975A5">
            <w:pPr>
              <w:jc w:val="right"/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89834</m:t>
              </m:r>
            </m:oMath>
            <w:r w:rsidRPr="00F9132C">
              <w:rPr>
                <w:szCs w:val="28"/>
              </w:rPr>
              <w:t xml:space="preserve"> (CS), HW</w:t>
            </w:r>
          </w:p>
        </w:tc>
        <w:tc>
          <w:tcPr>
            <w:tcW w:w="0" w:type="auto"/>
          </w:tcPr>
          <w:p w14:paraId="42A64985" w14:textId="77777777" w:rsidR="00DE2FFE" w:rsidRPr="00F9132C" w:rsidRDefault="002975A5">
            <w:pPr>
              <w:jc w:val="right"/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89834</m:t>
              </m:r>
            </m:oMath>
            <w:r w:rsidRPr="00F9132C">
              <w:rPr>
                <w:szCs w:val="28"/>
              </w:rPr>
              <w:t xml:space="preserve"> (CS), HW/native</w:t>
            </w:r>
          </w:p>
        </w:tc>
        <w:tc>
          <w:tcPr>
            <w:tcW w:w="0" w:type="auto"/>
          </w:tcPr>
          <w:p w14:paraId="005F425F" w14:textId="77777777" w:rsidR="00DE2FFE" w:rsidRPr="00F9132C" w:rsidRDefault="002975A5">
            <w:pPr>
              <w:jc w:val="right"/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4266</m:t>
              </m:r>
            </m:oMath>
            <w:r w:rsidRPr="00F9132C">
              <w:rPr>
                <w:szCs w:val="28"/>
              </w:rPr>
              <w:t xml:space="preserve"> (CD), native</w:t>
            </w:r>
          </w:p>
        </w:tc>
        <w:tc>
          <w:tcPr>
            <w:tcW w:w="0" w:type="auto"/>
          </w:tcPr>
          <w:p w14:paraId="6181DBD3" w14:textId="77777777" w:rsidR="00DE2FFE" w:rsidRPr="00F9132C" w:rsidRDefault="002975A5">
            <w:pPr>
              <w:jc w:val="right"/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4266</m:t>
              </m:r>
            </m:oMath>
            <w:r w:rsidRPr="00F9132C">
              <w:rPr>
                <w:szCs w:val="28"/>
              </w:rPr>
              <w:t xml:space="preserve"> (CD), HW</w:t>
            </w:r>
          </w:p>
        </w:tc>
        <w:tc>
          <w:tcPr>
            <w:tcW w:w="0" w:type="auto"/>
          </w:tcPr>
          <w:p w14:paraId="4DDB1907" w14:textId="77777777" w:rsidR="00DE2FFE" w:rsidRPr="00F9132C" w:rsidRDefault="002975A5">
            <w:pPr>
              <w:jc w:val="right"/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4266</m:t>
              </m:r>
            </m:oMath>
            <w:r w:rsidRPr="00F9132C">
              <w:rPr>
                <w:szCs w:val="28"/>
              </w:rPr>
              <w:t xml:space="preserve"> (CD), HW/native</w:t>
            </w:r>
          </w:p>
        </w:tc>
      </w:tr>
      <w:tr w:rsidR="00DE2FFE" w:rsidRPr="00F9132C" w14:paraId="4A030DA1" w14:textId="77777777">
        <w:tc>
          <w:tcPr>
            <w:tcW w:w="0" w:type="auto"/>
          </w:tcPr>
          <w:p w14:paraId="06DC2664" w14:textId="77777777" w:rsidR="00DE2FFE" w:rsidRPr="00F9132C" w:rsidRDefault="002975A5">
            <w:pPr>
              <w:jc w:val="left"/>
              <w:rPr>
                <w:szCs w:val="28"/>
              </w:rPr>
            </w:pPr>
            <w:r w:rsidRPr="00F9132C">
              <w:rPr>
                <w:szCs w:val="28"/>
              </w:rPr>
              <w:t>FedAvg</w:t>
            </w:r>
          </w:p>
        </w:tc>
        <w:tc>
          <w:tcPr>
            <w:tcW w:w="0" w:type="auto"/>
          </w:tcPr>
          <w:p w14:paraId="46B98B84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4,51</w:t>
            </w:r>
          </w:p>
        </w:tc>
        <w:tc>
          <w:tcPr>
            <w:tcW w:w="0" w:type="auto"/>
          </w:tcPr>
          <w:p w14:paraId="572A21D7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149,10</w:t>
            </w:r>
          </w:p>
        </w:tc>
        <w:tc>
          <w:tcPr>
            <w:tcW w:w="0" w:type="auto"/>
          </w:tcPr>
          <w:p w14:paraId="06611B9C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33,1×</w:t>
            </w:r>
          </w:p>
        </w:tc>
        <w:tc>
          <w:tcPr>
            <w:tcW w:w="0" w:type="auto"/>
          </w:tcPr>
          <w:p w14:paraId="566CF5BB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0,90</w:t>
            </w:r>
          </w:p>
        </w:tc>
        <w:tc>
          <w:tcPr>
            <w:tcW w:w="0" w:type="auto"/>
          </w:tcPr>
          <w:p w14:paraId="2D1BDA68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47,37</w:t>
            </w:r>
          </w:p>
        </w:tc>
        <w:tc>
          <w:tcPr>
            <w:tcW w:w="0" w:type="auto"/>
          </w:tcPr>
          <w:p w14:paraId="20968899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52,6×</w:t>
            </w:r>
          </w:p>
        </w:tc>
      </w:tr>
      <w:tr w:rsidR="00DE2FFE" w:rsidRPr="00F9132C" w14:paraId="4E04D03A" w14:textId="77777777">
        <w:tc>
          <w:tcPr>
            <w:tcW w:w="0" w:type="auto"/>
          </w:tcPr>
          <w:p w14:paraId="722EAE3B" w14:textId="77777777" w:rsidR="00DE2FFE" w:rsidRPr="00F9132C" w:rsidRDefault="002975A5">
            <w:pPr>
              <w:jc w:val="left"/>
              <w:rPr>
                <w:szCs w:val="28"/>
              </w:rPr>
            </w:pPr>
            <w:r w:rsidRPr="00F9132C">
              <w:rPr>
                <w:szCs w:val="28"/>
              </w:rPr>
              <w:t>Multi-Krum</w:t>
            </w:r>
          </w:p>
        </w:tc>
        <w:tc>
          <w:tcPr>
            <w:tcW w:w="0" w:type="auto"/>
          </w:tcPr>
          <w:p w14:paraId="03DEF7FC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11,01</w:t>
            </w:r>
          </w:p>
        </w:tc>
        <w:tc>
          <w:tcPr>
            <w:tcW w:w="0" w:type="auto"/>
          </w:tcPr>
          <w:p w14:paraId="1BDC3D6A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160,20</w:t>
            </w:r>
          </w:p>
        </w:tc>
        <w:tc>
          <w:tcPr>
            <w:tcW w:w="0" w:type="auto"/>
          </w:tcPr>
          <w:p w14:paraId="6B2CCE31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14,5×</w:t>
            </w:r>
          </w:p>
        </w:tc>
        <w:tc>
          <w:tcPr>
            <w:tcW w:w="0" w:type="auto"/>
          </w:tcPr>
          <w:p w14:paraId="30EF20F8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1,92</w:t>
            </w:r>
          </w:p>
        </w:tc>
        <w:tc>
          <w:tcPr>
            <w:tcW w:w="0" w:type="auto"/>
          </w:tcPr>
          <w:p w14:paraId="60D0849C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160,60</w:t>
            </w:r>
          </w:p>
        </w:tc>
        <w:tc>
          <w:tcPr>
            <w:tcW w:w="0" w:type="auto"/>
          </w:tcPr>
          <w:p w14:paraId="3A7C4F8E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83,9×</w:t>
            </w:r>
          </w:p>
        </w:tc>
      </w:tr>
      <w:tr w:rsidR="00DE2FFE" w:rsidRPr="00F9132C" w14:paraId="4AE3104C" w14:textId="77777777">
        <w:tc>
          <w:tcPr>
            <w:tcW w:w="0" w:type="auto"/>
          </w:tcPr>
          <w:p w14:paraId="29B53283" w14:textId="77777777" w:rsidR="00DE2FFE" w:rsidRPr="00F9132C" w:rsidRDefault="002975A5">
            <w:pPr>
              <w:jc w:val="left"/>
              <w:rPr>
                <w:szCs w:val="28"/>
              </w:rPr>
            </w:pPr>
            <w:r w:rsidRPr="00F9132C">
              <w:rPr>
                <w:szCs w:val="28"/>
              </w:rPr>
              <w:t>Krum</w:t>
            </w:r>
          </w:p>
        </w:tc>
        <w:tc>
          <w:tcPr>
            <w:tcW w:w="0" w:type="auto"/>
          </w:tcPr>
          <w:p w14:paraId="275FA595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15,21</w:t>
            </w:r>
          </w:p>
        </w:tc>
        <w:tc>
          <w:tcPr>
            <w:tcW w:w="0" w:type="auto"/>
          </w:tcPr>
          <w:p w14:paraId="1B5FFE60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156,26</w:t>
            </w:r>
          </w:p>
        </w:tc>
        <w:tc>
          <w:tcPr>
            <w:tcW w:w="0" w:type="auto"/>
          </w:tcPr>
          <w:p w14:paraId="4CAE7A06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10,3×</w:t>
            </w:r>
          </w:p>
        </w:tc>
        <w:tc>
          <w:tcPr>
            <w:tcW w:w="0" w:type="auto"/>
          </w:tcPr>
          <w:p w14:paraId="5C8C0727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1,86</w:t>
            </w:r>
          </w:p>
        </w:tc>
        <w:tc>
          <w:tcPr>
            <w:tcW w:w="0" w:type="auto"/>
          </w:tcPr>
          <w:p w14:paraId="02FB4E3F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160,86</w:t>
            </w:r>
          </w:p>
        </w:tc>
        <w:tc>
          <w:tcPr>
            <w:tcW w:w="0" w:type="auto"/>
          </w:tcPr>
          <w:p w14:paraId="7DF569A6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86,5×</w:t>
            </w:r>
          </w:p>
        </w:tc>
      </w:tr>
      <w:tr w:rsidR="00DE2FFE" w:rsidRPr="00F9132C" w14:paraId="56E4389D" w14:textId="77777777">
        <w:tc>
          <w:tcPr>
            <w:tcW w:w="0" w:type="auto"/>
          </w:tcPr>
          <w:p w14:paraId="03F52248" w14:textId="77777777" w:rsidR="00DE2FFE" w:rsidRPr="00F9132C" w:rsidRDefault="002975A5">
            <w:pPr>
              <w:jc w:val="left"/>
              <w:rPr>
                <w:szCs w:val="28"/>
              </w:rPr>
            </w:pPr>
            <w:r w:rsidRPr="00F9132C">
              <w:rPr>
                <w:szCs w:val="28"/>
              </w:rPr>
              <w:t>TrimmedMean</w:t>
            </w:r>
          </w:p>
        </w:tc>
        <w:tc>
          <w:tcPr>
            <w:tcW w:w="0" w:type="auto"/>
          </w:tcPr>
          <w:p w14:paraId="6E30E27E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83,41</w:t>
            </w:r>
          </w:p>
        </w:tc>
        <w:tc>
          <w:tcPr>
            <w:tcW w:w="0" w:type="auto"/>
          </w:tcPr>
          <w:p w14:paraId="646E00C5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187,09</w:t>
            </w:r>
          </w:p>
        </w:tc>
        <w:tc>
          <w:tcPr>
            <w:tcW w:w="0" w:type="auto"/>
          </w:tcPr>
          <w:p w14:paraId="6B206F4A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2,2×</w:t>
            </w:r>
          </w:p>
        </w:tc>
        <w:tc>
          <w:tcPr>
            <w:tcW w:w="0" w:type="auto"/>
          </w:tcPr>
          <w:p w14:paraId="565A4F09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4,69</w:t>
            </w:r>
          </w:p>
        </w:tc>
        <w:tc>
          <w:tcPr>
            <w:tcW w:w="0" w:type="auto"/>
          </w:tcPr>
          <w:p w14:paraId="6196EE80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153,11</w:t>
            </w:r>
          </w:p>
        </w:tc>
        <w:tc>
          <w:tcPr>
            <w:tcW w:w="0" w:type="auto"/>
          </w:tcPr>
          <w:p w14:paraId="7648835B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32,6×</w:t>
            </w:r>
          </w:p>
        </w:tc>
      </w:tr>
      <w:tr w:rsidR="00DE2FFE" w:rsidRPr="00F9132C" w14:paraId="361ADE02" w14:textId="77777777">
        <w:tc>
          <w:tcPr>
            <w:tcW w:w="0" w:type="auto"/>
          </w:tcPr>
          <w:p w14:paraId="0C5CB0EF" w14:textId="77777777" w:rsidR="00DE2FFE" w:rsidRPr="00F9132C" w:rsidRDefault="002975A5">
            <w:pPr>
              <w:jc w:val="left"/>
              <w:rPr>
                <w:szCs w:val="28"/>
              </w:rPr>
            </w:pPr>
            <w:r w:rsidRPr="00F9132C">
              <w:rPr>
                <w:szCs w:val="28"/>
              </w:rPr>
              <w:t>Median</w:t>
            </w:r>
          </w:p>
        </w:tc>
        <w:tc>
          <w:tcPr>
            <w:tcW w:w="0" w:type="auto"/>
          </w:tcPr>
          <w:p w14:paraId="5AFC88C1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53,62</w:t>
            </w:r>
          </w:p>
        </w:tc>
        <w:tc>
          <w:tcPr>
            <w:tcW w:w="0" w:type="auto"/>
          </w:tcPr>
          <w:p w14:paraId="25173C57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165,96</w:t>
            </w:r>
          </w:p>
        </w:tc>
        <w:tc>
          <w:tcPr>
            <w:tcW w:w="0" w:type="auto"/>
          </w:tcPr>
          <w:p w14:paraId="0772A27C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3,1×</w:t>
            </w:r>
          </w:p>
        </w:tc>
        <w:tc>
          <w:tcPr>
            <w:tcW w:w="0" w:type="auto"/>
          </w:tcPr>
          <w:p w14:paraId="53D03075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2,99</w:t>
            </w:r>
          </w:p>
        </w:tc>
        <w:tc>
          <w:tcPr>
            <w:tcW w:w="0" w:type="auto"/>
          </w:tcPr>
          <w:p w14:paraId="74DFE84B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48,11</w:t>
            </w:r>
          </w:p>
        </w:tc>
        <w:tc>
          <w:tcPr>
            <w:tcW w:w="0" w:type="auto"/>
          </w:tcPr>
          <w:p w14:paraId="4CDF85BF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szCs w:val="28"/>
              </w:rPr>
              <w:t>16,1×</w:t>
            </w:r>
          </w:p>
        </w:tc>
      </w:tr>
      <w:tr w:rsidR="00DE2FFE" w:rsidRPr="00F9132C" w14:paraId="037EBD7A" w14:textId="77777777">
        <w:tc>
          <w:tcPr>
            <w:tcW w:w="0" w:type="auto"/>
          </w:tcPr>
          <w:p w14:paraId="3FC3C29A" w14:textId="77777777" w:rsidR="00DE2FFE" w:rsidRPr="00F9132C" w:rsidRDefault="002975A5">
            <w:pPr>
              <w:jc w:val="left"/>
              <w:rPr>
                <w:szCs w:val="28"/>
              </w:rPr>
            </w:pPr>
            <w:r w:rsidRPr="00F9132C">
              <w:rPr>
                <w:b/>
                <w:bCs/>
                <w:szCs w:val="28"/>
              </w:rPr>
              <w:t>FedRoLA</w:t>
            </w:r>
          </w:p>
        </w:tc>
        <w:tc>
          <w:tcPr>
            <w:tcW w:w="0" w:type="auto"/>
          </w:tcPr>
          <w:p w14:paraId="540D598C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b/>
                <w:bCs/>
                <w:szCs w:val="28"/>
              </w:rPr>
              <w:t>14,29</w:t>
            </w:r>
          </w:p>
        </w:tc>
        <w:tc>
          <w:tcPr>
            <w:tcW w:w="0" w:type="auto"/>
          </w:tcPr>
          <w:p w14:paraId="1F313444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b/>
                <w:bCs/>
                <w:szCs w:val="28"/>
              </w:rPr>
              <w:t>154,80</w:t>
            </w:r>
          </w:p>
        </w:tc>
        <w:tc>
          <w:tcPr>
            <w:tcW w:w="0" w:type="auto"/>
          </w:tcPr>
          <w:p w14:paraId="3DAED777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b/>
                <w:bCs/>
                <w:szCs w:val="28"/>
              </w:rPr>
              <w:t>10,8×</w:t>
            </w:r>
          </w:p>
        </w:tc>
        <w:tc>
          <w:tcPr>
            <w:tcW w:w="0" w:type="auto"/>
          </w:tcPr>
          <w:p w14:paraId="778CC3FF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b/>
                <w:bCs/>
                <w:szCs w:val="28"/>
              </w:rPr>
              <w:t>2,55</w:t>
            </w:r>
          </w:p>
        </w:tc>
        <w:tc>
          <w:tcPr>
            <w:tcW w:w="0" w:type="auto"/>
          </w:tcPr>
          <w:p w14:paraId="6E4810AF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b/>
                <w:bCs/>
                <w:szCs w:val="28"/>
              </w:rPr>
              <w:t>148,53</w:t>
            </w:r>
          </w:p>
        </w:tc>
        <w:tc>
          <w:tcPr>
            <w:tcW w:w="0" w:type="auto"/>
          </w:tcPr>
          <w:p w14:paraId="5DB4FDF0" w14:textId="77777777" w:rsidR="00DE2FFE" w:rsidRPr="00F9132C" w:rsidRDefault="002975A5">
            <w:pPr>
              <w:jc w:val="right"/>
              <w:rPr>
                <w:szCs w:val="28"/>
              </w:rPr>
            </w:pPr>
            <w:r w:rsidRPr="00F9132C">
              <w:rPr>
                <w:b/>
                <w:bCs/>
                <w:szCs w:val="28"/>
              </w:rPr>
              <w:t>58,3×</w:t>
            </w:r>
          </w:p>
        </w:tc>
      </w:tr>
    </w:tbl>
    <w:p w14:paraId="3037AA44" w14:textId="77777777" w:rsidR="00DE2FFE" w:rsidRPr="00F9132C" w:rsidRDefault="002975A5">
      <w:pPr>
        <w:rPr>
          <w:szCs w:val="28"/>
        </w:rPr>
      </w:pPr>
      <w:r w:rsidRPr="00F9132C">
        <w:rPr>
          <w:noProof/>
          <w:szCs w:val="28"/>
        </w:rPr>
        <w:drawing>
          <wp:inline distT="0" distB="0" distL="0" distR="0" wp14:anchorId="16943AFE" wp14:editId="4FA7E7F5">
            <wp:extent cx="5930900" cy="2390497"/>
            <wp:effectExtent l="0" t="0" r="0" b="0"/>
            <wp:docPr id="22" name="Picture" descr="Рисунок 5.13 — Медианное время раунда серверной агрегации, native против SCONE HW. Левая панель — межорганизационный сценарий (d=89834), правая — межустройственный (d=4266); ось ординат логарифмическа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fig_5_13_overhea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390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8BCE57" w14:textId="77777777" w:rsidR="00DE2FFE" w:rsidRPr="00F9132C" w:rsidRDefault="002975A5">
      <w:pPr>
        <w:rPr>
          <w:szCs w:val="28"/>
        </w:rPr>
      </w:pPr>
      <w:r w:rsidRPr="00F9132C">
        <w:rPr>
          <w:szCs w:val="28"/>
        </w:rPr>
        <w:t>Рисунок 5.13 — Медианное время раунда серверной агрегации, native против SCONE HW. Левая панель — межорганизационный сценарий (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w:lastRenderedPageBreak/>
          <m:t>89834</m:t>
        </m:r>
      </m:oMath>
      <w:r w:rsidRPr="00F9132C">
        <w:rPr>
          <w:szCs w:val="28"/>
        </w:rPr>
        <w:t>), правая — межустройственный (</w:t>
      </w:r>
      <m:oMath>
        <m:r>
          <w:rPr>
            <w:rFonts w:ascii="Cambria Math" w:hAnsi="Cambria Math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4266</m:t>
        </m:r>
      </m:oMath>
      <w:r w:rsidRPr="00F9132C">
        <w:rPr>
          <w:szCs w:val="28"/>
        </w:rPr>
        <w:t>); ось ординат логарифмическая.</w:t>
      </w:r>
    </w:p>
    <w:p w14:paraId="2877BF11" w14:textId="77777777" w:rsidR="00DE2FFE" w:rsidRPr="00F9132C" w:rsidRDefault="002975A5">
      <w:pPr>
        <w:pStyle w:val="af"/>
        <w:rPr>
          <w:szCs w:val="28"/>
        </w:rPr>
      </w:pPr>
      <w:r w:rsidRPr="00F9132C">
        <w:rPr>
          <w:szCs w:val="28"/>
        </w:rPr>
        <w:t xml:space="preserve">[Установлено экспериментально] Время раунда в HW почти не зависит ни от размерности модели, ни от вычислительной сложности агрегации: для пяти из шести алгоритмов оно укладывается в коридор 149–187 мс на CS и 148–161 мс на CD. Множители Multi-Krum и FedRoLA </w:t>
      </w:r>
      <m:oMath>
        <m:r>
          <w:rPr>
            <w:rFonts w:ascii="Cambria Math" w:hAnsi="Cambria Math"/>
            <w:szCs w:val="28"/>
          </w:rPr>
          <m:t>O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r>
              <w:rPr>
                <w:rFonts w:ascii="Cambria Math" w:hAnsi="Cambria Math"/>
                <w:szCs w:val="28"/>
              </w:rPr>
              <m:t>d</m:t>
            </m:r>
          </m:e>
        </m:d>
      </m:oMath>
      <w:r w:rsidRPr="00F9132C">
        <w:rPr>
          <w:szCs w:val="28"/>
        </w:rPr>
        <w:t xml:space="preserve"> на native проявляются как двух-трёхкратная разница, а в HW — как разница в единицы миллисекунд. Это означает, что доминирующая составляющая раунда внутри анклава — не вычисления и не EPC-paging (объём активных тензоров </w:t>
      </w:r>
      <m:oMath>
        <m:r>
          <w:rPr>
            <w:rFonts w:ascii="Cambria Math" w:hAnsi="Cambria Math"/>
            <w:szCs w:val="28"/>
          </w:rPr>
          <m:t>40</m:t>
        </m:r>
        <m:r>
          <m:rPr>
            <m:sty m:val="p"/>
          </m:rPr>
          <w:rPr>
            <w:rFonts w:ascii="Cambria Math" w:hAnsi="Cambria Math"/>
            <w:szCs w:val="28"/>
          </w:rPr>
          <m:t>×</m:t>
        </m:r>
        <m:r>
          <w:rPr>
            <w:rFonts w:ascii="Cambria Math" w:hAnsi="Cambria Math"/>
            <w:szCs w:val="28"/>
          </w:rPr>
          <m:t>89834</m:t>
        </m:r>
        <m:r>
          <m:rPr>
            <m:sty m:val="p"/>
          </m:rPr>
          <w:rPr>
            <w:rFonts w:ascii="Cambria Math" w:hAnsi="Cambria Math"/>
            <w:szCs w:val="28"/>
          </w:rPr>
          <m:t>×</m:t>
        </m:r>
        <m:r>
          <w:rPr>
            <w:rFonts w:ascii="Cambria Math" w:hAnsi="Cambria Math"/>
            <w:szCs w:val="28"/>
          </w:rPr>
          <m:t>4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14</m:t>
        </m:r>
      </m:oMath>
      <w:r w:rsidRPr="00F9132C">
        <w:rPr>
          <w:szCs w:val="28"/>
        </w:rPr>
        <w:t xml:space="preserve"> МиБ при EPC 378 МиБ), а накладные расходы экранированных системных вызовов SCONE и переходов через границу анклава.</w:t>
      </w:r>
    </w:p>
    <w:p w14:paraId="14E9B264" w14:textId="77777777" w:rsidR="00DE2FFE" w:rsidRPr="00F9132C" w:rsidRDefault="002975A5">
      <w:pPr>
        <w:pStyle w:val="af"/>
        <w:rPr>
          <w:szCs w:val="28"/>
        </w:rPr>
      </w:pPr>
      <w:r w:rsidRPr="00F9132C">
        <w:rPr>
          <w:szCs w:val="28"/>
        </w:rPr>
        <w:t>[Главное для FedRoLA] На native FedRoLA дороже Multi-Krum на 30 % (14,29 против 11,01 мс на CS; 2,55 против 1,92 мс на CD) — этого требует попарная косинусная мера по выбранным слоям и обновление байесовской репутации клиентов. В режиме HW различие нивелируется: 154,80 против 160,20 мс на CS и 148,53 против 160,60 мс на CD, FedRoLA оказывается даже быстрее Multi-Krum на 3,4 % и 7,5 %. Содержательно — внутри TEE можно перейти от простого фильтра к более робастному без ухудшения времени раунда: TEE-overhead «</w:t>
      </w:r>
      <w:r w:rsidRPr="00F9132C">
        <w:rPr>
          <w:szCs w:val="28"/>
        </w:rPr>
        <w:t>съедает» разницу в стоимости вычисления.</w:t>
      </w:r>
    </w:p>
    <w:p w14:paraId="646D572E" w14:textId="77777777" w:rsidR="00DE2FFE" w:rsidRPr="00F9132C" w:rsidRDefault="002975A5">
      <w:pPr>
        <w:pStyle w:val="31"/>
        <w:rPr>
          <w:rFonts w:ascii="Times New Roman" w:hAnsi="Times New Roman" w:cs="Times New Roman"/>
          <w:szCs w:val="28"/>
        </w:rPr>
      </w:pPr>
      <w:bookmarkStart w:id="3" w:name="хвостовая-задержка-и-аттестация"/>
      <w:bookmarkEnd w:id="2"/>
      <w:r w:rsidRPr="00F9132C">
        <w:rPr>
          <w:rFonts w:ascii="Times New Roman" w:hAnsi="Times New Roman" w:cs="Times New Roman"/>
          <w:szCs w:val="28"/>
        </w:rPr>
        <w:t>0.1.3</w:t>
      </w:r>
      <w:r w:rsidRPr="00F9132C">
        <w:rPr>
          <w:rFonts w:ascii="Times New Roman" w:hAnsi="Times New Roman" w:cs="Times New Roman"/>
          <w:szCs w:val="28"/>
        </w:rPr>
        <w:tab/>
        <w:t>5.6.3 Хвостовая задержка и аттестация</w:t>
      </w:r>
    </w:p>
    <w:p w14:paraId="51B66A09" w14:textId="77777777" w:rsidR="00DE2FFE" w:rsidRPr="00F9132C" w:rsidRDefault="002975A5">
      <w:pPr>
        <w:rPr>
          <w:szCs w:val="28"/>
        </w:rPr>
      </w:pPr>
      <w:r w:rsidRPr="00F9132C">
        <w:rPr>
          <w:szCs w:val="28"/>
        </w:rPr>
        <w:t xml:space="preserve">Распределение per-round времени FedRoLA под HW узкое: на межорганизационном сценарии CV = 4,9 %, p99/медиана </w:t>
      </w:r>
      <m:oMath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1</m:t>
        </m:r>
      </m:oMath>
      <w:r w:rsidRPr="00F9132C">
        <w:rPr>
          <w:szCs w:val="28"/>
        </w:rPr>
        <w:t xml:space="preserve">, max/медиана </w:t>
      </w:r>
      <m:oMath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2</m:t>
        </m:r>
      </m:oMath>
      <w:r w:rsidRPr="00F9132C">
        <w:rPr>
          <w:szCs w:val="28"/>
        </w:rPr>
        <w:t xml:space="preserve">; на межустройственном — CV = 12,6 %, p99/медиана </w:t>
      </w:r>
      <m:oMath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5</m:t>
        </m:r>
      </m:oMath>
      <w:r w:rsidRPr="00F9132C">
        <w:rPr>
          <w:szCs w:val="28"/>
        </w:rPr>
        <w:t xml:space="preserve">, max/медиана </w:t>
      </w:r>
      <m:oMath>
        <m:r>
          <m:rPr>
            <m:sty m:val="p"/>
          </m:rPr>
          <w:rPr>
            <w:rFonts w:ascii="Cambria Math" w:hAnsi="Cambria Math"/>
            <w:szCs w:val="28"/>
          </w:rPr>
          <m:t>≈</m:t>
        </m:r>
        <m:r>
          <w:rPr>
            <w:rFonts w:ascii="Cambria Math" w:hAnsi="Cambria Math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9</m:t>
        </m:r>
      </m:oMath>
      <w:r w:rsidRPr="00F9132C">
        <w:rPr>
          <w:szCs w:val="28"/>
        </w:rPr>
        <w:t>. Анализ серий раундов в верхнем 1 % по времени показывает, что 99–100 % таких раундов изолированы (доля парных событий 0–1 %): медленные раунды — разовые шипы, вероятно EPC-eviction или GC-пауза в анклаве, а не накопление состояния и не утечка памяти. Восстановление через retry на стороне клиента покрывает этот случай. Cold-</w:t>
      </w:r>
      <w:r w:rsidRPr="00F9132C">
        <w:rPr>
          <w:szCs w:val="28"/>
        </w:rPr>
        <w:lastRenderedPageBreak/>
        <w:t>start серверной части (первый замеряемый раунд после прогрева) под HW устойчиво превышает 2 с — стартовая стоимость SGX-инициализации, амортизируемая по сотням раундов.</w:t>
      </w:r>
    </w:p>
    <w:p w14:paraId="5E0EAB71" w14:textId="77777777" w:rsidR="00DE2FFE" w:rsidRPr="00F9132C" w:rsidRDefault="002975A5">
      <w:pPr>
        <w:pStyle w:val="af"/>
        <w:rPr>
          <w:szCs w:val="28"/>
        </w:rPr>
      </w:pPr>
      <w:r w:rsidRPr="00F9132C">
        <w:rPr>
          <w:szCs w:val="28"/>
        </w:rPr>
        <w:t xml:space="preserve">[Установленное ограничение] Удалённая аттестация в текущей сборке выполнена частично. Сценарий scone_build.sh для упрощения отключает выгрузку session-политики флагом --disable-session-upload </w:t>
      </w:r>
      <w:r w:rsidRPr="00F9132C">
        <w:rPr>
          <w:szCs w:val="28"/>
        </w:rPr>
        <w:t xml:space="preserve">и оставляет анклав в SGX debug-mode (--cas-debug); проведена контрольная сборка с включённой выгрузкой в публичный CE-CAS scone-cas.cf:8081 — sconify корректно сгенерировал session, FSPF-ключи и tolerance для актуальных Intel TCB-advisories платформы, но шаг загрузки завершился HTTP 403 («only the data owner (CREATOR) can read or update the session»). Публичный CE-CAS принимает запись session только от владельца, идентифицируемого identity-сертификатом (--identity=FILE). Полная аттестация требует одного из </w:t>
      </w:r>
      <w:r w:rsidRPr="00F9132C">
        <w:rPr>
          <w:szCs w:val="28"/>
        </w:rPr>
        <w:t>двух дополнений: развёртывание собственного экземпляра CAS либо получение identity на публичном CE-CAS; оба условия выходят за пределы программной части работы, в TO-BE-конфигурации канал описан в разделе 3.4 (политика П5), а ограничение фиксируется в разделе 5.7.</w:t>
      </w:r>
    </w:p>
    <w:p w14:paraId="73D3F586" w14:textId="77777777" w:rsidR="00DE2FFE" w:rsidRPr="00F9132C" w:rsidRDefault="002975A5">
      <w:pPr>
        <w:pStyle w:val="31"/>
        <w:rPr>
          <w:rFonts w:ascii="Times New Roman" w:hAnsi="Times New Roman" w:cs="Times New Roman"/>
          <w:szCs w:val="28"/>
        </w:rPr>
      </w:pPr>
      <w:bookmarkStart w:id="4" w:name="выводы-по-разделу"/>
      <w:bookmarkEnd w:id="3"/>
      <w:r w:rsidRPr="00F9132C">
        <w:rPr>
          <w:rFonts w:ascii="Times New Roman" w:hAnsi="Times New Roman" w:cs="Times New Roman"/>
          <w:szCs w:val="28"/>
        </w:rPr>
        <w:t>0.1.4</w:t>
      </w:r>
      <w:r w:rsidRPr="00F9132C">
        <w:rPr>
          <w:rFonts w:ascii="Times New Roman" w:hAnsi="Times New Roman" w:cs="Times New Roman"/>
          <w:szCs w:val="28"/>
        </w:rPr>
        <w:tab/>
        <w:t>5.6.4 Выводы по разделу</w:t>
      </w:r>
    </w:p>
    <w:p w14:paraId="257F0FF7" w14:textId="77777777" w:rsidR="00DE2FFE" w:rsidRPr="00F9132C" w:rsidRDefault="002975A5">
      <w:pPr>
        <w:rPr>
          <w:szCs w:val="28"/>
        </w:rPr>
      </w:pPr>
      <w:r w:rsidRPr="00F9132C">
        <w:rPr>
          <w:szCs w:val="28"/>
        </w:rPr>
        <w:t xml:space="preserve">Стационарная задержка серверного раунда под SCONE HW для FedRoLA — 154,80 мс на межорганизационном сценарии и 148,53 мс на межустройственном; это на два порядка меньше длительности одной FL-итерации с учётом клиентского обучения и сетевого обмена. Накладные расходы определяются стоимостью переходов через границу анклава, а не сложностью алгоритма, поэтому выбор более робастной агрегации внутри TEE не наказывается дополнительной TEE-надбавкой. Хвостовая задержка предсказуема и не свидетельствует о системной </w:t>
      </w:r>
      <w:r w:rsidRPr="00F9132C">
        <w:rPr>
          <w:szCs w:val="28"/>
        </w:rPr>
        <w:t>деградации. ЦБ3 в части реализуемости считается подтверждённым; полная удалённая аттестация оставлена как остаточное ограничение работы.</w:t>
      </w:r>
      <w:bookmarkEnd w:id="0"/>
      <w:bookmarkEnd w:id="4"/>
    </w:p>
    <w:sectPr w:rsidR="00DE2FFE" w:rsidRPr="00F9132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FC699" w14:textId="77777777" w:rsidR="002975A5" w:rsidRDefault="002975A5">
      <w:pPr>
        <w:spacing w:line="240" w:lineRule="auto"/>
      </w:pPr>
      <w:r>
        <w:separator/>
      </w:r>
    </w:p>
  </w:endnote>
  <w:endnote w:type="continuationSeparator" w:id="0">
    <w:p w14:paraId="1DE4BB97" w14:textId="77777777" w:rsidR="002975A5" w:rsidRDefault="002975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F8823" w14:textId="77777777" w:rsidR="002975A5" w:rsidRDefault="002975A5">
      <w:r>
        <w:separator/>
      </w:r>
    </w:p>
  </w:footnote>
  <w:footnote w:type="continuationSeparator" w:id="0">
    <w:p w14:paraId="4385070A" w14:textId="77777777" w:rsidR="002975A5" w:rsidRDefault="002975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E1D2F9E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901477842">
    <w:abstractNumId w:val="8"/>
  </w:num>
  <w:num w:numId="2" w16cid:durableId="1460303053">
    <w:abstractNumId w:val="6"/>
  </w:num>
  <w:num w:numId="3" w16cid:durableId="328145279">
    <w:abstractNumId w:val="5"/>
  </w:num>
  <w:num w:numId="4" w16cid:durableId="178080095">
    <w:abstractNumId w:val="4"/>
  </w:num>
  <w:num w:numId="5" w16cid:durableId="599609356">
    <w:abstractNumId w:val="7"/>
  </w:num>
  <w:num w:numId="6" w16cid:durableId="1431007834">
    <w:abstractNumId w:val="3"/>
  </w:num>
  <w:num w:numId="7" w16cid:durableId="886647987">
    <w:abstractNumId w:val="2"/>
  </w:num>
  <w:num w:numId="8" w16cid:durableId="679546084">
    <w:abstractNumId w:val="1"/>
  </w:num>
  <w:num w:numId="9" w16cid:durableId="1596593894">
    <w:abstractNumId w:val="0"/>
  </w:num>
  <w:num w:numId="10" w16cid:durableId="1901482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FFE"/>
    <w:rsid w:val="002975A5"/>
    <w:rsid w:val="00896D7F"/>
    <w:rsid w:val="00AC0A28"/>
    <w:rsid w:val="00DE2FFE"/>
    <w:rsid w:val="00F9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EC685"/>
  <w15:docId w15:val="{DDDF5F01-AFE5-4469-A85E-C0F4114EC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120" w:after="240"/>
      <w:jc w:val="center"/>
    </w:pPr>
    <w:rPr>
      <w:bCs/>
      <w:color w:val="000000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keepNext w:val="0"/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60" w:after="60" w:line="240" w:lineRule="auto"/>
    </w:pPr>
    <w:rPr>
      <w:rFonts w:ascii="Courier New" w:eastAsia="Courier New" w:hAnsi="Courier New" w:cs="Courier New"/>
      <w:sz w:val="20"/>
    </w:rPr>
  </w:style>
  <w:style w:type="paragraph" w:customStyle="1" w:styleId="14">
    <w:name w:val="Цитата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i/>
      <w:sz w:val="24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898</Words>
  <Characters>5124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Kirill Tarazanov</cp:lastModifiedBy>
  <cp:revision>2</cp:revision>
  <dcterms:created xsi:type="dcterms:W3CDTF">2026-05-03T18:43:00Z</dcterms:created>
  <dcterms:modified xsi:type="dcterms:W3CDTF">2026-05-03T19:27:00Z</dcterms:modified>
  <dc:language>ru-RU</dc:language>
</cp:coreProperties>
</file>