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4FBE1" w14:textId="77777777" w:rsidR="00A25047" w:rsidRPr="00E947D5" w:rsidRDefault="00FC43E3" w:rsidP="00E947D5">
      <w:pPr>
        <w:pStyle w:val="1"/>
        <w:spacing w:before="0" w:after="0"/>
        <w:jc w:val="both"/>
        <w:rPr>
          <w:rFonts w:ascii="Times New Roman" w:hAnsi="Times New Roman" w:cs="Times New Roman"/>
          <w:sz w:val="28"/>
        </w:rPr>
      </w:pPr>
      <w:bookmarkStart w:id="0" w:name="заключение"/>
      <w:r w:rsidRPr="00E947D5">
        <w:rPr>
          <w:rFonts w:ascii="Times New Roman" w:hAnsi="Times New Roman" w:cs="Times New Roman"/>
          <w:sz w:val="28"/>
        </w:rPr>
        <w:t>ЗАКЛЮЧЕНИЕ</w:t>
      </w:r>
    </w:p>
    <w:p w14:paraId="741FA659" w14:textId="71EFC34E" w:rsidR="00A25047" w:rsidRPr="00E947D5" w:rsidRDefault="00FC43E3" w:rsidP="00E947D5">
      <w:pPr>
        <w:rPr>
          <w:szCs w:val="28"/>
        </w:rPr>
      </w:pPr>
      <w:r w:rsidRPr="00E947D5">
        <w:rPr>
          <w:szCs w:val="28"/>
        </w:rPr>
        <w:t xml:space="preserve">В работе разработана и экспериментально обоснована архитектура защищённого федеративного обучения, сочетающая робастную агрегацию FedRoLA-PCSI, центральную дифференциальную приватность уровня записей и исполнение серверной части в SGX-анклаве через платформу SCONE. Архитектура реализована в двух типовых сценариях развёртывания — межустройственном (Fashion-MNIST, MicroMNIST, </w:t>
      </w:r>
      <m:oMath>
        <m:r>
          <w:rPr>
            <w:rFonts w:ascii="Cambria Math" w:hAnsi="Cambria Math"/>
            <w:szCs w:val="28"/>
          </w:rPr>
          <m:t>d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4266</m:t>
        </m:r>
      </m:oMath>
      <w:r w:rsidRPr="00E947D5">
        <w:rPr>
          <w:szCs w:val="28"/>
        </w:rPr>
        <w:t xml:space="preserve">) и межорганизационном (SVHN, SVHNCNN, </w:t>
      </w:r>
      <m:oMath>
        <m:r>
          <w:rPr>
            <w:rFonts w:ascii="Cambria Math" w:hAnsi="Cambria Math"/>
            <w:szCs w:val="28"/>
          </w:rPr>
          <m:t>d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89834</m:t>
        </m:r>
      </m:oMath>
      <w:r w:rsidRPr="00E947D5">
        <w:rPr>
          <w:szCs w:val="28"/>
        </w:rPr>
        <w:t xml:space="preserve">), и проверена на матрице из пяти атак (ALIE, IPM, Min-Max, замена модели, отравление данных) при доле вредоносных клиентов до </w:t>
      </w:r>
      <m:oMath>
        <m:r>
          <w:rPr>
            <w:rFonts w:ascii="Cambria Math" w:hAnsi="Cambria Math"/>
            <w:szCs w:val="28"/>
          </w:rPr>
          <m:t>40</m:t>
        </m:r>
        <m:r>
          <m:rPr>
            <m:sty m:val="p"/>
          </m:rPr>
          <w:rPr>
            <w:rFonts w:ascii="Cambria Math" w:hAnsi="Cambria Math"/>
            <w:szCs w:val="28"/>
          </w:rPr>
          <m:t>%</m:t>
        </m:r>
      </m:oMath>
      <w:r w:rsidRPr="00E947D5">
        <w:rPr>
          <w:szCs w:val="28"/>
        </w:rPr>
        <w:t>.</w:t>
      </w:r>
    </w:p>
    <w:p w14:paraId="7D3DACB3" w14:textId="718B9E53" w:rsidR="00A25047" w:rsidRPr="00E947D5" w:rsidRDefault="00FC43E3" w:rsidP="00E947D5">
      <w:pPr>
        <w:pStyle w:val="af"/>
        <w:spacing w:after="0"/>
        <w:rPr>
          <w:szCs w:val="28"/>
        </w:rPr>
      </w:pPr>
      <w:r w:rsidRPr="00E947D5">
        <w:rPr>
          <w:szCs w:val="28"/>
        </w:rPr>
        <w:t>В части моделирования построены диаграммы IDEF0 и DFD для исходной (AS-IS) и целевой (TO-BE) конфигураций</w:t>
      </w:r>
      <w:r w:rsidR="00E947D5">
        <w:rPr>
          <w:szCs w:val="28"/>
        </w:rPr>
        <w:t>, где</w:t>
      </w:r>
      <w:r w:rsidRPr="00E947D5">
        <w:rPr>
          <w:szCs w:val="28"/>
        </w:rPr>
        <w:t xml:space="preserve"> четыре поверхности атаки AS-IS однозначно покрыты блоками TO-BE. Разработана частная модель угроз по методике ФСТЭК с дополнением ML-специфичной таксономией: семь угроз по БДУ (УБИ.023, 067, 088, 124, 140, 149, 179) и восемь специфичных для машинного обучения (УБИ-ML.01–УБИ-ML.08), пять типов нарушителей. Сформулированы четыре цели безопасности (ЦБ1–ЦБ4) и восемь политик (П1–П8), реализующих эти цели в TO-BE-конфигурации. Программная реализация разделена на ядро </w:t>
      </w:r>
      <w:proofErr w:type="spellStart"/>
      <w:r w:rsidRPr="00E947D5">
        <w:rPr>
          <w:szCs w:val="28"/>
        </w:rPr>
        <w:t>core</w:t>
      </w:r>
      <w:proofErr w:type="spellEnd"/>
      <w:r w:rsidRPr="00E947D5">
        <w:rPr>
          <w:szCs w:val="28"/>
        </w:rPr>
        <w:t>/</w:t>
      </w:r>
      <w:r w:rsidR="00E947D5">
        <w:rPr>
          <w:szCs w:val="28"/>
        </w:rPr>
        <w:t xml:space="preserve">, включающее </w:t>
      </w:r>
      <w:r w:rsidRPr="00E947D5">
        <w:rPr>
          <w:szCs w:val="28"/>
        </w:rPr>
        <w:t>универсальные модули моделей, данных, агрегации, ДП, атак и метрик</w:t>
      </w:r>
      <w:r w:rsidRPr="00E947D5">
        <w:rPr>
          <w:szCs w:val="28"/>
        </w:rPr>
        <w:t xml:space="preserve">, стенд </w:t>
      </w:r>
      <w:proofErr w:type="spellStart"/>
      <w:r w:rsidRPr="00E947D5">
        <w:rPr>
          <w:szCs w:val="28"/>
        </w:rPr>
        <w:t>experiments</w:t>
      </w:r>
      <w:proofErr w:type="spellEnd"/>
      <w:r w:rsidRPr="00E947D5">
        <w:rPr>
          <w:szCs w:val="28"/>
        </w:rPr>
        <w:t>/</w:t>
      </w:r>
      <w:r w:rsidR="00E947D5">
        <w:rPr>
          <w:szCs w:val="28"/>
        </w:rPr>
        <w:t xml:space="preserve">, реализующий </w:t>
      </w:r>
      <w:proofErr w:type="spellStart"/>
      <w:r w:rsidRPr="00E947D5">
        <w:rPr>
          <w:szCs w:val="28"/>
        </w:rPr>
        <w:t>FLSimulator</w:t>
      </w:r>
      <w:proofErr w:type="spellEnd"/>
      <w:r w:rsidRPr="00E947D5">
        <w:rPr>
          <w:szCs w:val="28"/>
        </w:rPr>
        <w:t xml:space="preserve"> + </w:t>
      </w:r>
      <w:proofErr w:type="spellStart"/>
      <w:r w:rsidRPr="00E947D5">
        <w:rPr>
          <w:szCs w:val="28"/>
        </w:rPr>
        <w:t>оркестраци</w:t>
      </w:r>
      <w:r w:rsidR="00E947D5">
        <w:rPr>
          <w:szCs w:val="28"/>
        </w:rPr>
        <w:t>ю</w:t>
      </w:r>
      <w:proofErr w:type="spellEnd"/>
      <w:r w:rsidRPr="00E947D5">
        <w:rPr>
          <w:szCs w:val="28"/>
        </w:rPr>
        <w:t xml:space="preserve"> параллельных запусков</w:t>
      </w:r>
      <w:r w:rsidR="00E947D5">
        <w:rPr>
          <w:szCs w:val="28"/>
        </w:rPr>
        <w:t>,</w:t>
      </w:r>
      <w:r w:rsidRPr="00E947D5">
        <w:rPr>
          <w:szCs w:val="28"/>
        </w:rPr>
        <w:t xml:space="preserve"> и контейнер </w:t>
      </w:r>
      <w:proofErr w:type="spellStart"/>
      <w:r w:rsidRPr="00E947D5">
        <w:rPr>
          <w:szCs w:val="28"/>
        </w:rPr>
        <w:t>scone</w:t>
      </w:r>
      <w:proofErr w:type="spellEnd"/>
      <w:r w:rsidRPr="00E947D5">
        <w:rPr>
          <w:szCs w:val="28"/>
        </w:rPr>
        <w:t>/</w:t>
      </w:r>
      <w:r w:rsidR="00E947D5">
        <w:rPr>
          <w:szCs w:val="28"/>
        </w:rPr>
        <w:t xml:space="preserve">, включающий </w:t>
      </w:r>
      <w:proofErr w:type="spellStart"/>
      <w:r w:rsidRPr="00E947D5">
        <w:rPr>
          <w:szCs w:val="28"/>
        </w:rPr>
        <w:t>Flower</w:t>
      </w:r>
      <w:proofErr w:type="spellEnd"/>
      <w:r w:rsidRPr="00E947D5">
        <w:rPr>
          <w:szCs w:val="28"/>
        </w:rPr>
        <w:t>-стратеги</w:t>
      </w:r>
      <w:r w:rsidR="00E947D5">
        <w:rPr>
          <w:szCs w:val="28"/>
        </w:rPr>
        <w:t>ю</w:t>
      </w:r>
      <w:r w:rsidRPr="00E947D5">
        <w:rPr>
          <w:szCs w:val="28"/>
        </w:rPr>
        <w:t xml:space="preserve"> в SGX-анклаве</w:t>
      </w:r>
      <w:r w:rsidR="00E947D5">
        <w:rPr>
          <w:szCs w:val="28"/>
        </w:rPr>
        <w:t>.</w:t>
      </w:r>
      <w:r w:rsidRPr="00E947D5">
        <w:rPr>
          <w:szCs w:val="28"/>
        </w:rPr>
        <w:t xml:space="preserve"> </w:t>
      </w:r>
      <w:r w:rsidR="00E947D5">
        <w:rPr>
          <w:szCs w:val="28"/>
        </w:rPr>
        <w:t>О</w:t>
      </w:r>
      <w:r w:rsidRPr="00E947D5">
        <w:rPr>
          <w:szCs w:val="28"/>
        </w:rPr>
        <w:t>дин и тот же код переносится из GPU-симулятора в анклав без модификаций.</w:t>
      </w:r>
    </w:p>
    <w:p w14:paraId="42173F58" w14:textId="379221F7" w:rsidR="00A25047" w:rsidRPr="00E947D5" w:rsidRDefault="00FC43E3" w:rsidP="00E947D5">
      <w:pPr>
        <w:pStyle w:val="af"/>
        <w:spacing w:after="0"/>
        <w:rPr>
          <w:szCs w:val="28"/>
        </w:rPr>
      </w:pPr>
      <w:r w:rsidRPr="00E947D5">
        <w:rPr>
          <w:szCs w:val="28"/>
        </w:rPr>
        <w:t xml:space="preserve">Цели безопасности подтверждены экспериментально. ЦБ1: просадка ТОЗ под IPM и Min-Max в межорганизационном сценарии не превышает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03</m:t>
        </m:r>
      </m:oMath>
      <w:r w:rsidR="00E947D5">
        <w:rPr>
          <w:szCs w:val="28"/>
        </w:rPr>
        <w:t>,</w:t>
      </w:r>
      <w:r w:rsidRPr="00E947D5">
        <w:rPr>
          <w:szCs w:val="28"/>
        </w:rPr>
        <w:t xml:space="preserve"> в межустройственном под ALIE наблюдается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075</m:t>
        </m:r>
      </m:oMath>
      <w:r w:rsidRPr="00E947D5">
        <w:rPr>
          <w:szCs w:val="28"/>
        </w:rPr>
        <w:t xml:space="preserve">, под Min-Max —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052</m:t>
        </m:r>
      </m:oMath>
      <w:r w:rsidRPr="00E947D5">
        <w:rPr>
          <w:szCs w:val="28"/>
        </w:rPr>
        <w:t xml:space="preserve"> (раздел 5.3.1). ЦБ2: AUC атаки определения членства не выше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49</m:t>
        </m:r>
      </m:oMath>
      <w:r w:rsidRPr="00E947D5">
        <w:rPr>
          <w:szCs w:val="28"/>
        </w:rPr>
        <w:t xml:space="preserve"> во всех конфигурациях</w:t>
      </w:r>
      <w:r w:rsidR="00E947D5">
        <w:rPr>
          <w:szCs w:val="28"/>
        </w:rPr>
        <w:t xml:space="preserve">, что описано в </w:t>
      </w:r>
      <w:r w:rsidRPr="00E947D5">
        <w:rPr>
          <w:szCs w:val="28"/>
        </w:rPr>
        <w:t>раздел</w:t>
      </w:r>
      <w:r w:rsidR="00E947D5">
        <w:rPr>
          <w:szCs w:val="28"/>
        </w:rPr>
        <w:t>е</w:t>
      </w:r>
      <w:r w:rsidRPr="00E947D5">
        <w:rPr>
          <w:szCs w:val="28"/>
        </w:rPr>
        <w:t xml:space="preserve"> 5.5.1</w:t>
      </w:r>
      <w:r w:rsidRPr="00E947D5">
        <w:rPr>
          <w:szCs w:val="28"/>
        </w:rPr>
        <w:t xml:space="preserve">, визуальная реконструкция DLG разрушается при </w:t>
      </w:r>
      <m:oMath>
        <m:r>
          <w:rPr>
            <w:rFonts w:ascii="Cambria Math" w:hAnsi="Cambria Math"/>
            <w:szCs w:val="28"/>
          </w:rPr>
          <m:t>σ</m:t>
        </m:r>
        <m:r>
          <m:rPr>
            <m:sty m:val="p"/>
          </m:rPr>
          <w:rPr>
            <w:rFonts w:ascii="Cambria Math" w:hAnsi="Cambria Math"/>
            <w:szCs w:val="28"/>
          </w:rPr>
          <m:t>≥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</m:t>
        </m:r>
      </m:oMath>
      <w:r w:rsidRPr="00E947D5">
        <w:rPr>
          <w:szCs w:val="28"/>
        </w:rPr>
        <w:t xml:space="preserve"> (раздел 5.5.2). ЦБ3 реализована политикой П4: </w:t>
      </w:r>
      <w:r w:rsidRPr="00E947D5">
        <w:rPr>
          <w:szCs w:val="28"/>
        </w:rPr>
        <w:lastRenderedPageBreak/>
        <w:t xml:space="preserve">серверная часть исполняется в SGX-анклаве, индивидуальные обновления не покидают анклав в исходном виде. ЦБ4: после клиппинга с потолком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2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</m:t>
        </m:r>
      </m:oMath>
      <w:r w:rsidRPr="00E947D5">
        <w:rPr>
          <w:szCs w:val="28"/>
        </w:rPr>
        <w:t xml:space="preserve"> коэффициент атаки замены модели </w:t>
      </w:r>
      <m:oMath>
        <m:r>
          <w:rPr>
            <w:rFonts w:ascii="Cambria Math" w:hAnsi="Cambria Math"/>
            <w:szCs w:val="28"/>
          </w:rPr>
          <m:t>γ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20</m:t>
        </m:r>
      </m:oMath>
      <w:r w:rsidRPr="00E947D5">
        <w:rPr>
          <w:szCs w:val="28"/>
        </w:rPr>
        <w:t xml:space="preserve"> нивелирован (раздел 5.3.2).</w:t>
      </w:r>
    </w:p>
    <w:p w14:paraId="10E5F79A" w14:textId="3A1C2D2B" w:rsidR="00A25047" w:rsidRPr="00E947D5" w:rsidRDefault="00FC43E3" w:rsidP="00E947D5">
      <w:pPr>
        <w:pStyle w:val="af"/>
        <w:spacing w:after="0"/>
        <w:rPr>
          <w:szCs w:val="28"/>
        </w:rPr>
      </w:pPr>
      <w:r w:rsidRPr="00E947D5">
        <w:rPr>
          <w:szCs w:val="28"/>
        </w:rPr>
        <w:t xml:space="preserve">Шесть положений, вынесенных на защиту, подтверждены так. Тезис 1 (эшелонированность защиты): таблица 5.11 показывает, что ни один компонент по отдельности не закрывает все классы угроз — FedRoLA нейтрализует нецелевое отравление модели, клиппинг подавляет масштабирование, ДП ограничивает утечки приватности, TEE снимает доверие к серверу. Тезис 2 (центральная ДП предпочтительнее локальной при наличии TEE): при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10</m:t>
        </m:r>
      </m:oMath>
      <w:r w:rsidRPr="00E947D5">
        <w:rPr>
          <w:szCs w:val="28"/>
        </w:rPr>
        <w:t xml:space="preserve"> в межустройственном сценарии центральная ДП даёт ТОЗ выше на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30</m:t>
        </m:r>
      </m:oMath>
      <w:r w:rsidRPr="00E947D5">
        <w:rPr>
          <w:szCs w:val="28"/>
        </w:rPr>
        <w:t xml:space="preserve"> без атак, а под ALIE локальная ДП теряет способность фильтровать клиентов и точность падает до уровня случайного угадывания (раздел 5.5.3). Тезис 3</w:t>
      </w:r>
      <w:r w:rsidR="00E947D5">
        <w:rPr>
          <w:szCs w:val="28"/>
        </w:rPr>
        <w:t xml:space="preserve">, говорящий о том, что </w:t>
      </w:r>
      <w:r w:rsidRPr="00E947D5">
        <w:rPr>
          <w:szCs w:val="28"/>
        </w:rPr>
        <w:t>TEE устраняет класс атак на приватность со стороны сервера</w:t>
      </w:r>
      <w:r w:rsidR="00E947D5">
        <w:rPr>
          <w:szCs w:val="28"/>
        </w:rPr>
        <w:t>,</w:t>
      </w:r>
      <w:r w:rsidRPr="00E947D5">
        <w:rPr>
          <w:szCs w:val="28"/>
        </w:rPr>
        <w:t xml:space="preserve"> обоснован структурно и численно: размещение процессов агрегации и шумоподмешивания внутри анклава делает индивидуальные обновления недоступными «честному, но любопытному» серверу, что закрывает поверхность GIA и MIA с этой позиции</w:t>
      </w:r>
      <w:r w:rsidR="00E947D5">
        <w:rPr>
          <w:szCs w:val="28"/>
        </w:rPr>
        <w:t>, а</w:t>
      </w:r>
      <w:r w:rsidRPr="00E947D5">
        <w:rPr>
          <w:szCs w:val="28"/>
        </w:rPr>
        <w:t xml:space="preserve"> AUC MIA не выше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49</m:t>
        </m:r>
      </m:oMath>
      <w:r w:rsidRPr="00E947D5">
        <w:rPr>
          <w:szCs w:val="28"/>
        </w:rPr>
        <w:t xml:space="preserve">, визуальная реконструкция DLG разрушена при </w:t>
      </w:r>
      <m:oMath>
        <m:r>
          <w:rPr>
            <w:rFonts w:ascii="Cambria Math" w:hAnsi="Cambria Math"/>
            <w:szCs w:val="28"/>
          </w:rPr>
          <m:t>σ</m:t>
        </m:r>
        <m:r>
          <m:rPr>
            <m:sty m:val="p"/>
          </m:rPr>
          <w:rPr>
            <w:rFonts w:ascii="Cambria Math" w:hAnsi="Cambria Math"/>
            <w:szCs w:val="28"/>
          </w:rPr>
          <m:t>≥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</m:t>
        </m:r>
      </m:oMath>
      <w:r w:rsidRPr="00E947D5">
        <w:rPr>
          <w:szCs w:val="28"/>
        </w:rPr>
        <w:t>. Тезис 4</w:t>
      </w:r>
      <w:r w:rsidR="00E947D5">
        <w:rPr>
          <w:szCs w:val="28"/>
        </w:rPr>
        <w:t xml:space="preserve">, что </w:t>
      </w:r>
      <w:proofErr w:type="spellStart"/>
      <w:r w:rsidRPr="00E947D5">
        <w:rPr>
          <w:szCs w:val="28"/>
        </w:rPr>
        <w:t>FedRoLA</w:t>
      </w:r>
      <w:proofErr w:type="spellEnd"/>
      <w:r w:rsidRPr="00E947D5">
        <w:rPr>
          <w:szCs w:val="28"/>
        </w:rPr>
        <w:t xml:space="preserve"> структурно не детектирует атаку замены модели</w:t>
      </w:r>
      <w:r w:rsidR="00E947D5">
        <w:rPr>
          <w:szCs w:val="28"/>
        </w:rPr>
        <w:t xml:space="preserve"> подтвержден</w:t>
      </w:r>
      <w:r w:rsidRPr="00E947D5">
        <w:rPr>
          <w:szCs w:val="28"/>
        </w:rPr>
        <w:t xml:space="preserve">: при доле вредоносных </w:t>
      </w:r>
      <m:oMath>
        <m:r>
          <w:rPr>
            <w:rFonts w:ascii="Cambria Math" w:hAnsi="Cambria Math"/>
            <w:szCs w:val="28"/>
          </w:rPr>
          <m:t>40 </m:t>
        </m:r>
        <m:r>
          <m:rPr>
            <m:sty m:val="p"/>
          </m:rPr>
          <w:rPr>
            <w:rFonts w:ascii="Cambria Math" w:hAnsi="Cambria Math"/>
            <w:szCs w:val="28"/>
          </w:rPr>
          <m:t>%</m:t>
        </m:r>
      </m:oMath>
      <w:r w:rsidRPr="00E947D5">
        <w:rPr>
          <w:szCs w:val="28"/>
        </w:rPr>
        <w:t xml:space="preserve"> ТЗА </w:t>
      </w:r>
      <m:oMath>
        <m:r>
          <m:rPr>
            <m:sty m:val="p"/>
          </m:rPr>
          <w:rPr>
            <w:rFonts w:ascii="Cambria Math" w:hAnsi="Cambria Math"/>
            <w:szCs w:val="28"/>
          </w:rPr>
          <m:t>≥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96</m:t>
        </m:r>
      </m:oMath>
      <w:r w:rsidRPr="00E947D5">
        <w:rPr>
          <w:szCs w:val="28"/>
        </w:rPr>
        <w:t xml:space="preserve"> во всех конфигурациях с FedRoLA и FedRoLA + ДП в обоих сценариях</w:t>
      </w:r>
      <w:r w:rsidR="00E947D5">
        <w:rPr>
          <w:szCs w:val="28"/>
        </w:rPr>
        <w:t>, при этом</w:t>
      </w:r>
      <w:r w:rsidRPr="00E947D5">
        <w:rPr>
          <w:szCs w:val="28"/>
        </w:rPr>
        <w:t xml:space="preserve"> снижение потолка </w:t>
      </w:r>
      <w:proofErr w:type="spellStart"/>
      <w:r w:rsidRPr="00E947D5">
        <w:rPr>
          <w:szCs w:val="28"/>
        </w:rPr>
        <w:t>клиппинга</w:t>
      </w:r>
      <w:proofErr w:type="spellEnd"/>
      <w:r w:rsidRPr="00E947D5">
        <w:rPr>
          <w:szCs w:val="28"/>
        </w:rPr>
        <w:t xml:space="preserve"> и переход к полносвязному анализу слоёв качественной картины не меняют (раздел 5.3.2). Это граница применимости защит, основанных на косинусной близости после клиппинга норм. Тезис 5 (ДП уровня записей — условие применимости для больших моделей): модель межорганизационного сценария с </w:t>
      </w:r>
      <m:oMath>
        <m:r>
          <w:rPr>
            <w:rFonts w:ascii="Cambria Math" w:hAnsi="Cambria Math"/>
            <w:szCs w:val="28"/>
          </w:rPr>
          <m:t>d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89834</m:t>
        </m:r>
      </m:oMath>
      <w:r w:rsidRPr="00E947D5">
        <w:rPr>
          <w:szCs w:val="28"/>
        </w:rPr>
        <w:t xml:space="preserve"> обучается до ТОЗ </w:t>
      </w:r>
      <m:oMath>
        <m:r>
          <m:rPr>
            <m:sty m:val="p"/>
          </m:rPr>
          <w:rPr>
            <w:rFonts w:ascii="Cambria Math" w:hAnsi="Cambria Math"/>
            <w:szCs w:val="28"/>
          </w:rPr>
          <m:t>≥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59</m:t>
        </m:r>
      </m:oMath>
      <w:r w:rsidRPr="00E947D5">
        <w:rPr>
          <w:szCs w:val="28"/>
        </w:rPr>
        <w:t xml:space="preserve"> при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</m:t>
        </m:r>
      </m:oMath>
      <w:r w:rsidRPr="00E947D5">
        <w:rPr>
          <w:szCs w:val="28"/>
        </w:rPr>
        <w:t xml:space="preserve"> на уровне записей, тогда как клиентская ДП на той же модели не выходит из режима случайного угадывания (раздел 5.4.2). Тезис 6 </w:t>
      </w:r>
      <w:r w:rsidR="00E947D5">
        <w:rPr>
          <w:szCs w:val="28"/>
        </w:rPr>
        <w:t xml:space="preserve">о </w:t>
      </w:r>
      <w:proofErr w:type="spellStart"/>
      <w:r w:rsidRPr="00E947D5">
        <w:rPr>
          <w:szCs w:val="28"/>
        </w:rPr>
        <w:t>порог</w:t>
      </w:r>
      <w:r w:rsidR="00E947D5">
        <w:rPr>
          <w:szCs w:val="28"/>
        </w:rPr>
        <w:t>к</w:t>
      </w:r>
      <w:proofErr w:type="spellEnd"/>
      <w:r w:rsidRPr="00E947D5">
        <w:rPr>
          <w:szCs w:val="28"/>
        </w:rPr>
        <w:t xml:space="preserve"> обучения по SNR на раунд</w:t>
      </w:r>
      <w:r w:rsidRPr="00E947D5">
        <w:rPr>
          <w:szCs w:val="28"/>
        </w:rPr>
        <w:t xml:space="preserve">: точка перегиба S-кривой межустройственного сценария лежит между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3</m:t>
        </m:r>
      </m:oMath>
      <w:r w:rsidRPr="00E947D5">
        <w:rPr>
          <w:szCs w:val="28"/>
        </w:rPr>
        <w:t xml:space="preserve"> и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</m:t>
        </m:r>
      </m:oMath>
      <w:r w:rsidRPr="00E947D5">
        <w:rPr>
          <w:szCs w:val="28"/>
        </w:rPr>
        <w:t xml:space="preserve">, что соответствует эмпирическому </w:t>
      </w:r>
      <w:r w:rsidRPr="00E947D5">
        <w:rPr>
          <w:szCs w:val="28"/>
        </w:rPr>
        <w:lastRenderedPageBreak/>
        <w:t xml:space="preserve">порогу SNR </w:t>
      </w:r>
      <m:oMath>
        <m:r>
          <m:rPr>
            <m:sty m:val="p"/>
          </m:rPr>
          <w:rPr>
            <w:rFonts w:ascii="Cambria Math" w:hAnsi="Cambria Math"/>
            <w:szCs w:val="28"/>
          </w:rPr>
          <m:t>&gt;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19</m:t>
        </m:r>
      </m:oMath>
      <w:r w:rsidRPr="00E947D5">
        <w:rPr>
          <w:szCs w:val="28"/>
        </w:rPr>
        <w:t xml:space="preserve">; для межорганизационного сценария SNR </w:t>
      </w:r>
      <m:oMath>
        <m:r>
          <m:rPr>
            <m:sty m:val="p"/>
          </m:rPr>
          <w:rPr>
            <w:rFonts w:ascii="Cambria Math" w:hAnsi="Cambria Math"/>
            <w:szCs w:val="28"/>
          </w:rPr>
          <m:t>&gt;</m:t>
        </m:r>
        <m:r>
          <w:rPr>
            <w:rFonts w:ascii="Cambria Math" w:hAnsi="Cambria Math"/>
            <w:szCs w:val="28"/>
          </w:rPr>
          <m:t>1</m:t>
        </m:r>
      </m:oMath>
      <w:r w:rsidRPr="00E947D5">
        <w:rPr>
          <w:szCs w:val="28"/>
        </w:rPr>
        <w:t xml:space="preserve"> во всём диапазоне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≥</m:t>
        </m:r>
        <m:r>
          <w:rPr>
            <w:rFonts w:ascii="Cambria Math" w:hAnsi="Cambria Math"/>
            <w:szCs w:val="28"/>
          </w:rPr>
          <m:t>2</m:t>
        </m:r>
      </m:oMath>
      <w:r w:rsidRPr="00E947D5">
        <w:rPr>
          <w:szCs w:val="28"/>
        </w:rPr>
        <w:t xml:space="preserve"> (рисунок 5.7).</w:t>
      </w:r>
    </w:p>
    <w:p w14:paraId="6158803F" w14:textId="418BE909" w:rsidR="00A25047" w:rsidRPr="00E947D5" w:rsidRDefault="00FC43E3" w:rsidP="00E947D5">
      <w:pPr>
        <w:pStyle w:val="af"/>
        <w:spacing w:after="0"/>
        <w:rPr>
          <w:szCs w:val="28"/>
        </w:rPr>
      </w:pPr>
      <w:r w:rsidRPr="00E947D5">
        <w:rPr>
          <w:szCs w:val="28"/>
        </w:rPr>
        <w:t xml:space="preserve">Накладные расходы доверенной среды измерены на платформе Intel Xeon E-2386G (SGX1, ECDSA-аттестация) и SCONE Community Edition. Стационарная задержка одного раунда серверной агрегации FedRoLA в режиме HW — </w:t>
      </w:r>
      <m:oMath>
        <m:r>
          <w:rPr>
            <w:rFonts w:ascii="Cambria Math" w:hAnsi="Cambria Math"/>
            <w:szCs w:val="28"/>
          </w:rPr>
          <m:t>154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80</m:t>
        </m:r>
      </m:oMath>
      <w:r w:rsidRPr="00E947D5">
        <w:rPr>
          <w:szCs w:val="28"/>
        </w:rPr>
        <w:t xml:space="preserve"> мс на межорганизационном сценарии и </w:t>
      </w:r>
      <m:oMath>
        <m:r>
          <w:rPr>
            <w:rFonts w:ascii="Cambria Math" w:hAnsi="Cambria Math"/>
            <w:szCs w:val="28"/>
          </w:rPr>
          <m:t>148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53</m:t>
        </m:r>
      </m:oMath>
      <w:r w:rsidRPr="00E947D5">
        <w:rPr>
          <w:szCs w:val="28"/>
        </w:rPr>
        <w:t xml:space="preserve"> мс на межустройственном (раздел 5.6). Для пяти из шести алгоритмов агрегации задержка лежит в диапазоне </w:t>
      </w:r>
      <m:oMath>
        <m:r>
          <w:rPr>
            <w:rFonts w:ascii="Cambria Math" w:hAnsi="Cambria Math"/>
            <w:szCs w:val="28"/>
          </w:rPr>
          <m:t>148</m:t>
        </m:r>
      </m:oMath>
      <w:r w:rsidRPr="00E947D5">
        <w:rPr>
          <w:szCs w:val="28"/>
        </w:rPr>
        <w:t>–</w:t>
      </w:r>
      <m:oMath>
        <m:r>
          <w:rPr>
            <w:rFonts w:ascii="Cambria Math" w:hAnsi="Cambria Math"/>
            <w:szCs w:val="28"/>
          </w:rPr>
          <m:t>187</m:t>
        </m:r>
      </m:oMath>
      <w:r w:rsidRPr="00E947D5">
        <w:rPr>
          <w:szCs w:val="28"/>
        </w:rPr>
        <w:t xml:space="preserve"> мс независимо от размерности модели</w:t>
      </w:r>
      <w:r w:rsidR="00E947D5">
        <w:rPr>
          <w:szCs w:val="28"/>
        </w:rPr>
        <w:t>, откуда</w:t>
      </w:r>
      <w:r w:rsidRPr="00E947D5">
        <w:rPr>
          <w:szCs w:val="28"/>
        </w:rPr>
        <w:t xml:space="preserve"> доминирующий вклад вносят переходы через границу анклава, а не вычисления и не EPC-paging.</w:t>
      </w:r>
    </w:p>
    <w:p w14:paraId="1B3CDEA9" w14:textId="77777777" w:rsidR="00A25047" w:rsidRPr="00E947D5" w:rsidRDefault="00FC43E3" w:rsidP="00E947D5">
      <w:pPr>
        <w:pStyle w:val="af"/>
        <w:spacing w:after="0"/>
        <w:rPr>
          <w:szCs w:val="28"/>
        </w:rPr>
      </w:pPr>
      <w:r w:rsidRPr="00E947D5">
        <w:rPr>
          <w:szCs w:val="28"/>
        </w:rPr>
        <w:t xml:space="preserve">Зафиксированы остаточные риски, не закрываемые штатными средствами TO-BE-конфигурации. Целевое отравление модели через замену модели (УБИ-ML.02): ТЗА </w:t>
      </w:r>
      <m:oMath>
        <m:r>
          <m:rPr>
            <m:sty m:val="p"/>
          </m:rPr>
          <w:rPr>
            <w:rFonts w:ascii="Cambria Math" w:hAnsi="Cambria Math"/>
            <w:szCs w:val="28"/>
          </w:rPr>
          <m:t>≥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96</m:t>
        </m:r>
      </m:oMath>
      <w:r w:rsidRPr="00E947D5">
        <w:rPr>
          <w:szCs w:val="28"/>
        </w:rPr>
        <w:t xml:space="preserve"> во всех конфигурациях с FedRoLA — граница класса cosine-based защит. Целевое отравление данных в паре классов (УБИ-ML.04): FedRoLA по метрикам идентичен FedAvg, ТЗА </w:t>
      </w:r>
      <m:oMath>
        <m:r>
          <m:rPr>
            <m:sty m:val="p"/>
          </m:rP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40</m:t>
        </m:r>
      </m:oMath>
      <w:r w:rsidRPr="00E947D5">
        <w:rPr>
          <w:szCs w:val="28"/>
        </w:rPr>
        <w:t xml:space="preserve"> при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m:rPr>
                <m:nor/>
              </m:rPr>
              <w:rPr>
                <w:szCs w:val="28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40 </m:t>
        </m:r>
        <m:r>
          <m:rPr>
            <m:sty m:val="p"/>
          </m:rPr>
          <w:rPr>
            <w:rFonts w:ascii="Cambria Math" w:hAnsi="Cambria Math"/>
            <w:szCs w:val="28"/>
          </w:rPr>
          <m:t>%</m:t>
        </m:r>
      </m:oMath>
      <w:r w:rsidRPr="00E947D5">
        <w:rPr>
          <w:szCs w:val="28"/>
        </w:rPr>
        <w:t xml:space="preserve">. Адаптивные атаки против FedRoLA (УБИ-ML.07): сторонних описаний в открытой литературе нет, авторы FedRoLA приводят SimAttack с падением TPR до 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67</m:t>
        </m:r>
      </m:oMath>
      <w:r w:rsidRPr="00E947D5">
        <w:rPr>
          <w:szCs w:val="28"/>
        </w:rPr>
        <w:t>–</w:t>
      </w:r>
      <m:oMath>
        <m:r>
          <w:rPr>
            <w:rFonts w:ascii="Cambria Math" w:hAnsi="Cambria Math"/>
            <w:szCs w:val="28"/>
          </w:rPr>
          <m:t>0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69</m:t>
        </m:r>
      </m:oMath>
      <w:r w:rsidRPr="00E947D5">
        <w:rPr>
          <w:szCs w:val="28"/>
        </w:rPr>
        <w:t>. Side-channel-атаки на SGX выходят за модель нарушителя.</w:t>
      </w:r>
    </w:p>
    <w:p w14:paraId="0936B0D8" w14:textId="2A9A21E6" w:rsidR="00A25047" w:rsidRPr="00E947D5" w:rsidRDefault="00FC43E3" w:rsidP="00E947D5">
      <w:pPr>
        <w:pStyle w:val="af"/>
        <w:spacing w:after="0"/>
        <w:rPr>
          <w:szCs w:val="28"/>
        </w:rPr>
      </w:pPr>
      <w:r w:rsidRPr="00E947D5">
        <w:rPr>
          <w:szCs w:val="28"/>
        </w:rPr>
        <w:t xml:space="preserve">Практическая значимость результатов состоит в том, что эшелонированная связка FedRoLA + клиппинг + центральная ДП + TEE даёт работоспособный конвейер для обоих типовых сценариев развёртывания, и накладные расходы TEE не препятствуют применимости. Для межорганизационного сценария рабочий бюджет приватности достижим при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≥</m:t>
        </m:r>
        <m:r>
          <w:rPr>
            <w:rFonts w:ascii="Cambria Math" w:hAnsi="Cambria Math"/>
            <w:szCs w:val="28"/>
          </w:rPr>
          <m:t>2</m:t>
        </m:r>
      </m:oMath>
      <w:r w:rsidRPr="00E947D5">
        <w:rPr>
          <w:szCs w:val="28"/>
        </w:rPr>
        <w:t xml:space="preserve"> без существенной потери ТОЗ</w:t>
      </w:r>
      <w:r w:rsidR="00E947D5">
        <w:rPr>
          <w:szCs w:val="28"/>
        </w:rPr>
        <w:t>, а</w:t>
      </w:r>
      <w:r w:rsidRPr="00E947D5">
        <w:rPr>
          <w:szCs w:val="28"/>
        </w:rPr>
        <w:t xml:space="preserve"> для </w:t>
      </w:r>
      <w:proofErr w:type="spellStart"/>
      <w:r w:rsidRPr="00E947D5">
        <w:rPr>
          <w:szCs w:val="28"/>
        </w:rPr>
        <w:t>межустройственного</w:t>
      </w:r>
      <w:proofErr w:type="spellEnd"/>
      <w:r w:rsidRPr="00E947D5">
        <w:rPr>
          <w:szCs w:val="28"/>
        </w:rPr>
        <w:t xml:space="preserve"> — при </w:t>
      </w:r>
      <m:oMath>
        <m:r>
          <w:rPr>
            <w:rFonts w:ascii="Cambria Math" w:hAnsi="Cambria Math"/>
            <w:szCs w:val="28"/>
          </w:rPr>
          <m:t>ε</m:t>
        </m:r>
        <m:r>
          <m:rPr>
            <m:sty m:val="p"/>
          </m:rPr>
          <w:rPr>
            <w:rFonts w:ascii="Cambria Math" w:hAnsi="Cambria Math"/>
            <w:szCs w:val="28"/>
          </w:rPr>
          <m:t>≥</m:t>
        </m:r>
        <m:r>
          <w:rPr>
            <w:rFonts w:ascii="Cambria Math" w:hAnsi="Cambria Math"/>
            <w:szCs w:val="28"/>
          </w:rPr>
          <m:t>5</m:t>
        </m:r>
      </m:oMath>
      <w:r w:rsidRPr="00E947D5">
        <w:rPr>
          <w:szCs w:val="28"/>
        </w:rPr>
        <w:t xml:space="preserve">. Метрика SNR на раунд даёт количественный критерий выбора </w:t>
      </w:r>
      <m:oMath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</w:rPr>
              <m:t>n</m:t>
            </m:r>
          </m:e>
        </m:d>
      </m:oMath>
      <w:r w:rsidRPr="00E947D5">
        <w:rPr>
          <w:szCs w:val="28"/>
        </w:rPr>
        <w:t xml:space="preserve"> для новых развёртываний, не требующий полной серии запусков.</w:t>
      </w:r>
    </w:p>
    <w:p w14:paraId="122B11D5" w14:textId="7F5E5513" w:rsidR="00E947D5" w:rsidRDefault="00FC43E3" w:rsidP="00E947D5">
      <w:pPr>
        <w:pStyle w:val="af"/>
        <w:spacing w:after="0"/>
        <w:rPr>
          <w:szCs w:val="28"/>
        </w:rPr>
      </w:pPr>
      <w:r w:rsidRPr="00E947D5">
        <w:rPr>
          <w:szCs w:val="28"/>
        </w:rPr>
        <w:t xml:space="preserve">Направления продолжения работы — разработка адаптивной атаки против FedRoLA-PCSI, интеграция certified label-robust training [21] и Neural Cleanse [22] в анклав для закрытия УБИ-ML.02, проверка архитектуры на </w:t>
      </w:r>
      <w:r w:rsidRPr="00E947D5">
        <w:rPr>
          <w:szCs w:val="28"/>
        </w:rPr>
        <w:lastRenderedPageBreak/>
        <w:t>платформах AMD SEV-SNP и Intel TDX для снятия ограничения по EPC-памяти при работе с моделями большего размера.</w:t>
      </w:r>
    </w:p>
    <w:p w14:paraId="60F2C09F" w14:textId="77777777" w:rsidR="00E947D5" w:rsidRDefault="00E947D5">
      <w:pPr>
        <w:spacing w:after="200" w:line="276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5D181158" w14:textId="77777777" w:rsidR="00A25047" w:rsidRPr="00E947D5" w:rsidRDefault="00A25047" w:rsidP="00E947D5">
      <w:pPr>
        <w:pStyle w:val="af"/>
        <w:spacing w:after="0"/>
        <w:rPr>
          <w:szCs w:val="28"/>
        </w:rPr>
      </w:pPr>
    </w:p>
    <w:p w14:paraId="1957D72C" w14:textId="77777777" w:rsidR="00A25047" w:rsidRPr="00E947D5" w:rsidRDefault="00FC43E3" w:rsidP="00E947D5">
      <w:pPr>
        <w:pStyle w:val="1"/>
        <w:spacing w:before="0" w:after="0"/>
        <w:jc w:val="both"/>
        <w:rPr>
          <w:rFonts w:ascii="Times New Roman" w:hAnsi="Times New Roman" w:cs="Times New Roman"/>
          <w:sz w:val="28"/>
        </w:rPr>
      </w:pPr>
      <w:bookmarkStart w:id="1" w:name="список-использованных-источников"/>
      <w:bookmarkEnd w:id="0"/>
      <w:r w:rsidRPr="00E947D5">
        <w:rPr>
          <w:rFonts w:ascii="Times New Roman" w:hAnsi="Times New Roman" w:cs="Times New Roman"/>
          <w:sz w:val="28"/>
        </w:rPr>
        <w:t>СПИСОК ИСПОЛЬЗОВАННЫХ ИСТОЧНИКОВ</w:t>
      </w:r>
    </w:p>
    <w:p w14:paraId="59E66EB3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  <w:lang w:val="en-US"/>
        </w:rPr>
      </w:pPr>
      <w:r w:rsidRPr="00E947D5">
        <w:rPr>
          <w:szCs w:val="28"/>
          <w:lang w:val="en-US"/>
        </w:rPr>
        <w:t xml:space="preserve">McMahan B., Moore E., Ramage D., Hampson S., </w:t>
      </w:r>
      <w:proofErr w:type="spellStart"/>
      <w:r w:rsidRPr="00E947D5">
        <w:rPr>
          <w:szCs w:val="28"/>
          <w:lang w:val="en-US"/>
        </w:rPr>
        <w:t>Arcas</w:t>
      </w:r>
      <w:proofErr w:type="spellEnd"/>
      <w:r w:rsidRPr="00E947D5">
        <w:rPr>
          <w:szCs w:val="28"/>
          <w:lang w:val="en-US"/>
        </w:rPr>
        <w:t xml:space="preserve"> B. A. Communication-efficient learning of deep networks from decentralized data // Proceedings of the 20th International Conference on Artificial Intelligence and Statistics (AISTATS). — Fort Lauderdale, FL, USA, 2017. — P. 1273–1282.</w:t>
      </w:r>
    </w:p>
    <w:p w14:paraId="7831C04F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  <w:lang w:val="en-US"/>
        </w:rPr>
      </w:pPr>
      <w:r w:rsidRPr="00E947D5">
        <w:rPr>
          <w:szCs w:val="28"/>
          <w:lang w:val="en-US"/>
        </w:rPr>
        <w:t>Baruch M., Baruch G., Goldberg Y. A little is enough: Circumventing defenses for distributed learning // Advances in Neural Information Processing Systems (</w:t>
      </w:r>
      <w:proofErr w:type="spellStart"/>
      <w:r w:rsidRPr="00E947D5">
        <w:rPr>
          <w:szCs w:val="28"/>
          <w:lang w:val="en-US"/>
        </w:rPr>
        <w:t>NeurIPS</w:t>
      </w:r>
      <w:proofErr w:type="spellEnd"/>
      <w:r w:rsidRPr="00E947D5">
        <w:rPr>
          <w:szCs w:val="28"/>
          <w:lang w:val="en-US"/>
        </w:rPr>
        <w:t>). — 2019. — Vol. 32. — P. 8635–8645.</w:t>
      </w:r>
    </w:p>
    <w:p w14:paraId="27AB9D7F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  <w:lang w:val="en-US"/>
        </w:rPr>
      </w:pPr>
      <w:r w:rsidRPr="00E947D5">
        <w:rPr>
          <w:szCs w:val="28"/>
          <w:lang w:val="en-US"/>
        </w:rPr>
        <w:t xml:space="preserve">Xie C., </w:t>
      </w:r>
      <w:proofErr w:type="spellStart"/>
      <w:r w:rsidRPr="00E947D5">
        <w:rPr>
          <w:szCs w:val="28"/>
          <w:lang w:val="en-US"/>
        </w:rPr>
        <w:t>Koyejo</w:t>
      </w:r>
      <w:proofErr w:type="spellEnd"/>
      <w:r w:rsidRPr="00E947D5">
        <w:rPr>
          <w:szCs w:val="28"/>
          <w:lang w:val="en-US"/>
        </w:rPr>
        <w:t xml:space="preserve"> O., Gupta I. Fall of empires: Breaking Byzantine-tolerant SGD by inner product manipulation // Proceedings of the 35th Conference on Uncertainty in Artificial Intelligence (UAI). — 2019.</w:t>
      </w:r>
    </w:p>
    <w:p w14:paraId="7DC5E248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  <w:lang w:val="en-US"/>
        </w:rPr>
      </w:pPr>
      <w:proofErr w:type="spellStart"/>
      <w:r w:rsidRPr="00E947D5">
        <w:rPr>
          <w:szCs w:val="28"/>
          <w:lang w:val="en-US"/>
        </w:rPr>
        <w:t>Shejwalkar</w:t>
      </w:r>
      <w:proofErr w:type="spellEnd"/>
      <w:r w:rsidRPr="00E947D5">
        <w:rPr>
          <w:szCs w:val="28"/>
          <w:lang w:val="en-US"/>
        </w:rPr>
        <w:t xml:space="preserve"> V., </w:t>
      </w:r>
      <w:proofErr w:type="spellStart"/>
      <w:r w:rsidRPr="00E947D5">
        <w:rPr>
          <w:szCs w:val="28"/>
          <w:lang w:val="en-US"/>
        </w:rPr>
        <w:t>Houmansadr</w:t>
      </w:r>
      <w:proofErr w:type="spellEnd"/>
      <w:r w:rsidRPr="00E947D5">
        <w:rPr>
          <w:szCs w:val="28"/>
          <w:lang w:val="en-US"/>
        </w:rPr>
        <w:t xml:space="preserve"> A. Manipulating the Byzantine: Optimizing model poisoning attacks and defenses for federated learning // Proceedings of the Network and Distributed System Security Symposium (NDSS). — 2021.</w:t>
      </w:r>
    </w:p>
    <w:p w14:paraId="2B86D97F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  <w:lang w:val="en-US"/>
        </w:rPr>
      </w:pPr>
      <w:r w:rsidRPr="00E947D5">
        <w:rPr>
          <w:szCs w:val="28"/>
          <w:lang w:val="en-US"/>
        </w:rPr>
        <w:t>Bagdasaryan E., Veit A., Hua Y., Estrin D., Shmatikov V. How to backdoor federated learning // Proceedings of the 23rd International Conference on Artificial Intelligence and Statistics (AISTATS). — 2020. — Vol. 108. — P. 2938–2948.</w:t>
      </w:r>
    </w:p>
    <w:p w14:paraId="6F52A1FE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  <w:lang w:val="en-US"/>
        </w:rPr>
      </w:pPr>
      <w:r w:rsidRPr="00E947D5">
        <w:rPr>
          <w:szCs w:val="28"/>
          <w:lang w:val="en-US"/>
        </w:rPr>
        <w:t>Zhu L., Liu Z., Han S. Deep leakage from gradients // Advances in Neural Information Processing Systems (</w:t>
      </w:r>
      <w:proofErr w:type="spellStart"/>
      <w:r w:rsidRPr="00E947D5">
        <w:rPr>
          <w:szCs w:val="28"/>
          <w:lang w:val="en-US"/>
        </w:rPr>
        <w:t>NeurIPS</w:t>
      </w:r>
      <w:proofErr w:type="spellEnd"/>
      <w:r w:rsidRPr="00E947D5">
        <w:rPr>
          <w:szCs w:val="28"/>
          <w:lang w:val="en-US"/>
        </w:rPr>
        <w:t>). — 2019. — Vol. 32. — P. 14747–14756.</w:t>
      </w:r>
    </w:p>
    <w:p w14:paraId="501D8AB4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  <w:lang w:val="en-US"/>
        </w:rPr>
      </w:pPr>
      <w:r w:rsidRPr="00E947D5">
        <w:rPr>
          <w:szCs w:val="28"/>
          <w:lang w:val="en-US"/>
        </w:rPr>
        <w:t xml:space="preserve">Shokri R., </w:t>
      </w:r>
      <w:proofErr w:type="spellStart"/>
      <w:r w:rsidRPr="00E947D5">
        <w:rPr>
          <w:szCs w:val="28"/>
          <w:lang w:val="en-US"/>
        </w:rPr>
        <w:t>Stronati</w:t>
      </w:r>
      <w:proofErr w:type="spellEnd"/>
      <w:r w:rsidRPr="00E947D5">
        <w:rPr>
          <w:szCs w:val="28"/>
          <w:lang w:val="en-US"/>
        </w:rPr>
        <w:t xml:space="preserve"> M., Song C., Shmatikov V. Membership inference attacks against machine learning models // IEEE Symposium on Security and Privacy (SP). — 2017. — P. 3–18.</w:t>
      </w:r>
    </w:p>
    <w:p w14:paraId="185EF7EE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  <w:lang w:val="en-US"/>
        </w:rPr>
      </w:pPr>
      <w:proofErr w:type="spellStart"/>
      <w:r w:rsidRPr="00E947D5">
        <w:rPr>
          <w:szCs w:val="28"/>
          <w:lang w:val="en-US"/>
        </w:rPr>
        <w:t>Geiping</w:t>
      </w:r>
      <w:proofErr w:type="spellEnd"/>
      <w:r w:rsidRPr="00E947D5">
        <w:rPr>
          <w:szCs w:val="28"/>
          <w:lang w:val="en-US"/>
        </w:rPr>
        <w:t xml:space="preserve"> J., Bauermeister H., </w:t>
      </w:r>
      <w:proofErr w:type="spellStart"/>
      <w:r w:rsidRPr="00E947D5">
        <w:rPr>
          <w:szCs w:val="28"/>
          <w:lang w:val="en-US"/>
        </w:rPr>
        <w:t>Dröge</w:t>
      </w:r>
      <w:proofErr w:type="spellEnd"/>
      <w:r w:rsidRPr="00E947D5">
        <w:rPr>
          <w:szCs w:val="28"/>
          <w:lang w:val="en-US"/>
        </w:rPr>
        <w:t xml:space="preserve"> H., Moeller M. Inverting gradients — how easy is it to break privacy in federated learning? // Advances in Neural Information Processing Systems (</w:t>
      </w:r>
      <w:proofErr w:type="spellStart"/>
      <w:r w:rsidRPr="00E947D5">
        <w:rPr>
          <w:szCs w:val="28"/>
          <w:lang w:val="en-US"/>
        </w:rPr>
        <w:t>NeurIPS</w:t>
      </w:r>
      <w:proofErr w:type="spellEnd"/>
      <w:r w:rsidRPr="00E947D5">
        <w:rPr>
          <w:szCs w:val="28"/>
          <w:lang w:val="en-US"/>
        </w:rPr>
        <w:t>). — 2020. — Vol. 33. — P. 16937–16947.</w:t>
      </w:r>
    </w:p>
    <w:p w14:paraId="0E5A2574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  <w:lang w:val="en-US"/>
        </w:rPr>
      </w:pPr>
      <w:r w:rsidRPr="00E947D5">
        <w:rPr>
          <w:szCs w:val="28"/>
          <w:lang w:val="en-US"/>
        </w:rPr>
        <w:lastRenderedPageBreak/>
        <w:t>Lyu L., Yu H., Ma X. et al. Privacy and robustness in federated learning: Attacks and defenses // IEEE Transactions on Neural Networks and Learning Systems. — 2022. — DOI: 10.1109/TNNLS.2022.3216981.</w:t>
      </w:r>
    </w:p>
    <w:p w14:paraId="335B8B43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  <w:lang w:val="en-US"/>
        </w:rPr>
      </w:pPr>
      <w:r w:rsidRPr="00E947D5">
        <w:rPr>
          <w:szCs w:val="28"/>
          <w:lang w:val="en-US"/>
        </w:rPr>
        <w:t xml:space="preserve">Blanchard P., El Mhamdi E. M., </w:t>
      </w:r>
      <w:proofErr w:type="spellStart"/>
      <w:r w:rsidRPr="00E947D5">
        <w:rPr>
          <w:szCs w:val="28"/>
          <w:lang w:val="en-US"/>
        </w:rPr>
        <w:t>Guerraoui</w:t>
      </w:r>
      <w:proofErr w:type="spellEnd"/>
      <w:r w:rsidRPr="00E947D5">
        <w:rPr>
          <w:szCs w:val="28"/>
          <w:lang w:val="en-US"/>
        </w:rPr>
        <w:t xml:space="preserve"> R., Stainer J. Machine learning with adversaries: Byzantine tolerant gradient descent // Advances in Neural Information Processing Systems (</w:t>
      </w:r>
      <w:proofErr w:type="spellStart"/>
      <w:r w:rsidRPr="00E947D5">
        <w:rPr>
          <w:szCs w:val="28"/>
          <w:lang w:val="en-US"/>
        </w:rPr>
        <w:t>NeurIPS</w:t>
      </w:r>
      <w:proofErr w:type="spellEnd"/>
      <w:r w:rsidRPr="00E947D5">
        <w:rPr>
          <w:szCs w:val="28"/>
          <w:lang w:val="en-US"/>
        </w:rPr>
        <w:t>). — 2017. — Vol. 30. — P. 119–129.</w:t>
      </w:r>
    </w:p>
    <w:p w14:paraId="59FA650D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  <w:lang w:val="en-US"/>
        </w:rPr>
      </w:pPr>
      <w:r w:rsidRPr="00E947D5">
        <w:rPr>
          <w:szCs w:val="28"/>
          <w:lang w:val="en-US"/>
        </w:rPr>
        <w:t>Nguyen T. D., Rieger P., De Viti R. et al. FLAME: Taming backdoors in federated learning // Proceedings of the 31st USENIX Security Symposium. — 2022. — P. 1415–1432.</w:t>
      </w:r>
    </w:p>
    <w:p w14:paraId="76038A26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  <w:lang w:val="en-US"/>
        </w:rPr>
      </w:pPr>
      <w:r w:rsidRPr="00E947D5">
        <w:rPr>
          <w:szCs w:val="28"/>
          <w:lang w:val="en-US"/>
        </w:rPr>
        <w:t xml:space="preserve">Yan G., Wang H., Yuan X., Li J. </w:t>
      </w:r>
      <w:proofErr w:type="spellStart"/>
      <w:r w:rsidRPr="00E947D5">
        <w:rPr>
          <w:szCs w:val="28"/>
          <w:lang w:val="en-US"/>
        </w:rPr>
        <w:t>FedRoLA</w:t>
      </w:r>
      <w:proofErr w:type="spellEnd"/>
      <w:r w:rsidRPr="00E947D5">
        <w:rPr>
          <w:szCs w:val="28"/>
          <w:lang w:val="en-US"/>
        </w:rPr>
        <w:t>: Robust federated learning against model poisoning via layer-based aggregation // Proceedings of the 30th ACM SIGKDD Conference on Knowledge Discovery and Data Mining (KDD). — 2024. — P. 3667–3678.</w:t>
      </w:r>
    </w:p>
    <w:p w14:paraId="00D7B943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  <w:lang w:val="en-US"/>
        </w:rPr>
      </w:pPr>
      <w:r w:rsidRPr="00E947D5">
        <w:rPr>
          <w:szCs w:val="28"/>
          <w:lang w:val="en-US"/>
        </w:rPr>
        <w:t>Abadi M., Chu A., Goodfellow I. et al. Deep learning with differential privacy // Proceedings of the 2016 ACM SIGSAC Conference on Computer and Communications Security (CCS). — 2016. — P. 308–318.</w:t>
      </w:r>
    </w:p>
    <w:p w14:paraId="6EEAF0B7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  <w:lang w:val="en-US"/>
        </w:rPr>
      </w:pPr>
      <w:r w:rsidRPr="00E947D5">
        <w:rPr>
          <w:szCs w:val="28"/>
          <w:lang w:val="en-US"/>
        </w:rPr>
        <w:t>Naseri M., Hayes J., De Cristofaro E. Local and central differential privacy for robustness and privacy in federated learning // Proceedings of the Network and Distributed System Security Symposium (NDSS). — 2022.</w:t>
      </w:r>
    </w:p>
    <w:p w14:paraId="46219138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  <w:lang w:val="en-US"/>
        </w:rPr>
      </w:pPr>
      <w:r w:rsidRPr="00E947D5">
        <w:rPr>
          <w:szCs w:val="28"/>
          <w:lang w:val="en-US"/>
        </w:rPr>
        <w:t>Mironov I. Rényi differential privacy // IEEE 30th Computer Security Foundations Symposium (CSF). — 2017. — P. 263–275.</w:t>
      </w:r>
    </w:p>
    <w:p w14:paraId="10CCF693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  <w:lang w:val="en-US"/>
        </w:rPr>
      </w:pPr>
      <w:r w:rsidRPr="00E947D5">
        <w:rPr>
          <w:szCs w:val="28"/>
          <w:lang w:val="en-US"/>
        </w:rPr>
        <w:t xml:space="preserve">Costan V., Devadas S. Intel SGX explained // IACR Cryptology </w:t>
      </w:r>
      <w:proofErr w:type="spellStart"/>
      <w:r w:rsidRPr="00E947D5">
        <w:rPr>
          <w:szCs w:val="28"/>
          <w:lang w:val="en-US"/>
        </w:rPr>
        <w:t>ePrint</w:t>
      </w:r>
      <w:proofErr w:type="spellEnd"/>
      <w:r w:rsidRPr="00E947D5">
        <w:rPr>
          <w:szCs w:val="28"/>
          <w:lang w:val="en-US"/>
        </w:rPr>
        <w:t xml:space="preserve"> Archive. — 2016. — Report 2016/086. — URL: https://eprint.iacr.org/2016/086 (</w:t>
      </w:r>
      <w:r w:rsidRPr="00E947D5">
        <w:rPr>
          <w:szCs w:val="28"/>
        </w:rPr>
        <w:t>дата</w:t>
      </w:r>
      <w:r w:rsidRPr="00E947D5">
        <w:rPr>
          <w:szCs w:val="28"/>
          <w:lang w:val="en-US"/>
        </w:rPr>
        <w:t xml:space="preserve"> </w:t>
      </w:r>
      <w:r w:rsidRPr="00E947D5">
        <w:rPr>
          <w:szCs w:val="28"/>
        </w:rPr>
        <w:t>обращения</w:t>
      </w:r>
      <w:r w:rsidRPr="00E947D5">
        <w:rPr>
          <w:szCs w:val="28"/>
          <w:lang w:val="en-US"/>
        </w:rPr>
        <w:t>: 04.05.2026).</w:t>
      </w:r>
    </w:p>
    <w:p w14:paraId="221C2817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  <w:lang w:val="en-US"/>
        </w:rPr>
      </w:pPr>
      <w:r w:rsidRPr="00E947D5">
        <w:rPr>
          <w:szCs w:val="28"/>
          <w:lang w:val="en-US"/>
        </w:rPr>
        <w:t>Arnautov S., Trach B., Gregor F. et al. SCONE: Secure Linux containers with Intel SGX // Proceedings of the 12th USENIX Symposium on Operating Systems Design and Implementation (OSDI). — 2016. — P. 689–703.</w:t>
      </w:r>
    </w:p>
    <w:p w14:paraId="2D3AC729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  <w:lang w:val="en-US"/>
        </w:rPr>
      </w:pPr>
      <w:r w:rsidRPr="00E947D5">
        <w:rPr>
          <w:szCs w:val="28"/>
          <w:lang w:val="en-US"/>
        </w:rPr>
        <w:t xml:space="preserve">Mo F., Haddadi H., </w:t>
      </w:r>
      <w:proofErr w:type="spellStart"/>
      <w:r w:rsidRPr="00E947D5">
        <w:rPr>
          <w:szCs w:val="28"/>
          <w:lang w:val="en-US"/>
        </w:rPr>
        <w:t>Katevas</w:t>
      </w:r>
      <w:proofErr w:type="spellEnd"/>
      <w:r w:rsidRPr="00E947D5">
        <w:rPr>
          <w:szCs w:val="28"/>
          <w:lang w:val="en-US"/>
        </w:rPr>
        <w:t xml:space="preserve"> K. et al. PPFL: Privacy-preserving federated learning with trusted execution environments // Proceedings of the 19th </w:t>
      </w:r>
      <w:r w:rsidRPr="00E947D5">
        <w:rPr>
          <w:szCs w:val="28"/>
          <w:lang w:val="en-US"/>
        </w:rPr>
        <w:lastRenderedPageBreak/>
        <w:t>Annual International Conference on Mobile Systems, Applications, and Services (</w:t>
      </w:r>
      <w:proofErr w:type="spellStart"/>
      <w:r w:rsidRPr="00E947D5">
        <w:rPr>
          <w:szCs w:val="28"/>
          <w:lang w:val="en-US"/>
        </w:rPr>
        <w:t>MobiSys</w:t>
      </w:r>
      <w:proofErr w:type="spellEnd"/>
      <w:r w:rsidRPr="00E947D5">
        <w:rPr>
          <w:szCs w:val="28"/>
          <w:lang w:val="en-US"/>
        </w:rPr>
        <w:t>). — 2021. — P. 94–108.</w:t>
      </w:r>
    </w:p>
    <w:p w14:paraId="42F72A57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  <w:lang w:val="en-US"/>
        </w:rPr>
      </w:pPr>
      <w:proofErr w:type="spellStart"/>
      <w:r w:rsidRPr="00E947D5">
        <w:rPr>
          <w:szCs w:val="28"/>
          <w:lang w:val="en-US"/>
        </w:rPr>
        <w:t>Kairouz</w:t>
      </w:r>
      <w:proofErr w:type="spellEnd"/>
      <w:r w:rsidRPr="00E947D5">
        <w:rPr>
          <w:szCs w:val="28"/>
          <w:lang w:val="en-US"/>
        </w:rPr>
        <w:t xml:space="preserve"> P., McMahan H. B., Avent B. et al. Advances and open problems in federated learning // Foundations and Trends in Machine Learning. — 2021. — Vol. 14, № 1–2. — P. 1–210.</w:t>
      </w:r>
    </w:p>
    <w:p w14:paraId="1F201929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  <w:lang w:val="en-US"/>
        </w:rPr>
      </w:pPr>
      <w:r w:rsidRPr="00E947D5">
        <w:rPr>
          <w:szCs w:val="28"/>
          <w:lang w:val="en-US"/>
        </w:rPr>
        <w:t xml:space="preserve">Liu B., </w:t>
      </w:r>
      <w:proofErr w:type="spellStart"/>
      <w:r w:rsidRPr="00E947D5">
        <w:rPr>
          <w:szCs w:val="28"/>
          <w:lang w:val="en-US"/>
        </w:rPr>
        <w:t>Lv</w:t>
      </w:r>
      <w:proofErr w:type="spellEnd"/>
      <w:r w:rsidRPr="00E947D5">
        <w:rPr>
          <w:szCs w:val="28"/>
          <w:lang w:val="en-US"/>
        </w:rPr>
        <w:t xml:space="preserve"> N., Guo Y., Li Y. Recent advances on federated learning: A systematic survey // Neurocomputing. — 2024. — Vol. 597. — Art. 128019.</w:t>
      </w:r>
    </w:p>
    <w:p w14:paraId="2D71ED4C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  <w:lang w:val="en-US"/>
        </w:rPr>
      </w:pPr>
      <w:r w:rsidRPr="00E947D5">
        <w:rPr>
          <w:szCs w:val="28"/>
          <w:lang w:val="en-US"/>
        </w:rPr>
        <w:t>Rosenfeld E., Winston E., Ravikumar P., Kolter J. Z. Certified robustness to label-flipping attacks via randomized smoothing // Proceedings of the 37th International Conference on Machine Learning (ICML). — 2020. — Vol. 119. — P. 8230–8241.</w:t>
      </w:r>
    </w:p>
    <w:p w14:paraId="06A94751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  <w:lang w:val="en-US"/>
        </w:rPr>
      </w:pPr>
      <w:r w:rsidRPr="00E947D5">
        <w:rPr>
          <w:szCs w:val="28"/>
          <w:lang w:val="en-US"/>
        </w:rPr>
        <w:t>Wang B., Yao Y., Shan S., Viswanath B., Zheng H., Zhao B. Y. Neural Cleanse: Identifying and mitigating backdoor attacks in neural networks // IEEE Symposium on Security and Privacy (SP). — San Francisco, CA, USA, 2019. — P. 707–723.</w:t>
      </w:r>
    </w:p>
    <w:p w14:paraId="2721A593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  <w:lang w:val="en-US"/>
        </w:rPr>
      </w:pPr>
      <w:r w:rsidRPr="00E947D5">
        <w:rPr>
          <w:szCs w:val="28"/>
          <w:lang w:val="en-US"/>
        </w:rPr>
        <w:t>Yeom S., Giacomelli I., Fredrikson M., Jha S. Privacy risk in machine learning: Analyzing the connection to overfitting // IEEE 31st Computer Security Foundations Symposium (CSF). — Oxford, UK, 2018. — P. 268–282.</w:t>
      </w:r>
    </w:p>
    <w:p w14:paraId="50D9C641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  <w:lang w:val="en-US"/>
        </w:rPr>
      </w:pPr>
      <w:r w:rsidRPr="00E947D5">
        <w:rPr>
          <w:szCs w:val="28"/>
          <w:lang w:val="en-US"/>
        </w:rPr>
        <w:t>Song L., Mittal P. Systematic evaluation of privacy risks of machine learning models // Proceedings of the 30th USENIX Security Symposium. — 2021. — P. 2615–2632.</w:t>
      </w:r>
    </w:p>
    <w:p w14:paraId="4D977AE3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</w:rPr>
      </w:pPr>
      <w:r w:rsidRPr="00E947D5">
        <w:rPr>
          <w:szCs w:val="28"/>
        </w:rPr>
        <w:t>Федеральный закон от 27.07.2006 № 152-ФЗ «О персональных данных».</w:t>
      </w:r>
    </w:p>
    <w:p w14:paraId="4752370C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</w:rPr>
      </w:pPr>
      <w:r w:rsidRPr="00E947D5">
        <w:rPr>
          <w:szCs w:val="28"/>
        </w:rPr>
        <w:t>Федеральный закон от 27.07.2006 № 149-ФЗ «Об информации, информационных технологиях и о защите информации».</w:t>
      </w:r>
    </w:p>
    <w:p w14:paraId="3816A65F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</w:rPr>
      </w:pPr>
      <w:r w:rsidRPr="00E947D5">
        <w:rPr>
          <w:szCs w:val="28"/>
        </w:rPr>
        <w:t>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данных».</w:t>
      </w:r>
    </w:p>
    <w:p w14:paraId="57F94A46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</w:rPr>
      </w:pPr>
      <w:r w:rsidRPr="00E947D5">
        <w:rPr>
          <w:szCs w:val="28"/>
        </w:rPr>
        <w:lastRenderedPageBreak/>
        <w:t>Приказ ФСТЭК России от 11.02.2013 № 17 «Об утверждении требований о защите информации, не составляющей государственную тайну, содержащейся в государственных информационных системах».</w:t>
      </w:r>
    </w:p>
    <w:p w14:paraId="11A34F60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</w:rPr>
      </w:pPr>
      <w:r w:rsidRPr="00E947D5">
        <w:rPr>
          <w:szCs w:val="28"/>
        </w:rPr>
        <w:t>Методический документ ФСТЭК России «Методика оценки угроз безопасности информации». — Утв. 05.02.2021.</w:t>
      </w:r>
    </w:p>
    <w:p w14:paraId="4128D796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</w:rPr>
      </w:pPr>
      <w:r w:rsidRPr="00E947D5">
        <w:rPr>
          <w:szCs w:val="28"/>
        </w:rPr>
        <w:t>Банк данных угроз безопасности информации ФСТЭК России. — URL: https://bdu.fstec.ru/ (дата обращения: 04.05.2026).</w:t>
      </w:r>
    </w:p>
    <w:p w14:paraId="56E37ACB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</w:rPr>
      </w:pPr>
      <w:r w:rsidRPr="00E947D5">
        <w:rPr>
          <w:szCs w:val="28"/>
        </w:rPr>
        <w:t>Регламент (ЕС) 2016/679 Европейского парламента и Совета от 27.04.2016 о защите физических лиц в отношении обработки персональных данных и о свободном обращении таких данных (General Data Protection Regulation, GDPR).</w:t>
      </w:r>
    </w:p>
    <w:p w14:paraId="6FEAADC3" w14:textId="77777777" w:rsidR="00A25047" w:rsidRPr="00E947D5" w:rsidRDefault="00FC43E3" w:rsidP="00E947D5">
      <w:pPr>
        <w:numPr>
          <w:ilvl w:val="0"/>
          <w:numId w:val="11"/>
        </w:numPr>
        <w:ind w:left="0" w:firstLine="709"/>
        <w:rPr>
          <w:szCs w:val="28"/>
          <w:lang w:val="en-US"/>
        </w:rPr>
      </w:pPr>
      <w:r w:rsidRPr="00E947D5">
        <w:rPr>
          <w:szCs w:val="28"/>
          <w:lang w:val="en-US"/>
        </w:rPr>
        <w:t>Health Insurance Portability and Accountability Act of 1996 (HIPAA), Pub. L. 104-191, 110 Stat. 1936.</w:t>
      </w:r>
      <w:bookmarkEnd w:id="1"/>
    </w:p>
    <w:sectPr w:rsidR="00A25047" w:rsidRPr="00E947D5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8419C" w14:textId="77777777" w:rsidR="00FC43E3" w:rsidRDefault="00FC43E3">
      <w:pPr>
        <w:spacing w:line="240" w:lineRule="auto"/>
      </w:pPr>
      <w:r>
        <w:separator/>
      </w:r>
    </w:p>
  </w:endnote>
  <w:endnote w:type="continuationSeparator" w:id="0">
    <w:p w14:paraId="08C0007C" w14:textId="77777777" w:rsidR="00FC43E3" w:rsidRDefault="00FC43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6D0E6" w14:textId="77777777" w:rsidR="00FC43E3" w:rsidRDefault="00FC43E3">
      <w:r>
        <w:separator/>
      </w:r>
    </w:p>
  </w:footnote>
  <w:footnote w:type="continuationSeparator" w:id="0">
    <w:p w14:paraId="45270B7D" w14:textId="77777777" w:rsidR="00FC43E3" w:rsidRDefault="00FC43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A01026D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A99411"/>
    <w:multiLevelType w:val="multilevel"/>
    <w:tmpl w:val="EE608CB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46367891">
    <w:abstractNumId w:val="8"/>
  </w:num>
  <w:num w:numId="2" w16cid:durableId="1673987779">
    <w:abstractNumId w:val="6"/>
  </w:num>
  <w:num w:numId="3" w16cid:durableId="1670906064">
    <w:abstractNumId w:val="5"/>
  </w:num>
  <w:num w:numId="4" w16cid:durableId="1237519539">
    <w:abstractNumId w:val="4"/>
  </w:num>
  <w:num w:numId="5" w16cid:durableId="65732816">
    <w:abstractNumId w:val="7"/>
  </w:num>
  <w:num w:numId="6" w16cid:durableId="377818898">
    <w:abstractNumId w:val="3"/>
  </w:num>
  <w:num w:numId="7" w16cid:durableId="694497765">
    <w:abstractNumId w:val="2"/>
  </w:num>
  <w:num w:numId="8" w16cid:durableId="747843588">
    <w:abstractNumId w:val="1"/>
  </w:num>
  <w:num w:numId="9" w16cid:durableId="379784472">
    <w:abstractNumId w:val="0"/>
  </w:num>
  <w:num w:numId="10" w16cid:durableId="1152525401">
    <w:abstractNumId w:val="9"/>
  </w:num>
  <w:num w:numId="11" w16cid:durableId="2483951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5047"/>
    <w:rsid w:val="00873235"/>
    <w:rsid w:val="00A25047"/>
    <w:rsid w:val="00E947D5"/>
    <w:rsid w:val="00FC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40FE5"/>
  <w15:docId w15:val="{BD884CC3-2126-4B4E-8A05-D1DB7FCB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120" w:after="240"/>
      <w:jc w:val="center"/>
    </w:pPr>
    <w:rPr>
      <w:bCs/>
      <w:color w:val="000000"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keepNext w:val="0"/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before="60" w:after="60" w:line="240" w:lineRule="auto"/>
    </w:pPr>
    <w:rPr>
      <w:rFonts w:ascii="Courier New" w:eastAsia="Courier New" w:hAnsi="Courier New" w:cs="Courier New"/>
      <w:sz w:val="20"/>
    </w:rPr>
  </w:style>
  <w:style w:type="paragraph" w:customStyle="1" w:styleId="14">
    <w:name w:val="Цитата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i/>
      <w:sz w:val="24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1781</Words>
  <Characters>10154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Kirill Tarazanov</cp:lastModifiedBy>
  <cp:revision>2</cp:revision>
  <dcterms:created xsi:type="dcterms:W3CDTF">2026-05-04T19:48:00Z</dcterms:created>
  <dcterms:modified xsi:type="dcterms:W3CDTF">2026-05-04T19:59:00Z</dcterms:modified>
  <dc:language>ru-RU</dc:language>
</cp:coreProperties>
</file>