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Желаемая дата завершения: 2026-11-20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 позиции</w:t>
            </w:r>
          </w:p>
        </w:tc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Единица</w:t>
            </w:r>
          </w:p>
        </w:tc>
      </w:tr>
      <w:tr>
        <w:tc>
          <w:tcPr>
            <w:tcW w:type="dxa" w:w="2160"/>
          </w:tcPr>
          <w:p>
            <w:r>
              <w:t>W-01</w:t>
            </w:r>
          </w:p>
        </w:tc>
        <w:tc>
          <w:tcPr>
            <w:tcW w:type="dxa" w:w="2160"/>
          </w:tcPr>
          <w:p>
            <w:r>
              <w:t>Сборка офисного стола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шт.</w:t>
            </w:r>
          </w:p>
        </w:tc>
      </w:tr>
      <w:tr>
        <w:tc>
          <w:tcPr>
            <w:tcW w:type="dxa" w:w="2160"/>
          </w:tcPr>
          <w:p>
            <w:r>
              <w:t>W-02</w:t>
            </w:r>
          </w:p>
        </w:tc>
        <w:tc>
          <w:tcPr>
            <w:tcW w:type="dxa" w:w="2160"/>
          </w:tcPr>
          <w:p>
            <w:r>
              <w:t>Установка настенной полки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шт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