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8A571" w14:textId="77777777" w:rsidR="00DB04AD" w:rsidRDefault="00F60D89">
      <w:pPr>
        <w:spacing w:before="120" w:after="60"/>
      </w:pPr>
      <w:r>
        <w:rPr>
          <w:rFonts w:ascii="Plus Jakarta Sans" w:eastAsia="Plus Jakarta Sans" w:hAnsi="Plus Jakarta Sans" w:cs="Plus Jakarta Sans"/>
          <w:b/>
          <w:bCs/>
          <w:color w:val="0099CC"/>
        </w:rPr>
        <w:t>Вопрос</w:t>
      </w:r>
    </w:p>
    <w:p w14:paraId="346FCD72" w14:textId="77777777" w:rsidR="00DB04AD" w:rsidRDefault="00F60D89">
      <w:pPr>
        <w:pBdr>
          <w:left w:val="single" w:sz="3" w:space="8" w:color="0099CC"/>
        </w:pBdr>
        <w:spacing w:after="40"/>
        <w:ind w:left="200"/>
      </w:pPr>
      <w:r>
        <w:rPr>
          <w:i/>
          <w:iCs/>
          <w:color w:val="4B5563"/>
        </w:rPr>
        <w:t>у Новомосковской ГРЭС своя матрица полномочий по принятию решений\</w:t>
      </w:r>
    </w:p>
    <w:p w14:paraId="40296FBF" w14:textId="77777777" w:rsidR="00DB04AD" w:rsidRDefault="00DB04AD">
      <w:pPr>
        <w:pBdr>
          <w:bottom w:val="single" w:sz="1" w:space="0" w:color="E5E7EB"/>
        </w:pBdr>
        <w:spacing w:before="160" w:after="160"/>
      </w:pPr>
    </w:p>
    <w:p w14:paraId="10B0CA5B" w14:textId="77777777" w:rsidR="00DB04AD" w:rsidRDefault="00F60D89">
      <w:pPr>
        <w:spacing w:after="120"/>
      </w:pPr>
      <w:r>
        <w:rPr>
          <w:rFonts w:ascii="Plus Jakarta Sans" w:eastAsia="Plus Jakarta Sans" w:hAnsi="Plus Jakarta Sans" w:cs="Plus Jakarta Sans"/>
          <w:b/>
          <w:bCs/>
          <w:color w:val="003A7A"/>
        </w:rPr>
        <w:t>Ответ</w:t>
      </w:r>
    </w:p>
    <w:p w14:paraId="694FC1F9" w14:textId="77777777" w:rsidR="00DB04AD" w:rsidRDefault="00F60D89">
      <w:pPr>
        <w:spacing w:after="80"/>
        <w:jc w:val="both"/>
      </w:pPr>
      <w:r>
        <w:t xml:space="preserve">В предоставленных документах отсутствует отдельный файл с заголовком «Матрица полномочий Новомосковской ГРЭС». Однако, поскольку объект работает в режиме </w:t>
      </w:r>
      <w:r>
        <w:rPr>
          <w:b/>
          <w:bCs/>
        </w:rPr>
        <w:t>вне 223-ФЗ</w:t>
      </w:r>
      <w:r>
        <w:t xml:space="preserve"> (контур ООО «СГК»), к нему применяются положения </w:t>
      </w:r>
      <w:r>
        <w:rPr>
          <w:b/>
          <w:bCs/>
        </w:rPr>
        <w:t>Стандарта С-ГК-В5-03</w:t>
      </w:r>
      <w:r>
        <w:t xml:space="preserve"> и общие принципы расп</w:t>
      </w:r>
      <w:r>
        <w:t>ределения полномочий для филиалов и обществ группы, не являющихся субъектами 223-ФЗ.</w:t>
      </w:r>
    </w:p>
    <w:p w14:paraId="33D16126" w14:textId="77777777" w:rsidR="00DB04AD" w:rsidRDefault="00DB04AD">
      <w:pPr>
        <w:spacing w:after="80"/>
      </w:pPr>
    </w:p>
    <w:p w14:paraId="0288B3AB" w14:textId="77777777" w:rsidR="00DB04AD" w:rsidRDefault="00F60D89">
      <w:pPr>
        <w:spacing w:after="80"/>
        <w:jc w:val="both"/>
      </w:pPr>
      <w:r>
        <w:t>Согласно Матрице полномочий (на основе документов ООО «СГК» и обучающего курса по закупкам вне 223-ФЗ), ситуация с закупкой МТР на 30 млн рублей выглядит следующим образо</w:t>
      </w:r>
      <w:r>
        <w:t>м:</w:t>
      </w:r>
    </w:p>
    <w:p w14:paraId="516157D3" w14:textId="77777777" w:rsidR="00DB04AD" w:rsidRDefault="00DB04AD">
      <w:pPr>
        <w:spacing w:after="80"/>
      </w:pPr>
    </w:p>
    <w:p w14:paraId="1E73160B" w14:textId="77777777" w:rsidR="00DB04AD" w:rsidRDefault="00F60D89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1. Полномочия по суммам (МТР вне 223-ФЗ)</w:t>
      </w:r>
    </w:p>
    <w:p w14:paraId="40216D0D" w14:textId="77777777" w:rsidR="00DB04AD" w:rsidRDefault="00F60D89">
      <w:pPr>
        <w:spacing w:after="80"/>
        <w:jc w:val="both"/>
      </w:pPr>
      <w:r>
        <w:t>Для закупок материально-технических ресурсов (МТР) в контуре вне 223-ФЗ установлены следующие уровни принятия решений:</w:t>
      </w:r>
    </w:p>
    <w:p w14:paraId="5D616962" w14:textId="77777777" w:rsidR="00DB04AD" w:rsidRDefault="00DB04AD">
      <w:pPr>
        <w:spacing w:after="80"/>
      </w:pPr>
    </w:p>
    <w:p w14:paraId="7D14B063" w14:textId="77777777" w:rsidR="00DB04AD" w:rsidRDefault="00F60D89">
      <w:pPr>
        <w:spacing w:before="200" w:after="100"/>
      </w:pPr>
      <w:r>
        <w:rPr>
          <w:rFonts w:ascii="Plus Jakarta Sans" w:eastAsia="Plus Jakarta Sans" w:hAnsi="Plus Jakarta Sans" w:cs="Plus Jakarta Sans"/>
          <w:b/>
          <w:bCs/>
          <w:color w:val="003A7A"/>
          <w:sz w:val="26"/>
          <w:szCs w:val="26"/>
        </w:rPr>
        <w:t>Типовые полномочия по закупкам МТР (вне 223-ФЗ)</w:t>
      </w:r>
    </w:p>
    <w:p w14:paraId="1DBFB35D" w14:textId="77777777" w:rsidR="00DB04AD" w:rsidRDefault="00DB04AD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7"/>
        <w:gridCol w:w="4173"/>
        <w:gridCol w:w="2561"/>
      </w:tblGrid>
      <w:tr w:rsidR="00DB04AD" w14:paraId="75CD3B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A7A"/>
          </w:tcPr>
          <w:p w14:paraId="5E50B1C1" w14:textId="77777777" w:rsidR="00DB04AD" w:rsidRDefault="00F60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Диапазон суммы (без НДС)</w:t>
            </w:r>
          </w:p>
        </w:tc>
        <w:tc>
          <w:tcPr>
            <w:tcW w:w="0" w:type="auto"/>
            <w:shd w:val="clear" w:color="auto" w:fill="003A7A"/>
          </w:tcPr>
          <w:p w14:paraId="58C01114" w14:textId="77777777" w:rsidR="00DB04AD" w:rsidRDefault="00F60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Уполномоченный ру</w:t>
            </w:r>
            <w:r>
              <w:rPr>
                <w:b/>
                <w:bCs/>
                <w:color w:val="FFFFFF"/>
                <w:sz w:val="20"/>
                <w:szCs w:val="20"/>
              </w:rPr>
              <w:t>ководитель (УР)</w:t>
            </w:r>
          </w:p>
        </w:tc>
        <w:tc>
          <w:tcPr>
            <w:tcW w:w="0" w:type="auto"/>
            <w:shd w:val="clear" w:color="auto" w:fill="003A7A"/>
          </w:tcPr>
          <w:p w14:paraId="5B5C0F8B" w14:textId="77777777" w:rsidR="00DB04AD" w:rsidRDefault="00F60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Коллегиальный орган</w:t>
            </w:r>
          </w:p>
        </w:tc>
      </w:tr>
      <w:tr w:rsidR="00DB04AD" w14:paraId="17FEC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64654C" w14:textId="77777777" w:rsidR="00DB04AD" w:rsidRDefault="00F60D89">
            <w:r>
              <w:rPr>
                <w:b/>
                <w:bCs/>
              </w:rPr>
              <w:t>5 – 15 млн руб.</w:t>
            </w:r>
          </w:p>
        </w:tc>
        <w:tc>
          <w:tcPr>
            <w:tcW w:w="0" w:type="auto"/>
          </w:tcPr>
          <w:p w14:paraId="6F8EEBC0" w14:textId="77777777" w:rsidR="00DB04AD" w:rsidRDefault="00F60D89">
            <w:r>
              <w:t>Начальник управления закупок Консультанта</w:t>
            </w:r>
          </w:p>
        </w:tc>
        <w:tc>
          <w:tcPr>
            <w:tcW w:w="0" w:type="auto"/>
          </w:tcPr>
          <w:p w14:paraId="58F7081B" w14:textId="77777777" w:rsidR="00DB04AD" w:rsidRDefault="00F60D89">
            <w:r>
              <w:t>Комиссия по закупкам (ЗК)</w:t>
            </w:r>
          </w:p>
        </w:tc>
      </w:tr>
      <w:tr w:rsidR="00DB04AD" w14:paraId="769B6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0"/>
          </w:tcPr>
          <w:p w14:paraId="2455344A" w14:textId="77777777" w:rsidR="00DB04AD" w:rsidRDefault="00F60D89">
            <w:r>
              <w:rPr>
                <w:b/>
                <w:bCs/>
              </w:rPr>
              <w:t>15 – 30 млн руб.</w:t>
            </w:r>
          </w:p>
        </w:tc>
        <w:tc>
          <w:tcPr>
            <w:tcW w:w="0" w:type="auto"/>
            <w:shd w:val="clear" w:color="auto" w:fill="F5F5F0"/>
          </w:tcPr>
          <w:p w14:paraId="73C3CA14" w14:textId="77777777" w:rsidR="00DB04AD" w:rsidRDefault="00F60D89">
            <w:r>
              <w:t>Начальник управления закупок Консультанта</w:t>
            </w:r>
          </w:p>
        </w:tc>
        <w:tc>
          <w:tcPr>
            <w:tcW w:w="0" w:type="auto"/>
            <w:shd w:val="clear" w:color="auto" w:fill="F5F5F0"/>
          </w:tcPr>
          <w:p w14:paraId="392C613E" w14:textId="77777777" w:rsidR="00DB04AD" w:rsidRDefault="00F60D89">
            <w:r>
              <w:t>ЦЗК (опционально) / ЗК</w:t>
            </w:r>
          </w:p>
        </w:tc>
      </w:tr>
      <w:tr w:rsidR="00DB04AD" w14:paraId="1DF05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576E6C" w14:textId="77777777" w:rsidR="00DB04AD" w:rsidRDefault="00F60D89">
            <w:r>
              <w:rPr>
                <w:b/>
                <w:bCs/>
              </w:rPr>
              <w:t>30 – 60 млн руб.</w:t>
            </w:r>
          </w:p>
        </w:tc>
        <w:tc>
          <w:tcPr>
            <w:tcW w:w="0" w:type="auto"/>
          </w:tcPr>
          <w:p w14:paraId="0C33F27D" w14:textId="77777777" w:rsidR="00DB04AD" w:rsidRDefault="00F60D89">
            <w:r>
              <w:t>Руководитель направления Консультанта</w:t>
            </w:r>
          </w:p>
        </w:tc>
        <w:tc>
          <w:tcPr>
            <w:tcW w:w="0" w:type="auto"/>
          </w:tcPr>
          <w:p w14:paraId="3FEA634D" w14:textId="77777777" w:rsidR="00DB04AD" w:rsidRDefault="00F60D89">
            <w:r>
              <w:t>ЦЗК (опционально) / ЗК</w:t>
            </w:r>
          </w:p>
        </w:tc>
      </w:tr>
      <w:tr w:rsidR="00DB04AD" w14:paraId="7F674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0"/>
          </w:tcPr>
          <w:p w14:paraId="290C6CE8" w14:textId="77777777" w:rsidR="00DB04AD" w:rsidRDefault="00F60D89">
            <w:r>
              <w:rPr>
                <w:b/>
                <w:bCs/>
              </w:rPr>
              <w:t>60 – 300 млн руб.</w:t>
            </w:r>
          </w:p>
        </w:tc>
        <w:tc>
          <w:tcPr>
            <w:tcW w:w="0" w:type="auto"/>
            <w:shd w:val="clear" w:color="auto" w:fill="F5F5F0"/>
          </w:tcPr>
          <w:p w14:paraId="5CBADC38" w14:textId="77777777" w:rsidR="00DB04AD" w:rsidRDefault="00F60D89">
            <w:r>
              <w:t>—</w:t>
            </w:r>
          </w:p>
        </w:tc>
        <w:tc>
          <w:tcPr>
            <w:tcW w:w="0" w:type="auto"/>
            <w:shd w:val="clear" w:color="auto" w:fill="F5F5F0"/>
          </w:tcPr>
          <w:p w14:paraId="079F2551" w14:textId="77777777" w:rsidR="00DB04AD" w:rsidRDefault="00F60D89">
            <w:r>
              <w:rPr>
                <w:b/>
                <w:bCs/>
              </w:rPr>
              <w:t>ЦЗК (обязательно)</w:t>
            </w:r>
          </w:p>
        </w:tc>
      </w:tr>
    </w:tbl>
    <w:p w14:paraId="38217BE2" w14:textId="77777777" w:rsidR="00DB04AD" w:rsidRDefault="00DB04AD">
      <w:pPr>
        <w:spacing w:after="120"/>
      </w:pPr>
    </w:p>
    <w:p w14:paraId="779A6956" w14:textId="77777777" w:rsidR="00DB04AD" w:rsidRDefault="00DB04AD">
      <w:pPr>
        <w:spacing w:after="80"/>
      </w:pPr>
    </w:p>
    <w:p w14:paraId="79C7F915" w14:textId="77777777" w:rsidR="00DB04AD" w:rsidRDefault="00F60D89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2. Анализ необходимости выноса на ЦЗК</w:t>
      </w:r>
    </w:p>
    <w:p w14:paraId="07AB89C0" w14:textId="77777777" w:rsidR="00DB04AD" w:rsidRDefault="00F60D89">
      <w:pPr>
        <w:pStyle w:val="a4"/>
        <w:numPr>
          <w:ilvl w:val="0"/>
          <w:numId w:val="1"/>
        </w:numPr>
        <w:spacing w:after="40"/>
        <w:jc w:val="both"/>
      </w:pPr>
      <w:r>
        <w:rPr>
          <w:b/>
          <w:bCs/>
        </w:rPr>
        <w:t>Сумма 30 млн руб.</w:t>
      </w:r>
      <w:proofErr w:type="gramStart"/>
      <w:r>
        <w:rPr>
          <w:b/>
          <w:bCs/>
        </w:rPr>
        <w:t>:</w:t>
      </w:r>
      <w:r>
        <w:t xml:space="preserve"> Находится</w:t>
      </w:r>
      <w:proofErr w:type="gramEnd"/>
      <w:r>
        <w:t xml:space="preserve"> на границе полномочий Начальника управления и Руководителя направления Консультанта. Согласно документам, на этом уровне решение может быть принято </w:t>
      </w:r>
      <w:r>
        <w:rPr>
          <w:b/>
          <w:bCs/>
        </w:rPr>
        <w:t>Уполномоченным руководителем единолично</w:t>
      </w:r>
      <w:r>
        <w:t xml:space="preserve"> без обязательного выноса на Центральную закупочную комисс</w:t>
      </w:r>
      <w:r>
        <w:t>ию (ЦЗК).</w:t>
      </w:r>
    </w:p>
    <w:p w14:paraId="5AD04C9C" w14:textId="77777777" w:rsidR="00DB04AD" w:rsidRDefault="00F60D89">
      <w:pPr>
        <w:pStyle w:val="a4"/>
        <w:numPr>
          <w:ilvl w:val="0"/>
          <w:numId w:val="1"/>
        </w:numPr>
        <w:spacing w:after="40"/>
        <w:jc w:val="both"/>
      </w:pPr>
      <w:r>
        <w:rPr>
          <w:b/>
          <w:bCs/>
        </w:rPr>
        <w:t>Тип закупки:</w:t>
      </w:r>
      <w:r>
        <w:t xml:space="preserve"> Для МТР (запчасти) обязательный вынос на ЦЗК в данном ценовом диапазоне обычно требуется только в случае </w:t>
      </w:r>
      <w:r>
        <w:rPr>
          <w:b/>
          <w:bCs/>
        </w:rPr>
        <w:t>внутригрупповых закупок</w:t>
      </w:r>
      <w:r>
        <w:t xml:space="preserve"> (ВГЗ) или если закупка признана «единичной вне групп».</w:t>
      </w:r>
    </w:p>
    <w:p w14:paraId="0417EFEA" w14:textId="77777777" w:rsidR="00DB04AD" w:rsidRDefault="00F60D89">
      <w:pPr>
        <w:pStyle w:val="a4"/>
        <w:numPr>
          <w:ilvl w:val="0"/>
          <w:numId w:val="1"/>
        </w:numPr>
        <w:spacing w:after="40"/>
        <w:jc w:val="both"/>
      </w:pPr>
      <w:r>
        <w:rPr>
          <w:b/>
          <w:bCs/>
        </w:rPr>
        <w:t>Директива руководства:</w:t>
      </w:r>
      <w:r>
        <w:t xml:space="preserve"> Распоряжение Директора по </w:t>
      </w:r>
      <w:r>
        <w:t xml:space="preserve">закупкам Козлова И.Е. об обязательном рассмотрении на ЦЗК при коэффициенте к смете более 1 </w:t>
      </w:r>
      <w:r>
        <w:rPr>
          <w:b/>
          <w:bCs/>
        </w:rPr>
        <w:t>не распространяется на МТР</w:t>
      </w:r>
      <w:r>
        <w:t xml:space="preserve"> (только на работы и услуги).</w:t>
      </w:r>
    </w:p>
    <w:p w14:paraId="255BA56C" w14:textId="77777777" w:rsidR="00DB04AD" w:rsidRDefault="00DB04AD">
      <w:pPr>
        <w:spacing w:after="80"/>
      </w:pPr>
    </w:p>
    <w:p w14:paraId="47E5E9AA" w14:textId="77777777" w:rsidR="00DB04AD" w:rsidRDefault="00F60D89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Итоговый вывод:</w:t>
      </w:r>
    </w:p>
    <w:p w14:paraId="5A41F8E5" w14:textId="77777777" w:rsidR="00DB04AD" w:rsidRDefault="00F60D89">
      <w:pPr>
        <w:spacing w:after="80"/>
        <w:jc w:val="both"/>
      </w:pPr>
      <w:r>
        <w:t>Если локальная матрица Новомосковской ГРЭС соответствует общекорпоративным стандартам ООО «С</w:t>
      </w:r>
      <w:r>
        <w:t xml:space="preserve">ГК» для режима вне 223-ФЗ, то закупку на </w:t>
      </w:r>
      <w:r>
        <w:rPr>
          <w:b/>
          <w:bCs/>
        </w:rPr>
        <w:t xml:space="preserve">30 млн рублей выносить на </w:t>
      </w:r>
      <w:r>
        <w:rPr>
          <w:b/>
          <w:bCs/>
        </w:rPr>
        <w:lastRenderedPageBreak/>
        <w:t>ЦЗК не требуется</w:t>
      </w:r>
      <w:r>
        <w:t>. Решение может быть утверждено Уполномоченным руководителем (УР) или местной Закупочной комиссией.</w:t>
      </w:r>
    </w:p>
    <w:p w14:paraId="2FF656BD" w14:textId="77777777" w:rsidR="00DB04AD" w:rsidRDefault="00DB04AD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1"/>
      </w:tblGrid>
      <w:tr w:rsidR="00DB04AD" w14:paraId="42FADF6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left w:val="single" w:sz="12" w:space="0" w:color="0099CC"/>
            </w:tcBorders>
            <w:shd w:val="clear" w:color="auto" w:fill="ED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86A5991" w14:textId="77777777" w:rsidR="00DB04AD" w:rsidRDefault="00F60D89">
            <w:pPr>
              <w:jc w:val="both"/>
            </w:pPr>
            <w:r>
              <w:rPr>
                <w:i/>
                <w:iCs/>
                <w:color w:val="374151"/>
                <w:sz w:val="21"/>
                <w:szCs w:val="21"/>
              </w:rPr>
              <w:t>«До 5 млн — УР без ЗКО; 5–60 млн — УР или малый ЗКО; 60–300 млн — ЗКО" (</w:t>
            </w:r>
            <w:r>
              <w:rPr>
                <w:i/>
                <w:iCs/>
                <w:color w:val="374151"/>
                <w:sz w:val="21"/>
                <w:szCs w:val="21"/>
              </w:rPr>
              <w:t>из обучающего курса "Закупки вне 223-ФЗ")»</w:t>
            </w:r>
          </w:p>
        </w:tc>
      </w:tr>
    </w:tbl>
    <w:p w14:paraId="2D593016" w14:textId="77777777" w:rsidR="00DB04AD" w:rsidRDefault="00DB04AD">
      <w:pPr>
        <w:spacing w:after="80"/>
      </w:pPr>
    </w:p>
    <w:p w14:paraId="51968246" w14:textId="77777777" w:rsidR="00DB04AD" w:rsidRDefault="00F60D89">
      <w:pPr>
        <w:spacing w:after="80"/>
        <w:jc w:val="both"/>
      </w:pPr>
      <w:r>
        <w:rPr>
          <w:b/>
          <w:bCs/>
        </w:rPr>
        <w:t>Важное примечание</w:t>
      </w:r>
      <w:proofErr w:type="gramStart"/>
      <w:r>
        <w:rPr>
          <w:b/>
          <w:bCs/>
        </w:rPr>
        <w:t>:</w:t>
      </w:r>
      <w:r>
        <w:t xml:space="preserve"> Поскольку</w:t>
      </w:r>
      <w:proofErr w:type="gramEnd"/>
      <w:r>
        <w:t xml:space="preserve"> вы указали, что у ГРЭС «своя» матрица, которой нет в базе знаний, рекомендую проверить в ней порог именно для </w:t>
      </w:r>
      <w:r>
        <w:rPr>
          <w:b/>
          <w:bCs/>
        </w:rPr>
        <w:t>ЦЗК (Центральной закупочной комиссии)</w:t>
      </w:r>
      <w:r>
        <w:t>. Если в вашей матрице порог ЦЗК установлен ниже общекорпоративных 60 млн руб., следует руководств</w:t>
      </w:r>
      <w:r>
        <w:t>оваться вашим локальным документом.</w:t>
      </w:r>
    </w:p>
    <w:p w14:paraId="16109FCF" w14:textId="77777777" w:rsidR="00DB04AD" w:rsidRDefault="00DB04AD">
      <w:pPr>
        <w:spacing w:after="80"/>
      </w:pPr>
    </w:p>
    <w:p w14:paraId="16CF7CA7" w14:textId="77777777" w:rsidR="00DB04AD" w:rsidRDefault="00F60D89">
      <w:pPr>
        <w:spacing w:after="80"/>
        <w:jc w:val="both"/>
      </w:pPr>
      <w:r>
        <w:t>💡</w:t>
      </w:r>
      <w:r>
        <w:t xml:space="preserve"> </w:t>
      </w:r>
      <w:r>
        <w:rPr>
          <w:b/>
          <w:bCs/>
        </w:rPr>
        <w:t>Вам также может быть полезно:</w:t>
      </w:r>
    </w:p>
    <w:p w14:paraId="30EDCBD7" w14:textId="77777777" w:rsidR="00DB04AD" w:rsidRDefault="00F60D89">
      <w:pPr>
        <w:pStyle w:val="a4"/>
        <w:numPr>
          <w:ilvl w:val="0"/>
          <w:numId w:val="1"/>
        </w:numPr>
        <w:spacing w:after="40"/>
        <w:jc w:val="both"/>
      </w:pPr>
      <w:r>
        <w:t>Каков точный порог выноса на ЦЗК согласно вашей локальной матрице?</w:t>
      </w:r>
    </w:p>
    <w:p w14:paraId="2DB1C149" w14:textId="77777777" w:rsidR="00DB04AD" w:rsidRDefault="00F60D89">
      <w:pPr>
        <w:pStyle w:val="a4"/>
        <w:numPr>
          <w:ilvl w:val="0"/>
          <w:numId w:val="1"/>
        </w:numPr>
        <w:spacing w:after="40"/>
        <w:jc w:val="both"/>
      </w:pPr>
      <w:r>
        <w:t>Является ли данная закупка централизованной (проводится силами Консультанта)?</w:t>
      </w:r>
    </w:p>
    <w:p w14:paraId="1750E09E" w14:textId="77777777" w:rsidR="00DB04AD" w:rsidRDefault="00F60D89">
      <w:pPr>
        <w:pStyle w:val="a4"/>
        <w:numPr>
          <w:ilvl w:val="0"/>
          <w:numId w:val="1"/>
        </w:numPr>
        <w:spacing w:after="40"/>
        <w:jc w:val="both"/>
      </w:pPr>
      <w:r>
        <w:t xml:space="preserve">Требуется ли согласование данной закупки </w:t>
      </w:r>
      <w:r>
        <w:t>с техническими экспертами ГРЭС перед утверждением?</w:t>
      </w:r>
    </w:p>
    <w:p w14:paraId="14C5D1BC" w14:textId="77777777" w:rsidR="00DB04AD" w:rsidRDefault="00DB04AD">
      <w:pPr>
        <w:pBdr>
          <w:bottom w:val="single" w:sz="1" w:space="0" w:color="E5E7EB"/>
        </w:pBdr>
        <w:spacing w:before="240" w:after="80"/>
      </w:pPr>
    </w:p>
    <w:p w14:paraId="040BE5F4" w14:textId="77777777" w:rsidR="00DB04AD" w:rsidRDefault="00F60D89">
      <w:pPr>
        <w:spacing w:after="40"/>
        <w:jc w:val="right"/>
      </w:pPr>
      <w:r>
        <w:rPr>
          <w:i/>
          <w:iCs/>
          <w:color w:val="9CA3AF"/>
          <w:sz w:val="18"/>
          <w:szCs w:val="18"/>
        </w:rPr>
        <w:t>Дата: 20 апреля 2026 г.</w:t>
      </w:r>
    </w:p>
    <w:sectPr w:rsidR="00DB04AD">
      <w:headerReference w:type="default" r:id="rId7"/>
      <w:footerReference w:type="default" r:id="rId8"/>
      <w:headerReference w:type="first" r:id="rId9"/>
      <w:pgSz w:w="11906" w:h="16838"/>
      <w:pgMar w:top="1134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3E4B1" w14:textId="77777777" w:rsidR="00F60D89" w:rsidRDefault="00F60D89">
      <w:r>
        <w:separator/>
      </w:r>
    </w:p>
  </w:endnote>
  <w:endnote w:type="continuationSeparator" w:id="0">
    <w:p w14:paraId="5D08D33F" w14:textId="77777777" w:rsidR="00F60D89" w:rsidRDefault="00F60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39ACB" w14:textId="77777777" w:rsidR="00DB04AD" w:rsidRDefault="00F60D89">
    <w:pPr>
      <w:jc w:val="center"/>
    </w:pPr>
    <w:r>
      <w:rPr>
        <w:i/>
        <w:iCs/>
        <w:color w:val="9CA3AF"/>
        <w:sz w:val="16"/>
        <w:szCs w:val="16"/>
      </w:rPr>
      <w:t xml:space="preserve">Документ подготовлен </w:t>
    </w:r>
    <w:proofErr w:type="spellStart"/>
    <w:r>
      <w:rPr>
        <w:rFonts w:ascii="Plus Jakarta Sans" w:eastAsia="Plus Jakarta Sans" w:hAnsi="Plus Jakarta Sans" w:cs="Plus Jakarta Sans"/>
        <w:b/>
        <w:bCs/>
        <w:color w:val="003A7A"/>
        <w:sz w:val="16"/>
        <w:szCs w:val="16"/>
      </w:rPr>
      <w:t>Снаб</w:t>
    </w:r>
    <w:r>
      <w:rPr>
        <w:rFonts w:ascii="Plus Jakarta Sans" w:eastAsia="Plus Jakarta Sans" w:hAnsi="Plus Jakarta Sans" w:cs="Plus Jakarta Sans"/>
        <w:b/>
        <w:bCs/>
        <w:color w:val="0099CC"/>
        <w:sz w:val="16"/>
        <w:szCs w:val="16"/>
      </w:rPr>
      <w:t>Чат</w:t>
    </w:r>
    <w:proofErr w:type="spellEnd"/>
    <w:r>
      <w:rPr>
        <w:i/>
        <w:iCs/>
        <w:color w:val="9CA3AF"/>
        <w:sz w:val="16"/>
        <w:szCs w:val="16"/>
      </w:rPr>
      <w:t xml:space="preserve"> · Дирекция по закупкам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381DD" w14:textId="77777777" w:rsidR="00F60D89" w:rsidRDefault="00F60D89">
      <w:r>
        <w:separator/>
      </w:r>
    </w:p>
  </w:footnote>
  <w:footnote w:type="continuationSeparator" w:id="0">
    <w:p w14:paraId="31C3E129" w14:textId="77777777" w:rsidR="00F60D89" w:rsidRDefault="00F60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DE193" w14:textId="77777777" w:rsidR="00000000" w:rsidRDefault="00F60D89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A8A95" w14:textId="77777777" w:rsidR="00DB04AD" w:rsidRDefault="00F60D89">
    <w:pPr>
      <w:pBdr>
        <w:bottom w:val="single" w:sz="1" w:space="0" w:color="E5E7EB"/>
      </w:pBdr>
    </w:pPr>
    <w:proofErr w:type="spellStart"/>
    <w:r>
      <w:rPr>
        <w:rFonts w:ascii="Plus Jakarta Sans" w:eastAsia="Plus Jakarta Sans" w:hAnsi="Plus Jakarta Sans" w:cs="Plus Jakarta Sans"/>
        <w:b/>
        <w:bCs/>
        <w:color w:val="003A7A"/>
        <w:sz w:val="20"/>
        <w:szCs w:val="20"/>
      </w:rPr>
      <w:t>Снаб</w:t>
    </w:r>
    <w:r>
      <w:rPr>
        <w:rFonts w:ascii="Plus Jakarta Sans" w:eastAsia="Plus Jakarta Sans" w:hAnsi="Plus Jakarta Sans" w:cs="Plus Jakarta Sans"/>
        <w:b/>
        <w:bCs/>
        <w:color w:val="0099CC"/>
        <w:sz w:val="20"/>
        <w:szCs w:val="20"/>
      </w:rPr>
      <w:t>Чат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85FE1"/>
    <w:multiLevelType w:val="hybridMultilevel"/>
    <w:tmpl w:val="F9F4BFE4"/>
    <w:lvl w:ilvl="0" w:tplc="29F64D66">
      <w:start w:val="1"/>
      <w:numFmt w:val="bullet"/>
      <w:lvlText w:val="●"/>
      <w:lvlJc w:val="left"/>
      <w:pPr>
        <w:ind w:left="720" w:hanging="360"/>
      </w:pPr>
    </w:lvl>
    <w:lvl w:ilvl="1" w:tplc="AE1E4946">
      <w:start w:val="1"/>
      <w:numFmt w:val="bullet"/>
      <w:lvlText w:val="○"/>
      <w:lvlJc w:val="left"/>
      <w:pPr>
        <w:ind w:left="1440" w:hanging="360"/>
      </w:pPr>
    </w:lvl>
    <w:lvl w:ilvl="2" w:tplc="4EF8D4B2">
      <w:start w:val="1"/>
      <w:numFmt w:val="bullet"/>
      <w:lvlText w:val="■"/>
      <w:lvlJc w:val="left"/>
      <w:pPr>
        <w:ind w:left="2160" w:hanging="360"/>
      </w:pPr>
    </w:lvl>
    <w:lvl w:ilvl="3" w:tplc="295E5412">
      <w:start w:val="1"/>
      <w:numFmt w:val="bullet"/>
      <w:lvlText w:val="●"/>
      <w:lvlJc w:val="left"/>
      <w:pPr>
        <w:ind w:left="2880" w:hanging="360"/>
      </w:pPr>
    </w:lvl>
    <w:lvl w:ilvl="4" w:tplc="90A6D314">
      <w:start w:val="1"/>
      <w:numFmt w:val="bullet"/>
      <w:lvlText w:val="○"/>
      <w:lvlJc w:val="left"/>
      <w:pPr>
        <w:ind w:left="3600" w:hanging="360"/>
      </w:pPr>
    </w:lvl>
    <w:lvl w:ilvl="5" w:tplc="53B81316">
      <w:start w:val="1"/>
      <w:numFmt w:val="bullet"/>
      <w:lvlText w:val="■"/>
      <w:lvlJc w:val="left"/>
      <w:pPr>
        <w:ind w:left="4320" w:hanging="360"/>
      </w:pPr>
    </w:lvl>
    <w:lvl w:ilvl="6" w:tplc="B9045DC6">
      <w:start w:val="1"/>
      <w:numFmt w:val="bullet"/>
      <w:lvlText w:val="●"/>
      <w:lvlJc w:val="left"/>
      <w:pPr>
        <w:ind w:left="5040" w:hanging="360"/>
      </w:pPr>
    </w:lvl>
    <w:lvl w:ilvl="7" w:tplc="DEB67EF2">
      <w:start w:val="1"/>
      <w:numFmt w:val="bullet"/>
      <w:lvlText w:val="●"/>
      <w:lvlJc w:val="left"/>
      <w:pPr>
        <w:ind w:left="5760" w:hanging="360"/>
      </w:pPr>
    </w:lvl>
    <w:lvl w:ilvl="8" w:tplc="7EC247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4AD"/>
    <w:rsid w:val="00024C04"/>
    <w:rsid w:val="00257A52"/>
    <w:rsid w:val="00DB04AD"/>
    <w:rsid w:val="00F6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B5532"/>
  <w15:docId w15:val="{02327F45-5136-4530-B01A-F6E2CDD8A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ans 3" w:eastAsia="Source Sans 3" w:hAnsi="Source Sans 3" w:cs="Source Sans 3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Лунев Андрей Эдуардович \ Andrei Lunev</cp:lastModifiedBy>
  <cp:revision>2</cp:revision>
  <dcterms:created xsi:type="dcterms:W3CDTF">2026-04-20T12:44:00Z</dcterms:created>
  <dcterms:modified xsi:type="dcterms:W3CDTF">2026-04-20T12:44:00Z</dcterms:modified>
</cp:coreProperties>
</file>