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9A0A" w14:textId="21C8BA0B" w:rsidR="0000790C" w:rsidRPr="00067ED0" w:rsidRDefault="0000790C" w:rsidP="0000790C">
      <w:pPr>
        <w:ind w:firstLine="708"/>
        <w:jc w:val="center"/>
        <w:rPr>
          <w:b/>
          <w:bCs/>
          <w:i/>
          <w:iCs/>
          <w:lang w:val="en-US"/>
        </w:rPr>
      </w:pPr>
      <w:r w:rsidRPr="00067ED0">
        <w:rPr>
          <w:b/>
          <w:bCs/>
          <w:i/>
          <w:iCs/>
          <w:lang w:val="en-US"/>
        </w:rPr>
        <w:t>Explanatory note to the repository</w:t>
      </w:r>
    </w:p>
    <w:p w14:paraId="697875A7" w14:textId="7A807013" w:rsidR="00505AAC" w:rsidRDefault="00E36FCD" w:rsidP="00E36FCD">
      <w:pPr>
        <w:ind w:firstLine="708"/>
        <w:jc w:val="both"/>
        <w:rPr>
          <w:lang w:val="en-US"/>
        </w:rPr>
      </w:pPr>
      <w:r w:rsidRPr="00E36FCD">
        <w:rPr>
          <w:lang w:val="en-US"/>
        </w:rPr>
        <w:t xml:space="preserve">This work was developed as part of a study of the Russian corporate bond defaults that occurred in the period from 2008 to 2018. The </w:t>
      </w:r>
      <w:r w:rsidR="00914A04">
        <w:rPr>
          <w:lang w:val="en-US"/>
        </w:rPr>
        <w:t>idea</w:t>
      </w:r>
      <w:r w:rsidRPr="00E36FCD">
        <w:rPr>
          <w:lang w:val="en-US"/>
        </w:rPr>
        <w:t xml:space="preserve"> was to develop a mathematical model capable of predicting an issuer's default based on its financial statements. The motivation for the study was the fact that there is no source of financial statements of</w:t>
      </w:r>
      <w:r>
        <w:rPr>
          <w:lang w:val="en-US"/>
        </w:rPr>
        <w:t xml:space="preserve"> </w:t>
      </w:r>
      <w:r w:rsidR="00914A04">
        <w:rPr>
          <w:lang w:val="en-US"/>
        </w:rPr>
        <w:t>R</w:t>
      </w:r>
      <w:r>
        <w:rPr>
          <w:lang w:val="en-US"/>
        </w:rPr>
        <w:t>ussian</w:t>
      </w:r>
      <w:r w:rsidRPr="00E36FCD">
        <w:rPr>
          <w:lang w:val="en-US"/>
        </w:rPr>
        <w:t xml:space="preserve"> companies issuing bonds and relevant works researching the Russian debt securities market. </w:t>
      </w:r>
      <w:r w:rsidR="00207F67">
        <w:rPr>
          <w:lang w:val="en-US"/>
        </w:rPr>
        <w:t>Author</w:t>
      </w:r>
      <w:r w:rsidR="00207F67" w:rsidRPr="00207F67">
        <w:rPr>
          <w:lang w:val="en-US"/>
        </w:rPr>
        <w:t xml:space="preserve"> investigated corporate bonds that were </w:t>
      </w:r>
      <w:r w:rsidR="00207F67">
        <w:rPr>
          <w:lang w:val="en-US"/>
        </w:rPr>
        <w:t>listed</w:t>
      </w:r>
      <w:r w:rsidR="00207F67" w:rsidRPr="00207F67">
        <w:rPr>
          <w:lang w:val="en-US"/>
        </w:rPr>
        <w:t xml:space="preserve"> on Russian stock exchanges in rubles</w:t>
      </w:r>
      <w:r w:rsidR="00207F67">
        <w:rPr>
          <w:lang w:val="en-US"/>
        </w:rPr>
        <w:t xml:space="preserve">. </w:t>
      </w:r>
      <w:r w:rsidRPr="00E36FCD">
        <w:rPr>
          <w:lang w:val="en-US"/>
        </w:rPr>
        <w:t>All the necessary information was collected in the Spark system.</w:t>
      </w:r>
    </w:p>
    <w:p w14:paraId="0AD6205F" w14:textId="06136F62" w:rsidR="00E36FCD" w:rsidRDefault="00E36FCD" w:rsidP="00E36FCD">
      <w:pPr>
        <w:ind w:firstLine="708"/>
        <w:jc w:val="both"/>
        <w:rPr>
          <w:lang w:val="en-US"/>
        </w:rPr>
      </w:pPr>
      <w:r w:rsidRPr="00E36FCD">
        <w:rPr>
          <w:lang w:val="en-US"/>
        </w:rPr>
        <w:t xml:space="preserve">At the first step of the study, it was necessary to analyze </w:t>
      </w:r>
      <w:r w:rsidR="00914A04">
        <w:rPr>
          <w:lang w:val="en-US"/>
        </w:rPr>
        <w:t>all</w:t>
      </w:r>
      <w:r w:rsidRPr="00E36FCD">
        <w:rPr>
          <w:lang w:val="en-US"/>
        </w:rPr>
        <w:t xml:space="preserve"> types of defaults and their frequency to select the most relevant financial indicators of companies. The study did not include issuers representing the financial sector, since the reporting of such companies differs from the reporting of other industries. Based on the collected statistics, it </w:t>
      </w:r>
      <w:r w:rsidR="00914A04">
        <w:rPr>
          <w:lang w:val="en-US"/>
        </w:rPr>
        <w:t>turned to be</w:t>
      </w:r>
      <w:r w:rsidRPr="00E36FCD">
        <w:rPr>
          <w:lang w:val="en-US"/>
        </w:rPr>
        <w:t xml:space="preserve"> obvious that the lack of funds became the most frequent reason both in terms of the number of companies and the amount</w:t>
      </w:r>
      <w:r>
        <w:rPr>
          <w:lang w:val="en-US"/>
        </w:rPr>
        <w:t xml:space="preserve"> (in RUB) </w:t>
      </w:r>
      <w:r w:rsidRPr="00E36FCD">
        <w:rPr>
          <w:lang w:val="en-US"/>
        </w:rPr>
        <w:t>of unfulfilled obligations. The statistics of the types of defaults are presented in Table 1.</w:t>
      </w:r>
    </w:p>
    <w:p w14:paraId="61EBB51E" w14:textId="1C2F5081" w:rsidR="00E36FCD" w:rsidRDefault="00E36FCD" w:rsidP="00E36FCD">
      <w:pPr>
        <w:ind w:firstLine="708"/>
        <w:jc w:val="right"/>
        <w:rPr>
          <w:lang w:val="en-US"/>
        </w:rPr>
      </w:pPr>
      <w:r w:rsidRPr="00E36FCD">
        <w:rPr>
          <w:lang w:val="en-US"/>
        </w:rPr>
        <w:t>Table 1. Statistics of defaults</w:t>
      </w:r>
      <w:r w:rsidR="00914A04">
        <w:rPr>
          <w:lang w:val="en-US"/>
        </w:rPr>
        <w:t xml:space="preserve"> of Russian bonds issuers</w:t>
      </w:r>
      <w:r w:rsidRPr="00E36FCD">
        <w:rPr>
          <w:lang w:val="en-US"/>
        </w:rPr>
        <w:t xml:space="preserve"> for 2008-2018</w:t>
      </w:r>
    </w:p>
    <w:tbl>
      <w:tblPr>
        <w:tblStyle w:val="a3"/>
        <w:tblW w:w="9354" w:type="dxa"/>
        <w:tblLook w:val="04A0" w:firstRow="1" w:lastRow="0" w:firstColumn="1" w:lastColumn="0" w:noHBand="0" w:noVBand="1"/>
      </w:tblPr>
      <w:tblGrid>
        <w:gridCol w:w="3118"/>
        <w:gridCol w:w="3118"/>
        <w:gridCol w:w="3118"/>
      </w:tblGrid>
      <w:tr w:rsidR="00E36FCD" w:rsidRPr="00083FEE" w14:paraId="64FB974A" w14:textId="77777777" w:rsidTr="00E36FCD">
        <w:trPr>
          <w:trHeight w:val="20"/>
        </w:trPr>
        <w:tc>
          <w:tcPr>
            <w:tcW w:w="3118" w:type="dxa"/>
          </w:tcPr>
          <w:p w14:paraId="4F08AD46" w14:textId="3499A03F" w:rsidR="00E36FCD" w:rsidRPr="00E36FCD" w:rsidRDefault="00E36FCD" w:rsidP="00F52522">
            <w:pPr>
              <w:spacing w:line="360" w:lineRule="auto"/>
              <w:jc w:val="center"/>
              <w:rPr>
                <w:b/>
                <w:bCs/>
              </w:rPr>
            </w:pPr>
            <w:r w:rsidRPr="00E36FCD">
              <w:rPr>
                <w:b/>
                <w:bCs/>
                <w:lang w:val="en-US"/>
              </w:rPr>
              <w:t>The r</w:t>
            </w:r>
            <w:r w:rsidRPr="00E36FCD">
              <w:rPr>
                <w:b/>
                <w:bCs/>
              </w:rPr>
              <w:t>eason for default</w:t>
            </w:r>
          </w:p>
        </w:tc>
        <w:tc>
          <w:tcPr>
            <w:tcW w:w="3118" w:type="dxa"/>
          </w:tcPr>
          <w:p w14:paraId="1AEC2315" w14:textId="784B2A9F" w:rsidR="00E36FCD" w:rsidRPr="00E36FCD" w:rsidRDefault="00E36FCD" w:rsidP="00F52522">
            <w:pPr>
              <w:spacing w:line="360" w:lineRule="auto"/>
              <w:jc w:val="center"/>
              <w:rPr>
                <w:b/>
                <w:bCs/>
                <w:lang w:val="en-US"/>
              </w:rPr>
            </w:pPr>
            <w:r w:rsidRPr="00E36FCD">
              <w:rPr>
                <w:b/>
                <w:bCs/>
                <w:lang w:val="en-US"/>
              </w:rPr>
              <w:t>Number of companies</w:t>
            </w:r>
          </w:p>
        </w:tc>
        <w:tc>
          <w:tcPr>
            <w:tcW w:w="3118" w:type="dxa"/>
          </w:tcPr>
          <w:p w14:paraId="700AAF7F" w14:textId="314184A9" w:rsidR="00E36FCD" w:rsidRPr="00E36FCD" w:rsidRDefault="00E36FCD" w:rsidP="00F52522">
            <w:pPr>
              <w:spacing w:line="360" w:lineRule="auto"/>
              <w:jc w:val="center"/>
              <w:rPr>
                <w:b/>
                <w:bCs/>
                <w:lang w:val="en-US"/>
              </w:rPr>
            </w:pPr>
            <w:r w:rsidRPr="00E36FCD">
              <w:rPr>
                <w:b/>
                <w:bCs/>
                <w:lang w:val="en-US"/>
              </w:rPr>
              <w:t>The amount of unfulfilled obligations (RUB)</w:t>
            </w:r>
          </w:p>
        </w:tc>
      </w:tr>
      <w:tr w:rsidR="00E36FCD" w:rsidRPr="00C95643" w14:paraId="28FD0401" w14:textId="77777777" w:rsidTr="00E36FCD">
        <w:trPr>
          <w:trHeight w:val="20"/>
        </w:trPr>
        <w:tc>
          <w:tcPr>
            <w:tcW w:w="3118" w:type="dxa"/>
          </w:tcPr>
          <w:p w14:paraId="22E7F157" w14:textId="1400D62B" w:rsidR="00E36FCD" w:rsidRPr="007F064A" w:rsidRDefault="00E36FCD" w:rsidP="00F52522">
            <w:pPr>
              <w:spacing w:line="360" w:lineRule="auto"/>
              <w:jc w:val="center"/>
            </w:pPr>
            <w:r w:rsidRPr="00E36FCD">
              <w:t>Restructuring</w:t>
            </w:r>
          </w:p>
        </w:tc>
        <w:tc>
          <w:tcPr>
            <w:tcW w:w="3118" w:type="dxa"/>
          </w:tcPr>
          <w:p w14:paraId="372248F5" w14:textId="77777777" w:rsidR="00E36FCD" w:rsidRPr="007F064A" w:rsidRDefault="00E36FCD" w:rsidP="00F52522">
            <w:pPr>
              <w:spacing w:line="360" w:lineRule="auto"/>
              <w:jc w:val="center"/>
            </w:pPr>
            <w:r w:rsidRPr="007F064A">
              <w:t>14</w:t>
            </w:r>
          </w:p>
        </w:tc>
        <w:tc>
          <w:tcPr>
            <w:tcW w:w="3118" w:type="dxa"/>
          </w:tcPr>
          <w:p w14:paraId="3955BB3E" w14:textId="290B3D88" w:rsidR="00E36FCD" w:rsidRPr="007F064A" w:rsidRDefault="00E36FCD" w:rsidP="00F52522">
            <w:pPr>
              <w:jc w:val="center"/>
            </w:pPr>
            <w:r w:rsidRPr="007F064A">
              <w:t>9 371 699 074,79</w:t>
            </w:r>
          </w:p>
        </w:tc>
      </w:tr>
      <w:tr w:rsidR="00E36FCD" w:rsidRPr="00C95643" w14:paraId="6D0F11FA" w14:textId="77777777" w:rsidTr="00E36FCD">
        <w:trPr>
          <w:trHeight w:val="20"/>
        </w:trPr>
        <w:tc>
          <w:tcPr>
            <w:tcW w:w="3118" w:type="dxa"/>
          </w:tcPr>
          <w:p w14:paraId="0D8F62F9" w14:textId="69C569A6" w:rsidR="00E36FCD" w:rsidRPr="007F064A" w:rsidRDefault="00E36FCD" w:rsidP="00F52522">
            <w:pPr>
              <w:spacing w:line="360" w:lineRule="auto"/>
              <w:jc w:val="center"/>
            </w:pPr>
            <w:r w:rsidRPr="00E36FCD">
              <w:t>Restriction on satisfying claims</w:t>
            </w:r>
          </w:p>
        </w:tc>
        <w:tc>
          <w:tcPr>
            <w:tcW w:w="3118" w:type="dxa"/>
          </w:tcPr>
          <w:p w14:paraId="50D49E4F" w14:textId="77777777" w:rsidR="00E36FCD" w:rsidRPr="007F064A" w:rsidRDefault="00E36FCD" w:rsidP="00F52522">
            <w:pPr>
              <w:spacing w:line="360" w:lineRule="auto"/>
              <w:jc w:val="center"/>
            </w:pPr>
            <w:r w:rsidRPr="007F064A">
              <w:t>12</w:t>
            </w:r>
          </w:p>
        </w:tc>
        <w:tc>
          <w:tcPr>
            <w:tcW w:w="3118" w:type="dxa"/>
          </w:tcPr>
          <w:p w14:paraId="07CA0ADA" w14:textId="6DB83734" w:rsidR="00E36FCD" w:rsidRPr="007F064A" w:rsidRDefault="00E36FCD" w:rsidP="00F52522">
            <w:pPr>
              <w:spacing w:line="360" w:lineRule="auto"/>
              <w:jc w:val="center"/>
            </w:pPr>
            <w:r w:rsidRPr="007F064A">
              <w:t>4 190 431 330,75</w:t>
            </w:r>
          </w:p>
        </w:tc>
      </w:tr>
      <w:tr w:rsidR="00E36FCD" w:rsidRPr="00C95643" w14:paraId="05D8644C" w14:textId="77777777" w:rsidTr="00E36FCD">
        <w:trPr>
          <w:trHeight w:val="20"/>
        </w:trPr>
        <w:tc>
          <w:tcPr>
            <w:tcW w:w="3118" w:type="dxa"/>
          </w:tcPr>
          <w:p w14:paraId="76319A47" w14:textId="4CCDC137" w:rsidR="00E36FCD" w:rsidRPr="00E36FCD" w:rsidRDefault="00E36FCD" w:rsidP="00F52522">
            <w:pPr>
              <w:spacing w:line="360" w:lineRule="auto"/>
              <w:jc w:val="center"/>
              <w:rPr>
                <w:lang w:val="en-US"/>
              </w:rPr>
            </w:pPr>
            <w:r>
              <w:rPr>
                <w:lang w:val="en-US"/>
              </w:rPr>
              <w:t>Lack of funds</w:t>
            </w:r>
          </w:p>
        </w:tc>
        <w:tc>
          <w:tcPr>
            <w:tcW w:w="3118" w:type="dxa"/>
          </w:tcPr>
          <w:p w14:paraId="67F89CBD" w14:textId="77777777" w:rsidR="00E36FCD" w:rsidRPr="007F064A" w:rsidRDefault="00E36FCD" w:rsidP="00F52522">
            <w:pPr>
              <w:jc w:val="center"/>
            </w:pPr>
            <w:r w:rsidRPr="007F064A">
              <w:t>249</w:t>
            </w:r>
          </w:p>
          <w:p w14:paraId="47A1DDBE" w14:textId="77777777" w:rsidR="00E36FCD" w:rsidRPr="007F064A" w:rsidRDefault="00E36FCD" w:rsidP="00F52522">
            <w:pPr>
              <w:spacing w:line="360" w:lineRule="auto"/>
              <w:jc w:val="center"/>
            </w:pPr>
          </w:p>
        </w:tc>
        <w:tc>
          <w:tcPr>
            <w:tcW w:w="3118" w:type="dxa"/>
          </w:tcPr>
          <w:p w14:paraId="27C4AF1F" w14:textId="3443D7D1" w:rsidR="00E36FCD" w:rsidRPr="007F064A" w:rsidRDefault="00E36FCD" w:rsidP="00F52522">
            <w:pPr>
              <w:jc w:val="center"/>
            </w:pPr>
            <w:r w:rsidRPr="007F064A">
              <w:t>188 478 274 256,83</w:t>
            </w:r>
          </w:p>
          <w:p w14:paraId="3F7EFDB8" w14:textId="77777777" w:rsidR="00E36FCD" w:rsidRPr="007F064A" w:rsidRDefault="00E36FCD" w:rsidP="00F52522">
            <w:pPr>
              <w:spacing w:line="360" w:lineRule="auto"/>
              <w:jc w:val="center"/>
            </w:pPr>
          </w:p>
        </w:tc>
      </w:tr>
      <w:tr w:rsidR="00E36FCD" w:rsidRPr="00C95643" w14:paraId="724FB898" w14:textId="77777777" w:rsidTr="00E36FCD">
        <w:trPr>
          <w:trHeight w:val="20"/>
        </w:trPr>
        <w:tc>
          <w:tcPr>
            <w:tcW w:w="3118" w:type="dxa"/>
          </w:tcPr>
          <w:p w14:paraId="598C7307" w14:textId="11059DCA" w:rsidR="00E36FCD" w:rsidRPr="00E36FCD" w:rsidRDefault="00E36FCD" w:rsidP="00F52522">
            <w:pPr>
              <w:spacing w:line="360" w:lineRule="auto"/>
              <w:jc w:val="center"/>
              <w:rPr>
                <w:lang w:val="en-US"/>
              </w:rPr>
            </w:pPr>
            <w:r>
              <w:rPr>
                <w:lang w:val="en-US"/>
              </w:rPr>
              <w:t>Bankruptcy</w:t>
            </w:r>
          </w:p>
        </w:tc>
        <w:tc>
          <w:tcPr>
            <w:tcW w:w="3118" w:type="dxa"/>
          </w:tcPr>
          <w:p w14:paraId="7C25AEF4" w14:textId="77777777" w:rsidR="00E36FCD" w:rsidRPr="007F064A" w:rsidRDefault="00E36FCD" w:rsidP="00F52522">
            <w:pPr>
              <w:spacing w:line="360" w:lineRule="auto"/>
              <w:jc w:val="center"/>
            </w:pPr>
            <w:r w:rsidRPr="007F064A">
              <w:t>44</w:t>
            </w:r>
          </w:p>
        </w:tc>
        <w:tc>
          <w:tcPr>
            <w:tcW w:w="3118" w:type="dxa"/>
          </w:tcPr>
          <w:p w14:paraId="4CB5B78F" w14:textId="111DB8CD" w:rsidR="00E36FCD" w:rsidRPr="007F064A" w:rsidRDefault="00E36FCD" w:rsidP="00F52522">
            <w:pPr>
              <w:jc w:val="center"/>
            </w:pPr>
            <w:r w:rsidRPr="007F064A">
              <w:t>21 240 119 318,33</w:t>
            </w:r>
          </w:p>
        </w:tc>
      </w:tr>
      <w:tr w:rsidR="00E36FCD" w:rsidRPr="00C95643" w14:paraId="72172108" w14:textId="77777777" w:rsidTr="00E36FCD">
        <w:trPr>
          <w:trHeight w:val="20"/>
        </w:trPr>
        <w:tc>
          <w:tcPr>
            <w:tcW w:w="3118" w:type="dxa"/>
          </w:tcPr>
          <w:p w14:paraId="7769A2A4" w14:textId="305B64A4" w:rsidR="00E36FCD" w:rsidRPr="007F064A" w:rsidRDefault="00E36FCD" w:rsidP="00F52522">
            <w:pPr>
              <w:spacing w:line="360" w:lineRule="auto"/>
              <w:jc w:val="center"/>
            </w:pPr>
            <w:r w:rsidRPr="00E36FCD">
              <w:t>Impossibility of conducting operations</w:t>
            </w:r>
          </w:p>
        </w:tc>
        <w:tc>
          <w:tcPr>
            <w:tcW w:w="3118" w:type="dxa"/>
          </w:tcPr>
          <w:p w14:paraId="2A915E7F" w14:textId="77777777" w:rsidR="00E36FCD" w:rsidRPr="007F064A" w:rsidRDefault="00E36FCD" w:rsidP="00F52522">
            <w:pPr>
              <w:spacing w:line="360" w:lineRule="auto"/>
              <w:jc w:val="center"/>
            </w:pPr>
            <w:r w:rsidRPr="007F064A">
              <w:t>21</w:t>
            </w:r>
          </w:p>
        </w:tc>
        <w:tc>
          <w:tcPr>
            <w:tcW w:w="3118" w:type="dxa"/>
          </w:tcPr>
          <w:p w14:paraId="25E2FDCA" w14:textId="14AD76F6" w:rsidR="00E36FCD" w:rsidRPr="007F064A" w:rsidRDefault="00E36FCD" w:rsidP="00F52522">
            <w:pPr>
              <w:jc w:val="center"/>
            </w:pPr>
            <w:r w:rsidRPr="007F064A">
              <w:t>4 489 407 941,20</w:t>
            </w:r>
          </w:p>
          <w:p w14:paraId="102EE515" w14:textId="77777777" w:rsidR="00E36FCD" w:rsidRPr="007F064A" w:rsidRDefault="00E36FCD" w:rsidP="00F52522">
            <w:pPr>
              <w:spacing w:line="360" w:lineRule="auto"/>
              <w:jc w:val="center"/>
            </w:pPr>
          </w:p>
        </w:tc>
      </w:tr>
      <w:tr w:rsidR="00E36FCD" w:rsidRPr="00C95643" w14:paraId="19F88744" w14:textId="77777777" w:rsidTr="00E36FCD">
        <w:trPr>
          <w:trHeight w:val="20"/>
        </w:trPr>
        <w:tc>
          <w:tcPr>
            <w:tcW w:w="3118" w:type="dxa"/>
          </w:tcPr>
          <w:p w14:paraId="7C5B17E7" w14:textId="311754ED" w:rsidR="00E36FCD" w:rsidRPr="00E36FCD" w:rsidRDefault="00E36FCD" w:rsidP="00F52522">
            <w:pPr>
              <w:spacing w:line="360" w:lineRule="auto"/>
              <w:jc w:val="center"/>
              <w:rPr>
                <w:lang w:val="en-US"/>
              </w:rPr>
            </w:pPr>
            <w:r>
              <w:rPr>
                <w:lang w:val="en-US"/>
              </w:rPr>
              <w:t>No information</w:t>
            </w:r>
          </w:p>
        </w:tc>
        <w:tc>
          <w:tcPr>
            <w:tcW w:w="3118" w:type="dxa"/>
          </w:tcPr>
          <w:p w14:paraId="4DB0FD9E" w14:textId="77777777" w:rsidR="00E36FCD" w:rsidRPr="007F064A" w:rsidRDefault="00E36FCD" w:rsidP="00F52522">
            <w:pPr>
              <w:spacing w:line="360" w:lineRule="auto"/>
              <w:jc w:val="center"/>
            </w:pPr>
            <w:r w:rsidRPr="007F064A">
              <w:t>21</w:t>
            </w:r>
          </w:p>
        </w:tc>
        <w:tc>
          <w:tcPr>
            <w:tcW w:w="3118" w:type="dxa"/>
          </w:tcPr>
          <w:p w14:paraId="19FE6440" w14:textId="2FB2B110" w:rsidR="00E36FCD" w:rsidRPr="007F064A" w:rsidRDefault="00E36FCD" w:rsidP="00F52522">
            <w:pPr>
              <w:jc w:val="center"/>
            </w:pPr>
            <w:r w:rsidRPr="007F064A">
              <w:t>7 355 820 313,24</w:t>
            </w:r>
          </w:p>
          <w:p w14:paraId="4F58BA86" w14:textId="77777777" w:rsidR="00E36FCD" w:rsidRPr="007F064A" w:rsidRDefault="00E36FCD" w:rsidP="00F52522">
            <w:pPr>
              <w:spacing w:line="360" w:lineRule="auto"/>
              <w:jc w:val="center"/>
            </w:pPr>
          </w:p>
        </w:tc>
      </w:tr>
    </w:tbl>
    <w:p w14:paraId="080E1FED" w14:textId="77777777" w:rsidR="00E36FCD" w:rsidRDefault="00E36FCD" w:rsidP="00E36FCD">
      <w:pPr>
        <w:ind w:firstLine="708"/>
        <w:rPr>
          <w:lang w:val="en-US"/>
        </w:rPr>
      </w:pPr>
    </w:p>
    <w:p w14:paraId="13BA6A91" w14:textId="76D41868" w:rsidR="00E36FCD" w:rsidRPr="00E36FCD" w:rsidRDefault="00E36FCD" w:rsidP="00E36FCD">
      <w:pPr>
        <w:jc w:val="both"/>
        <w:rPr>
          <w:lang w:val="en-US"/>
        </w:rPr>
      </w:pPr>
      <w:r w:rsidRPr="00E36FCD">
        <w:rPr>
          <w:lang w:val="en-US"/>
        </w:rPr>
        <w:t xml:space="preserve">In the work, it was assumed that the default of the issuing company can be indicated by financial indicators calculated for the year preceding the year of default. For example, if a company defaulted in 2015, then financials for 2014 may indicate an impending issuer default. For non-default companies, this method of calculating financial indicators is not suitable, therefore, financial indicators were calculated for all years of the bond's life (except for the first year of life, since no payments may occur during this period (for example, zero-coupon bonds)), and then the year was chosen in which the values ​​of financial indicators were the lowest. For example, if a company's bond was </w:t>
      </w:r>
      <w:r>
        <w:rPr>
          <w:lang w:val="en-US"/>
        </w:rPr>
        <w:t>listed</w:t>
      </w:r>
      <w:r w:rsidRPr="00E36FCD">
        <w:rPr>
          <w:lang w:val="en-US"/>
        </w:rPr>
        <w:t xml:space="preserve"> on the stock exchange in the period from 2010 to 2015, then the financial indicators are calculated for 2011-2014, and the year with the lowest indicator is selected. It is assumed that if the company, even with its lowest financial performance, was able to remain stable and prevent default, then such indicators are the minimum necessary to classify the company as default or non-default. As a result of collecting data, the sample consisted of 300 non-default companies and 56 default companies. Final database consisting of 210 companies and 31 financial records. The number of companies in the sample is less than the number of bond issues during this time.</w:t>
      </w:r>
      <w:r>
        <w:rPr>
          <w:lang w:val="en-US"/>
        </w:rPr>
        <w:t xml:space="preserve"> </w:t>
      </w:r>
      <w:r w:rsidRPr="00E36FCD">
        <w:rPr>
          <w:lang w:val="en-US"/>
        </w:rPr>
        <w:t>This was due to the following factors:</w:t>
      </w:r>
    </w:p>
    <w:p w14:paraId="7196F53E" w14:textId="37D69588" w:rsidR="00E36FCD" w:rsidRPr="00E36FCD" w:rsidRDefault="00E36FCD" w:rsidP="00E36FCD">
      <w:pPr>
        <w:jc w:val="both"/>
        <w:rPr>
          <w:lang w:val="en-US"/>
        </w:rPr>
      </w:pPr>
      <w:r w:rsidRPr="00E36FCD">
        <w:rPr>
          <w:lang w:val="en-US"/>
        </w:rPr>
        <w:t xml:space="preserve">1. </w:t>
      </w:r>
      <w:r>
        <w:rPr>
          <w:lang w:val="en-US"/>
        </w:rPr>
        <w:t>It is impossible to</w:t>
      </w:r>
      <w:r w:rsidRPr="00E36FCD">
        <w:rPr>
          <w:lang w:val="en-US"/>
        </w:rPr>
        <w:t xml:space="preserve"> find </w:t>
      </w:r>
      <w:r>
        <w:rPr>
          <w:lang w:val="en-US"/>
        </w:rPr>
        <w:t>annual report</w:t>
      </w:r>
      <w:r w:rsidRPr="00E36FCD">
        <w:rPr>
          <w:lang w:val="en-US"/>
        </w:rPr>
        <w:t xml:space="preserve"> of the company.</w:t>
      </w:r>
    </w:p>
    <w:p w14:paraId="474B510C" w14:textId="463778AF" w:rsidR="00E36FCD" w:rsidRPr="00E36FCD" w:rsidRDefault="00E36FCD" w:rsidP="00E36FCD">
      <w:pPr>
        <w:jc w:val="both"/>
        <w:rPr>
          <w:lang w:val="en-US"/>
        </w:rPr>
      </w:pPr>
      <w:r w:rsidRPr="00E36FCD">
        <w:rPr>
          <w:lang w:val="en-US"/>
        </w:rPr>
        <w:t xml:space="preserve">2. It was not possible to find </w:t>
      </w:r>
      <w:r>
        <w:rPr>
          <w:lang w:val="en-US"/>
        </w:rPr>
        <w:t>annual report</w:t>
      </w:r>
      <w:r w:rsidRPr="00E36FCD">
        <w:rPr>
          <w:lang w:val="en-US"/>
        </w:rPr>
        <w:t xml:space="preserve"> of the company for the required year.</w:t>
      </w:r>
    </w:p>
    <w:p w14:paraId="58F1D7DF" w14:textId="3E336191" w:rsidR="00E36FCD" w:rsidRDefault="00E36FCD" w:rsidP="00E36FCD">
      <w:pPr>
        <w:jc w:val="both"/>
        <w:rPr>
          <w:lang w:val="en-US"/>
        </w:rPr>
      </w:pPr>
      <w:r w:rsidRPr="00E36FCD">
        <w:rPr>
          <w:lang w:val="en-US"/>
        </w:rPr>
        <w:lastRenderedPageBreak/>
        <w:t xml:space="preserve">3. </w:t>
      </w:r>
      <w:r>
        <w:rPr>
          <w:lang w:val="en-US"/>
        </w:rPr>
        <w:t>Annual report</w:t>
      </w:r>
      <w:r w:rsidRPr="00E36FCD">
        <w:rPr>
          <w:lang w:val="en-US"/>
        </w:rPr>
        <w:t xml:space="preserve"> for the required year is empty.</w:t>
      </w:r>
    </w:p>
    <w:p w14:paraId="5432C560" w14:textId="5FFE1794" w:rsidR="00E36FCD" w:rsidRDefault="00E36FCD" w:rsidP="00E36FCD">
      <w:pPr>
        <w:jc w:val="both"/>
        <w:rPr>
          <w:lang w:val="en-US"/>
        </w:rPr>
      </w:pPr>
      <w:r w:rsidRPr="00E36FCD">
        <w:rPr>
          <w:lang w:val="en-US"/>
        </w:rPr>
        <w:t xml:space="preserve">Lack of funds and bankruptcy, as the most common causes of defaults, suggest that the cause of defaults should have been sought in the incorrect management of the company's liquidity, as well as in the inability to service its own debt. Based on this, a list of used financial multipliers was </w:t>
      </w:r>
      <w:r>
        <w:rPr>
          <w:lang w:val="en-US"/>
        </w:rPr>
        <w:t>s</w:t>
      </w:r>
      <w:r w:rsidRPr="00E36FCD">
        <w:rPr>
          <w:lang w:val="en-US"/>
        </w:rPr>
        <w:t>elected,</w:t>
      </w:r>
      <w:r>
        <w:rPr>
          <w:lang w:val="en-US"/>
        </w:rPr>
        <w:t xml:space="preserve"> and it is</w:t>
      </w:r>
      <w:r w:rsidRPr="00E36FCD">
        <w:rPr>
          <w:lang w:val="en-US"/>
        </w:rPr>
        <w:t xml:space="preserve"> presented in table 2.</w:t>
      </w:r>
    </w:p>
    <w:p w14:paraId="18D2525E" w14:textId="49B814E2" w:rsidR="00E36FCD" w:rsidRDefault="00E36FCD" w:rsidP="00E36FCD">
      <w:pPr>
        <w:jc w:val="right"/>
        <w:rPr>
          <w:lang w:val="en-US"/>
        </w:rPr>
      </w:pPr>
      <w:r w:rsidRPr="00E36FCD">
        <w:rPr>
          <w:lang w:val="en-US"/>
        </w:rPr>
        <w:t>Table 2. Financial</w:t>
      </w:r>
      <w:r w:rsidRPr="00E36FCD">
        <w:t xml:space="preserve"> </w:t>
      </w:r>
      <w:r w:rsidRPr="00E36FCD">
        <w:rPr>
          <w:lang w:val="en-US"/>
        </w:rPr>
        <w:t>multipliers</w:t>
      </w:r>
    </w:p>
    <w:tbl>
      <w:tblPr>
        <w:tblStyle w:val="a3"/>
        <w:tblW w:w="0" w:type="auto"/>
        <w:tblLook w:val="04A0" w:firstRow="1" w:lastRow="0" w:firstColumn="1" w:lastColumn="0" w:noHBand="0" w:noVBand="1"/>
      </w:tblPr>
      <w:tblGrid>
        <w:gridCol w:w="634"/>
        <w:gridCol w:w="2500"/>
        <w:gridCol w:w="6211"/>
      </w:tblGrid>
      <w:tr w:rsidR="00E36FCD" w:rsidRPr="00E51FAB" w14:paraId="5DF0FA05" w14:textId="77777777" w:rsidTr="00E36FCD">
        <w:trPr>
          <w:trHeight w:val="370"/>
        </w:trPr>
        <w:tc>
          <w:tcPr>
            <w:tcW w:w="634" w:type="dxa"/>
            <w:hideMark/>
          </w:tcPr>
          <w:p w14:paraId="5ADA9C7E" w14:textId="77777777" w:rsidR="00E36FCD" w:rsidRPr="00E36FCD" w:rsidRDefault="00E36FCD" w:rsidP="00E36FCD">
            <w:pPr>
              <w:jc w:val="center"/>
              <w:rPr>
                <w:b/>
                <w:bCs/>
              </w:rPr>
            </w:pPr>
            <w:r w:rsidRPr="00E36FCD">
              <w:rPr>
                <w:b/>
                <w:bCs/>
              </w:rPr>
              <w:t>№</w:t>
            </w:r>
          </w:p>
        </w:tc>
        <w:tc>
          <w:tcPr>
            <w:tcW w:w="2500" w:type="dxa"/>
            <w:hideMark/>
          </w:tcPr>
          <w:p w14:paraId="0FB26BD0" w14:textId="2EB3CCD6" w:rsidR="00E36FCD" w:rsidRPr="00E36FCD" w:rsidRDefault="00610DF2" w:rsidP="00E36FCD">
            <w:pPr>
              <w:jc w:val="center"/>
              <w:rPr>
                <w:b/>
                <w:bCs/>
              </w:rPr>
            </w:pPr>
            <w:r>
              <w:rPr>
                <w:b/>
                <w:bCs/>
                <w:lang w:val="en-US"/>
              </w:rPr>
              <w:t>Multiplier</w:t>
            </w:r>
            <w:r w:rsidR="00E36FCD" w:rsidRPr="00E36FCD">
              <w:rPr>
                <w:b/>
                <w:bCs/>
              </w:rPr>
              <w:t xml:space="preserve"> name</w:t>
            </w:r>
          </w:p>
        </w:tc>
        <w:tc>
          <w:tcPr>
            <w:tcW w:w="6211" w:type="dxa"/>
            <w:hideMark/>
          </w:tcPr>
          <w:p w14:paraId="4ADEBC77" w14:textId="12CABD35" w:rsidR="00E36FCD" w:rsidRPr="00E36FCD" w:rsidRDefault="00E36FCD" w:rsidP="00E36FCD">
            <w:pPr>
              <w:jc w:val="center"/>
              <w:rPr>
                <w:b/>
                <w:bCs/>
              </w:rPr>
            </w:pPr>
            <w:r w:rsidRPr="00E36FCD">
              <w:rPr>
                <w:b/>
                <w:bCs/>
              </w:rPr>
              <w:t>Calculation method</w:t>
            </w:r>
          </w:p>
        </w:tc>
      </w:tr>
      <w:tr w:rsidR="00E36FCD" w:rsidRPr="00E51FAB" w14:paraId="0589CABC" w14:textId="77777777" w:rsidTr="00E36FCD">
        <w:trPr>
          <w:trHeight w:val="730"/>
        </w:trPr>
        <w:tc>
          <w:tcPr>
            <w:tcW w:w="634" w:type="dxa"/>
            <w:hideMark/>
          </w:tcPr>
          <w:p w14:paraId="00B47507" w14:textId="77777777" w:rsidR="00E36FCD" w:rsidRPr="00E51FAB" w:rsidRDefault="00E36FCD" w:rsidP="00067ED0">
            <w:pPr>
              <w:jc w:val="center"/>
            </w:pPr>
            <w:r w:rsidRPr="00E51FAB">
              <w:t>1</w:t>
            </w:r>
          </w:p>
        </w:tc>
        <w:tc>
          <w:tcPr>
            <w:tcW w:w="2500" w:type="dxa"/>
            <w:hideMark/>
          </w:tcPr>
          <w:p w14:paraId="25FA2D8A" w14:textId="332888F1" w:rsidR="00E36FCD" w:rsidRPr="00E51FAB" w:rsidRDefault="00E36FCD" w:rsidP="00E36FCD">
            <w:r w:rsidRPr="00635326">
              <w:t>Current liquidity ratio</w:t>
            </w:r>
          </w:p>
        </w:tc>
        <w:tc>
          <w:tcPr>
            <w:tcW w:w="6211" w:type="dxa"/>
            <w:hideMark/>
          </w:tcPr>
          <w:p w14:paraId="09B1D01E" w14:textId="054A5FF8" w:rsidR="00E36FCD" w:rsidRPr="00E51FAB" w:rsidRDefault="00E36FCD" w:rsidP="00E36FCD">
            <w:r w:rsidRPr="001213CF">
              <w:t xml:space="preserve">Current assets / </w:t>
            </w:r>
            <w:r>
              <w:rPr>
                <w:lang w:val="en-US"/>
              </w:rPr>
              <w:t>C</w:t>
            </w:r>
            <w:r w:rsidRPr="001213CF">
              <w:t>urrent liabilities</w:t>
            </w:r>
          </w:p>
        </w:tc>
      </w:tr>
      <w:tr w:rsidR="00E36FCD" w:rsidRPr="00083FEE" w14:paraId="720E6CAD" w14:textId="77777777" w:rsidTr="00E36FCD">
        <w:trPr>
          <w:trHeight w:val="730"/>
        </w:trPr>
        <w:tc>
          <w:tcPr>
            <w:tcW w:w="634" w:type="dxa"/>
            <w:hideMark/>
          </w:tcPr>
          <w:p w14:paraId="12333021" w14:textId="77777777" w:rsidR="00E36FCD" w:rsidRPr="00E51FAB" w:rsidRDefault="00E36FCD" w:rsidP="00067ED0">
            <w:pPr>
              <w:jc w:val="center"/>
            </w:pPr>
            <w:r w:rsidRPr="00E51FAB">
              <w:t>2</w:t>
            </w:r>
          </w:p>
        </w:tc>
        <w:tc>
          <w:tcPr>
            <w:tcW w:w="2500" w:type="dxa"/>
            <w:hideMark/>
          </w:tcPr>
          <w:p w14:paraId="50CA290F" w14:textId="1199BC9F" w:rsidR="00E36FCD" w:rsidRPr="00E51FAB" w:rsidRDefault="00E36FCD" w:rsidP="00E36FCD">
            <w:r w:rsidRPr="00635326">
              <w:t>Quick</w:t>
            </w:r>
            <w:r w:rsidR="00AE2631">
              <w:rPr>
                <w:lang w:val="en-US"/>
              </w:rPr>
              <w:t xml:space="preserve"> liquidity</w:t>
            </w:r>
            <w:r w:rsidRPr="00635326">
              <w:t xml:space="preserve"> ratio</w:t>
            </w:r>
          </w:p>
        </w:tc>
        <w:tc>
          <w:tcPr>
            <w:tcW w:w="6211" w:type="dxa"/>
            <w:hideMark/>
          </w:tcPr>
          <w:p w14:paraId="7695F615" w14:textId="510ECFCF" w:rsidR="00E36FCD" w:rsidRPr="00E36FCD" w:rsidRDefault="00E36FCD" w:rsidP="00E36FCD">
            <w:pPr>
              <w:rPr>
                <w:lang w:val="en-US"/>
              </w:rPr>
            </w:pPr>
            <w:r w:rsidRPr="00E36FCD">
              <w:rPr>
                <w:lang w:val="en-US"/>
              </w:rPr>
              <w:t xml:space="preserve">(Short-term receivables + short-term financial investments + cash) / </w:t>
            </w:r>
            <w:r>
              <w:rPr>
                <w:lang w:val="en-US"/>
              </w:rPr>
              <w:t>S</w:t>
            </w:r>
            <w:r w:rsidRPr="00E36FCD">
              <w:rPr>
                <w:lang w:val="en-US"/>
              </w:rPr>
              <w:t>hort-term liabilities</w:t>
            </w:r>
          </w:p>
        </w:tc>
      </w:tr>
      <w:tr w:rsidR="00E36FCD" w:rsidRPr="00083FEE" w14:paraId="6713B7DE" w14:textId="77777777" w:rsidTr="00E36FCD">
        <w:trPr>
          <w:trHeight w:val="730"/>
        </w:trPr>
        <w:tc>
          <w:tcPr>
            <w:tcW w:w="634" w:type="dxa"/>
            <w:hideMark/>
          </w:tcPr>
          <w:p w14:paraId="2E6C1C2A" w14:textId="77777777" w:rsidR="00E36FCD" w:rsidRPr="00E51FAB" w:rsidRDefault="00E36FCD" w:rsidP="00067ED0">
            <w:pPr>
              <w:jc w:val="center"/>
            </w:pPr>
            <w:r w:rsidRPr="00E51FAB">
              <w:t>3</w:t>
            </w:r>
          </w:p>
        </w:tc>
        <w:tc>
          <w:tcPr>
            <w:tcW w:w="2500" w:type="dxa"/>
            <w:hideMark/>
          </w:tcPr>
          <w:p w14:paraId="04813FB8" w14:textId="73E31347" w:rsidR="00E36FCD" w:rsidRPr="00E51FAB" w:rsidRDefault="00E36FCD" w:rsidP="00E36FCD">
            <w:r w:rsidRPr="00635326">
              <w:t>Absolute liquidity ratio</w:t>
            </w:r>
          </w:p>
        </w:tc>
        <w:tc>
          <w:tcPr>
            <w:tcW w:w="6211" w:type="dxa"/>
            <w:hideMark/>
          </w:tcPr>
          <w:p w14:paraId="6D761BC1" w14:textId="0274B0D5" w:rsidR="00E36FCD" w:rsidRPr="00E36FCD" w:rsidRDefault="00E36FCD" w:rsidP="00E36FCD">
            <w:pPr>
              <w:rPr>
                <w:lang w:val="en-US"/>
              </w:rPr>
            </w:pPr>
            <w:r w:rsidRPr="00E36FCD">
              <w:rPr>
                <w:lang w:val="en-US"/>
              </w:rPr>
              <w:t xml:space="preserve">(Short-term financial investments + cash) / </w:t>
            </w:r>
            <w:r>
              <w:rPr>
                <w:lang w:val="en-US"/>
              </w:rPr>
              <w:t>S</w:t>
            </w:r>
            <w:r w:rsidRPr="00E36FCD">
              <w:rPr>
                <w:lang w:val="en-US"/>
              </w:rPr>
              <w:t>hort-term liabilities</w:t>
            </w:r>
          </w:p>
        </w:tc>
      </w:tr>
      <w:tr w:rsidR="00E36FCD" w:rsidRPr="00E51FAB" w14:paraId="34D3700F" w14:textId="77777777" w:rsidTr="00E36FCD">
        <w:trPr>
          <w:trHeight w:val="730"/>
        </w:trPr>
        <w:tc>
          <w:tcPr>
            <w:tcW w:w="634" w:type="dxa"/>
            <w:hideMark/>
          </w:tcPr>
          <w:p w14:paraId="7A81AA1E" w14:textId="77777777" w:rsidR="00E36FCD" w:rsidRPr="00E51FAB" w:rsidRDefault="00E36FCD" w:rsidP="00067ED0">
            <w:pPr>
              <w:jc w:val="center"/>
            </w:pPr>
            <w:r w:rsidRPr="00E51FAB">
              <w:t>4</w:t>
            </w:r>
          </w:p>
        </w:tc>
        <w:tc>
          <w:tcPr>
            <w:tcW w:w="2500" w:type="dxa"/>
            <w:hideMark/>
          </w:tcPr>
          <w:p w14:paraId="5B68455F" w14:textId="2532ACFE" w:rsidR="00E36FCD" w:rsidRPr="00E51FAB" w:rsidRDefault="00E36FCD" w:rsidP="00E36FCD">
            <w:r w:rsidRPr="00635326">
              <w:t xml:space="preserve">Long-term debt / </w:t>
            </w:r>
            <w:r>
              <w:rPr>
                <w:lang w:val="en-US"/>
              </w:rPr>
              <w:t>E</w:t>
            </w:r>
            <w:r w:rsidRPr="00635326">
              <w:t>quity</w:t>
            </w:r>
          </w:p>
        </w:tc>
        <w:tc>
          <w:tcPr>
            <w:tcW w:w="6211" w:type="dxa"/>
            <w:hideMark/>
          </w:tcPr>
          <w:p w14:paraId="4A3A2CBF" w14:textId="7F0BC638" w:rsidR="00E36FCD" w:rsidRPr="00E51FAB" w:rsidRDefault="00E36FCD" w:rsidP="00E36FCD">
            <w:r w:rsidRPr="001213CF">
              <w:t xml:space="preserve">Long-term debt / </w:t>
            </w:r>
            <w:r>
              <w:rPr>
                <w:lang w:val="en-US"/>
              </w:rPr>
              <w:t>E</w:t>
            </w:r>
            <w:r w:rsidRPr="001213CF">
              <w:t>quity</w:t>
            </w:r>
          </w:p>
        </w:tc>
      </w:tr>
      <w:tr w:rsidR="00E36FCD" w:rsidRPr="00E51FAB" w14:paraId="40074C97" w14:textId="77777777" w:rsidTr="00E36FCD">
        <w:trPr>
          <w:trHeight w:val="730"/>
        </w:trPr>
        <w:tc>
          <w:tcPr>
            <w:tcW w:w="634" w:type="dxa"/>
            <w:hideMark/>
          </w:tcPr>
          <w:p w14:paraId="2E7EACAB" w14:textId="77777777" w:rsidR="00E36FCD" w:rsidRPr="00E51FAB" w:rsidRDefault="00E36FCD" w:rsidP="00067ED0">
            <w:pPr>
              <w:jc w:val="center"/>
            </w:pPr>
            <w:r w:rsidRPr="00E51FAB">
              <w:t>5</w:t>
            </w:r>
          </w:p>
        </w:tc>
        <w:tc>
          <w:tcPr>
            <w:tcW w:w="2500" w:type="dxa"/>
            <w:hideMark/>
          </w:tcPr>
          <w:p w14:paraId="4CB2DEF5" w14:textId="63D156E7" w:rsidR="00E36FCD" w:rsidRPr="00E51FAB" w:rsidRDefault="00E36FCD" w:rsidP="00E36FCD">
            <w:r w:rsidRPr="00635326">
              <w:t>Financial leverage effect</w:t>
            </w:r>
          </w:p>
        </w:tc>
        <w:tc>
          <w:tcPr>
            <w:tcW w:w="6211" w:type="dxa"/>
            <w:hideMark/>
          </w:tcPr>
          <w:p w14:paraId="052037BF" w14:textId="6DD95683" w:rsidR="00E36FCD" w:rsidRPr="00E51FAB" w:rsidRDefault="00E36FCD" w:rsidP="00E36FCD">
            <w:r w:rsidRPr="001213CF">
              <w:t>ROE-ROA</w:t>
            </w:r>
          </w:p>
        </w:tc>
      </w:tr>
      <w:tr w:rsidR="00E36FCD" w:rsidRPr="00E36FCD" w14:paraId="48107DDA" w14:textId="77777777" w:rsidTr="00E36FCD">
        <w:trPr>
          <w:trHeight w:val="370"/>
        </w:trPr>
        <w:tc>
          <w:tcPr>
            <w:tcW w:w="634" w:type="dxa"/>
            <w:hideMark/>
          </w:tcPr>
          <w:p w14:paraId="73120B27" w14:textId="77777777" w:rsidR="00E36FCD" w:rsidRPr="00E51FAB" w:rsidRDefault="00E36FCD" w:rsidP="00067ED0">
            <w:pPr>
              <w:jc w:val="center"/>
            </w:pPr>
            <w:r w:rsidRPr="00E51FAB">
              <w:t>6</w:t>
            </w:r>
          </w:p>
        </w:tc>
        <w:tc>
          <w:tcPr>
            <w:tcW w:w="2500" w:type="dxa"/>
            <w:hideMark/>
          </w:tcPr>
          <w:p w14:paraId="1642D041" w14:textId="2008E154" w:rsidR="00E36FCD" w:rsidRPr="00E51FAB" w:rsidRDefault="00E36FCD" w:rsidP="00E36FCD">
            <w:r w:rsidRPr="00635326">
              <w:t>ROA</w:t>
            </w:r>
          </w:p>
        </w:tc>
        <w:tc>
          <w:tcPr>
            <w:tcW w:w="6211" w:type="dxa"/>
            <w:hideMark/>
          </w:tcPr>
          <w:p w14:paraId="1C3C1579" w14:textId="79CEAD10" w:rsidR="00E36FCD" w:rsidRPr="00E36FCD" w:rsidRDefault="00E36FCD" w:rsidP="00E36FCD">
            <w:pPr>
              <w:rPr>
                <w:lang w:val="en-US"/>
              </w:rPr>
            </w:pPr>
            <w:r w:rsidRPr="00E36FCD">
              <w:rPr>
                <w:lang w:val="en-US"/>
              </w:rPr>
              <w:t xml:space="preserve">Net </w:t>
            </w:r>
            <w:r>
              <w:rPr>
                <w:lang w:val="en-US"/>
              </w:rPr>
              <w:t>P</w:t>
            </w:r>
            <w:r w:rsidRPr="00E36FCD">
              <w:rPr>
                <w:lang w:val="en-US"/>
              </w:rPr>
              <w:t xml:space="preserve">rofit / </w:t>
            </w:r>
            <w:r>
              <w:rPr>
                <w:lang w:val="en-US"/>
              </w:rPr>
              <w:t>B</w:t>
            </w:r>
            <w:r w:rsidRPr="00E36FCD">
              <w:rPr>
                <w:lang w:val="en-US"/>
              </w:rPr>
              <w:t>alance</w:t>
            </w:r>
          </w:p>
        </w:tc>
      </w:tr>
      <w:tr w:rsidR="00E36FCD" w:rsidRPr="00E51FAB" w14:paraId="12FEF1DA" w14:textId="77777777" w:rsidTr="00E36FCD">
        <w:trPr>
          <w:trHeight w:val="370"/>
        </w:trPr>
        <w:tc>
          <w:tcPr>
            <w:tcW w:w="634" w:type="dxa"/>
            <w:hideMark/>
          </w:tcPr>
          <w:p w14:paraId="3BB8E532" w14:textId="77777777" w:rsidR="00E36FCD" w:rsidRPr="00E51FAB" w:rsidRDefault="00E36FCD" w:rsidP="00067ED0">
            <w:pPr>
              <w:jc w:val="center"/>
            </w:pPr>
            <w:r w:rsidRPr="00E51FAB">
              <w:t>7</w:t>
            </w:r>
          </w:p>
        </w:tc>
        <w:tc>
          <w:tcPr>
            <w:tcW w:w="2500" w:type="dxa"/>
            <w:hideMark/>
          </w:tcPr>
          <w:p w14:paraId="3F3D7034" w14:textId="49A7006D" w:rsidR="00E36FCD" w:rsidRPr="00E51FAB" w:rsidRDefault="00E36FCD" w:rsidP="00E36FCD">
            <w:r w:rsidRPr="00635326">
              <w:t>ROE</w:t>
            </w:r>
          </w:p>
        </w:tc>
        <w:tc>
          <w:tcPr>
            <w:tcW w:w="6211" w:type="dxa"/>
            <w:hideMark/>
          </w:tcPr>
          <w:p w14:paraId="330647D8" w14:textId="029AA74B" w:rsidR="00E36FCD" w:rsidRPr="00E51FAB" w:rsidRDefault="00E36FCD" w:rsidP="00E36FCD">
            <w:r w:rsidRPr="001213CF">
              <w:t xml:space="preserve">Net </w:t>
            </w:r>
            <w:r>
              <w:rPr>
                <w:lang w:val="en-US"/>
              </w:rPr>
              <w:t>P</w:t>
            </w:r>
            <w:r w:rsidRPr="001213CF">
              <w:t xml:space="preserve">rofit / </w:t>
            </w:r>
            <w:r>
              <w:rPr>
                <w:lang w:val="en-US"/>
              </w:rPr>
              <w:t>E</w:t>
            </w:r>
            <w:r w:rsidRPr="001213CF">
              <w:t>quity</w:t>
            </w:r>
          </w:p>
        </w:tc>
      </w:tr>
      <w:tr w:rsidR="00E36FCD" w:rsidRPr="00083FEE" w14:paraId="2DD6C638" w14:textId="77777777" w:rsidTr="00E36FCD">
        <w:trPr>
          <w:trHeight w:val="1090"/>
        </w:trPr>
        <w:tc>
          <w:tcPr>
            <w:tcW w:w="634" w:type="dxa"/>
            <w:hideMark/>
          </w:tcPr>
          <w:p w14:paraId="5990FD81" w14:textId="77777777" w:rsidR="00E36FCD" w:rsidRPr="00E51FAB" w:rsidRDefault="00E36FCD" w:rsidP="00067ED0">
            <w:pPr>
              <w:jc w:val="center"/>
            </w:pPr>
            <w:r w:rsidRPr="00E51FAB">
              <w:t>8</w:t>
            </w:r>
          </w:p>
        </w:tc>
        <w:tc>
          <w:tcPr>
            <w:tcW w:w="2500" w:type="dxa"/>
            <w:hideMark/>
          </w:tcPr>
          <w:p w14:paraId="2A5A1861" w14:textId="696066E4" w:rsidR="00E36FCD" w:rsidRPr="00E51FAB" w:rsidRDefault="00E36FCD" w:rsidP="00E36FCD">
            <w:r w:rsidRPr="00635326">
              <w:t>Debt concentration ratio</w:t>
            </w:r>
          </w:p>
        </w:tc>
        <w:tc>
          <w:tcPr>
            <w:tcW w:w="6211" w:type="dxa"/>
            <w:hideMark/>
          </w:tcPr>
          <w:p w14:paraId="5D6604E6" w14:textId="3D5F0820" w:rsidR="00E36FCD" w:rsidRPr="00E36FCD" w:rsidRDefault="00E36FCD" w:rsidP="00E36FCD">
            <w:pPr>
              <w:rPr>
                <w:lang w:val="en-US"/>
              </w:rPr>
            </w:pPr>
            <w:r w:rsidRPr="00E36FCD">
              <w:rPr>
                <w:lang w:val="en-US"/>
              </w:rPr>
              <w:t>(Short-term liabilities + long-term liabilities) / Balance</w:t>
            </w:r>
          </w:p>
        </w:tc>
      </w:tr>
      <w:tr w:rsidR="00E36FCD" w:rsidRPr="00083FEE" w14:paraId="16205A37" w14:textId="77777777" w:rsidTr="00E36FCD">
        <w:trPr>
          <w:trHeight w:val="1450"/>
        </w:trPr>
        <w:tc>
          <w:tcPr>
            <w:tcW w:w="634" w:type="dxa"/>
            <w:hideMark/>
          </w:tcPr>
          <w:p w14:paraId="237F23F1" w14:textId="77777777" w:rsidR="00E36FCD" w:rsidRPr="00E51FAB" w:rsidRDefault="00E36FCD" w:rsidP="00067ED0">
            <w:pPr>
              <w:jc w:val="center"/>
            </w:pPr>
            <w:r w:rsidRPr="00E51FAB">
              <w:t>9</w:t>
            </w:r>
          </w:p>
        </w:tc>
        <w:tc>
          <w:tcPr>
            <w:tcW w:w="2500" w:type="dxa"/>
            <w:hideMark/>
          </w:tcPr>
          <w:p w14:paraId="5F92A6F8" w14:textId="7B5D52EC" w:rsidR="00E36FCD" w:rsidRPr="00E36FCD" w:rsidRDefault="00E36FCD" w:rsidP="00E36FCD">
            <w:pPr>
              <w:rPr>
                <w:lang w:val="en-US"/>
              </w:rPr>
            </w:pPr>
            <w:r w:rsidRPr="00E36FCD">
              <w:rPr>
                <w:lang w:val="en-US"/>
              </w:rPr>
              <w:t>Coefficient of provision with own circulating assets</w:t>
            </w:r>
          </w:p>
        </w:tc>
        <w:tc>
          <w:tcPr>
            <w:tcW w:w="6211" w:type="dxa"/>
            <w:hideMark/>
          </w:tcPr>
          <w:p w14:paraId="181C70CE" w14:textId="77599EFB" w:rsidR="00E36FCD" w:rsidRPr="00E36FCD" w:rsidRDefault="00E36FCD" w:rsidP="00E36FCD">
            <w:pPr>
              <w:rPr>
                <w:lang w:val="en-US"/>
              </w:rPr>
            </w:pPr>
            <w:r w:rsidRPr="00E36FCD">
              <w:rPr>
                <w:lang w:val="en-US"/>
              </w:rPr>
              <w:t>(Equity - Non-current assets) / Current assets</w:t>
            </w:r>
          </w:p>
        </w:tc>
      </w:tr>
      <w:tr w:rsidR="00E36FCD" w:rsidRPr="00E51FAB" w14:paraId="5FC500CB" w14:textId="77777777" w:rsidTr="00E36FCD">
        <w:trPr>
          <w:trHeight w:val="730"/>
        </w:trPr>
        <w:tc>
          <w:tcPr>
            <w:tcW w:w="634" w:type="dxa"/>
            <w:hideMark/>
          </w:tcPr>
          <w:p w14:paraId="7231BF7A" w14:textId="77777777" w:rsidR="00E36FCD" w:rsidRPr="00E51FAB" w:rsidRDefault="00E36FCD" w:rsidP="00067ED0">
            <w:pPr>
              <w:jc w:val="center"/>
            </w:pPr>
            <w:r w:rsidRPr="00E51FAB">
              <w:t>10</w:t>
            </w:r>
          </w:p>
        </w:tc>
        <w:tc>
          <w:tcPr>
            <w:tcW w:w="2500" w:type="dxa"/>
            <w:hideMark/>
          </w:tcPr>
          <w:p w14:paraId="798BA0CE" w14:textId="199F3117" w:rsidR="00E36FCD" w:rsidRPr="00E51FAB" w:rsidRDefault="00E36FCD" w:rsidP="00E36FCD">
            <w:r w:rsidRPr="00635326">
              <w:t>Operating profit margin</w:t>
            </w:r>
          </w:p>
        </w:tc>
        <w:tc>
          <w:tcPr>
            <w:tcW w:w="6211" w:type="dxa"/>
            <w:hideMark/>
          </w:tcPr>
          <w:p w14:paraId="7CA4F7D7" w14:textId="3F34B121" w:rsidR="00E36FCD" w:rsidRPr="00E51FAB" w:rsidRDefault="00E36FCD" w:rsidP="00E36FCD">
            <w:r w:rsidRPr="001213CF">
              <w:t>Operating profit / Revenue</w:t>
            </w:r>
          </w:p>
        </w:tc>
      </w:tr>
      <w:tr w:rsidR="00E36FCD" w:rsidRPr="00E51FAB" w14:paraId="33C779D1" w14:textId="77777777" w:rsidTr="00E36FCD">
        <w:trPr>
          <w:trHeight w:val="370"/>
        </w:trPr>
        <w:tc>
          <w:tcPr>
            <w:tcW w:w="634" w:type="dxa"/>
            <w:hideMark/>
          </w:tcPr>
          <w:p w14:paraId="23BC582B" w14:textId="77777777" w:rsidR="00E36FCD" w:rsidRPr="00E51FAB" w:rsidRDefault="00E36FCD" w:rsidP="00067ED0">
            <w:pPr>
              <w:jc w:val="center"/>
            </w:pPr>
            <w:r w:rsidRPr="00E51FAB">
              <w:t>11</w:t>
            </w:r>
          </w:p>
        </w:tc>
        <w:tc>
          <w:tcPr>
            <w:tcW w:w="2500" w:type="dxa"/>
            <w:hideMark/>
          </w:tcPr>
          <w:p w14:paraId="0B8F3D18" w14:textId="0E55D1A4" w:rsidR="00E36FCD" w:rsidRPr="00E51FAB" w:rsidRDefault="00E36FCD" w:rsidP="00E36FCD">
            <w:r w:rsidRPr="00635326">
              <w:t>Financial stability</w:t>
            </w:r>
          </w:p>
        </w:tc>
        <w:tc>
          <w:tcPr>
            <w:tcW w:w="6211" w:type="dxa"/>
            <w:hideMark/>
          </w:tcPr>
          <w:p w14:paraId="11278289" w14:textId="180F1E48" w:rsidR="00E36FCD" w:rsidRPr="00E51FAB" w:rsidRDefault="00E36FCD" w:rsidP="00E36FCD">
            <w:r w:rsidRPr="001213CF">
              <w:t>Equity / Balance</w:t>
            </w:r>
          </w:p>
        </w:tc>
      </w:tr>
      <w:tr w:rsidR="00E36FCD" w:rsidRPr="00E51FAB" w14:paraId="6A0AB1A3" w14:textId="77777777" w:rsidTr="00E36FCD">
        <w:trPr>
          <w:trHeight w:val="730"/>
        </w:trPr>
        <w:tc>
          <w:tcPr>
            <w:tcW w:w="634" w:type="dxa"/>
            <w:hideMark/>
          </w:tcPr>
          <w:p w14:paraId="06991BAC" w14:textId="77777777" w:rsidR="00E36FCD" w:rsidRPr="00E51FAB" w:rsidRDefault="00E36FCD" w:rsidP="00067ED0">
            <w:pPr>
              <w:jc w:val="center"/>
            </w:pPr>
            <w:r w:rsidRPr="00E51FAB">
              <w:t>12</w:t>
            </w:r>
          </w:p>
        </w:tc>
        <w:tc>
          <w:tcPr>
            <w:tcW w:w="2500" w:type="dxa"/>
            <w:hideMark/>
          </w:tcPr>
          <w:p w14:paraId="3AC759AB" w14:textId="0F66C582" w:rsidR="00E36FCD" w:rsidRPr="00E51FAB" w:rsidRDefault="00E36FCD" w:rsidP="00E36FCD">
            <w:r w:rsidRPr="00635326">
              <w:t>Interest coverage ratio</w:t>
            </w:r>
          </w:p>
        </w:tc>
        <w:tc>
          <w:tcPr>
            <w:tcW w:w="6211" w:type="dxa"/>
            <w:hideMark/>
          </w:tcPr>
          <w:p w14:paraId="0CC7DA34" w14:textId="70176C09" w:rsidR="00E36FCD" w:rsidRPr="00E51FAB" w:rsidRDefault="00E36FCD" w:rsidP="00E36FCD">
            <w:r w:rsidRPr="001213CF">
              <w:t>EBIT / Interest Payable</w:t>
            </w:r>
          </w:p>
        </w:tc>
      </w:tr>
      <w:tr w:rsidR="00E36FCD" w:rsidRPr="00083FEE" w14:paraId="7B726AB6" w14:textId="77777777" w:rsidTr="00E36FCD">
        <w:trPr>
          <w:trHeight w:val="370"/>
        </w:trPr>
        <w:tc>
          <w:tcPr>
            <w:tcW w:w="634" w:type="dxa"/>
            <w:hideMark/>
          </w:tcPr>
          <w:p w14:paraId="374DB59F" w14:textId="77777777" w:rsidR="00E36FCD" w:rsidRPr="00E51FAB" w:rsidRDefault="00E36FCD" w:rsidP="00067ED0">
            <w:pPr>
              <w:jc w:val="center"/>
            </w:pPr>
            <w:r w:rsidRPr="00E51FAB">
              <w:t>13</w:t>
            </w:r>
          </w:p>
        </w:tc>
        <w:tc>
          <w:tcPr>
            <w:tcW w:w="2500" w:type="dxa"/>
            <w:hideMark/>
          </w:tcPr>
          <w:p w14:paraId="3B3D74D2" w14:textId="2D33208F" w:rsidR="00E36FCD" w:rsidRPr="00E51FAB" w:rsidRDefault="00E36FCD" w:rsidP="00E36FCD">
            <w:r w:rsidRPr="00635326">
              <w:t>Revenue growth rate</w:t>
            </w:r>
          </w:p>
        </w:tc>
        <w:tc>
          <w:tcPr>
            <w:tcW w:w="6211" w:type="dxa"/>
            <w:hideMark/>
          </w:tcPr>
          <w:p w14:paraId="3FB770E2" w14:textId="5907FD45" w:rsidR="00E36FCD" w:rsidRPr="00E36FCD" w:rsidRDefault="00E36FCD" w:rsidP="00E36FCD">
            <w:pPr>
              <w:rPr>
                <w:lang w:val="en-US"/>
              </w:rPr>
            </w:pPr>
            <w:r w:rsidRPr="00E36FCD">
              <w:rPr>
                <w:lang w:val="en-US"/>
              </w:rPr>
              <w:t>Revenue (n-year) / Revenue (n-1 year), where n</w:t>
            </w:r>
            <w:r w:rsidR="00AE2631">
              <w:rPr>
                <w:lang w:val="en-US"/>
              </w:rPr>
              <w:t xml:space="preserve"> </w:t>
            </w:r>
            <w:r w:rsidRPr="00E36FCD">
              <w:rPr>
                <w:lang w:val="en-US"/>
              </w:rPr>
              <w:t>- year before default</w:t>
            </w:r>
          </w:p>
        </w:tc>
      </w:tr>
    </w:tbl>
    <w:p w14:paraId="3605F81F" w14:textId="228C1869" w:rsidR="00E36FCD" w:rsidRDefault="00E36FCD" w:rsidP="00E36FCD">
      <w:pPr>
        <w:rPr>
          <w:lang w:val="en-US"/>
        </w:rPr>
      </w:pPr>
    </w:p>
    <w:p w14:paraId="58CF1E47" w14:textId="77777777" w:rsidR="00AE2631" w:rsidRPr="00AE2631" w:rsidRDefault="00AE2631" w:rsidP="00AE2631">
      <w:pPr>
        <w:rPr>
          <w:lang w:val="en-US"/>
        </w:rPr>
      </w:pPr>
      <w:r w:rsidRPr="00AE2631">
        <w:rPr>
          <w:lang w:val="en-US"/>
        </w:rPr>
        <w:t>Due to the lack of values in the data, 2 methods of processing the collected database were sequentially applied:</w:t>
      </w:r>
    </w:p>
    <w:p w14:paraId="1CC9819B" w14:textId="77777777" w:rsidR="00AE2631" w:rsidRPr="00AE2631" w:rsidRDefault="00AE2631" w:rsidP="00AE2631">
      <w:pPr>
        <w:rPr>
          <w:lang w:val="en-US"/>
        </w:rPr>
      </w:pPr>
      <w:r w:rsidRPr="00AE2631">
        <w:rPr>
          <w:lang w:val="en-US"/>
        </w:rPr>
        <w:t>1) Removing companies whose share of missing values exceeds 30%</w:t>
      </w:r>
    </w:p>
    <w:p w14:paraId="73912D89" w14:textId="3A06E093" w:rsidR="00AE2631" w:rsidRDefault="00AE2631" w:rsidP="00AE2631">
      <w:pPr>
        <w:rPr>
          <w:lang w:val="en-US"/>
        </w:rPr>
      </w:pPr>
      <w:r w:rsidRPr="00AE2631">
        <w:rPr>
          <w:lang w:val="en-US"/>
        </w:rPr>
        <w:t xml:space="preserve">2) Filling in the missing data using the method of means (filling in the missing data with more complex methods, such as </w:t>
      </w:r>
      <w:r>
        <w:rPr>
          <w:lang w:val="en-US"/>
        </w:rPr>
        <w:t>bagging</w:t>
      </w:r>
      <w:r w:rsidRPr="00AE2631">
        <w:rPr>
          <w:lang w:val="en-US"/>
        </w:rPr>
        <w:t xml:space="preserve">, does not improve the </w:t>
      </w:r>
      <w:r>
        <w:rPr>
          <w:lang w:val="en-US"/>
        </w:rPr>
        <w:t>accuracy of</w:t>
      </w:r>
      <w:r w:rsidRPr="00AE2631">
        <w:rPr>
          <w:lang w:val="en-US"/>
        </w:rPr>
        <w:t xml:space="preserve"> the </w:t>
      </w:r>
      <w:r>
        <w:rPr>
          <w:lang w:val="en-US"/>
        </w:rPr>
        <w:t>estimated</w:t>
      </w:r>
      <w:r w:rsidRPr="00AE2631">
        <w:rPr>
          <w:lang w:val="en-US"/>
        </w:rPr>
        <w:t xml:space="preserve"> models). This method was applied separately for default and non-standard companies.</w:t>
      </w:r>
    </w:p>
    <w:p w14:paraId="34E22B4A" w14:textId="14EC24DD" w:rsidR="00A93981" w:rsidRDefault="00A93981" w:rsidP="00AE2631">
      <w:pPr>
        <w:rPr>
          <w:lang w:val="en-US"/>
        </w:rPr>
      </w:pPr>
      <w:r>
        <w:rPr>
          <w:lang w:val="en-US"/>
        </w:rPr>
        <w:lastRenderedPageBreak/>
        <w:t>3) T</w:t>
      </w:r>
      <w:r w:rsidRPr="00A93981">
        <w:rPr>
          <w:lang w:val="en-US"/>
        </w:rPr>
        <w:t>he data was divided into training and test samples in an 80/20 ratio</w:t>
      </w:r>
    </w:p>
    <w:p w14:paraId="2952E2CE" w14:textId="77777777" w:rsidR="00AE2631" w:rsidRPr="00AE2631" w:rsidRDefault="00AE2631" w:rsidP="00AE2631">
      <w:pPr>
        <w:rPr>
          <w:lang w:val="en-US"/>
        </w:rPr>
      </w:pPr>
      <w:r w:rsidRPr="00AE2631">
        <w:rPr>
          <w:lang w:val="en-US"/>
        </w:rPr>
        <w:t>Further, the following models were calculated:</w:t>
      </w:r>
    </w:p>
    <w:p w14:paraId="6BD3AEB5" w14:textId="77777777" w:rsidR="00AE2631" w:rsidRPr="00AE2631" w:rsidRDefault="00AE2631" w:rsidP="00AE2631">
      <w:pPr>
        <w:rPr>
          <w:b/>
          <w:bCs/>
          <w:i/>
          <w:iCs/>
          <w:lang w:val="en-US"/>
        </w:rPr>
      </w:pPr>
      <w:r w:rsidRPr="00AE2631">
        <w:rPr>
          <w:b/>
          <w:bCs/>
          <w:i/>
          <w:iCs/>
          <w:lang w:val="en-US"/>
        </w:rPr>
        <w:t>1) Logit regression</w:t>
      </w:r>
    </w:p>
    <w:p w14:paraId="39D810E9" w14:textId="7A9330FD" w:rsidR="00AE2631" w:rsidRDefault="00AE2631" w:rsidP="00AE2631">
      <w:pPr>
        <w:ind w:firstLine="708"/>
        <w:jc w:val="both"/>
        <w:rPr>
          <w:lang w:val="en-US"/>
        </w:rPr>
      </w:pPr>
      <w:r w:rsidRPr="00AE2631">
        <w:rPr>
          <w:lang w:val="en-US"/>
        </w:rPr>
        <w:t xml:space="preserve">15% of companies were randomly selected from the sample for the test. The remaining 85% of the companies constituted the training sample. Significant financial </w:t>
      </w:r>
      <w:r w:rsidR="00610DF2">
        <w:rPr>
          <w:lang w:val="en-US"/>
        </w:rPr>
        <w:t>multipliers</w:t>
      </w:r>
      <w:r w:rsidRPr="00AE2631">
        <w:rPr>
          <w:lang w:val="en-US"/>
        </w:rPr>
        <w:t xml:space="preserve"> (at 10% significance level) were х2 - </w:t>
      </w:r>
      <w:r>
        <w:rPr>
          <w:lang w:val="en-US"/>
        </w:rPr>
        <w:t>Q</w:t>
      </w:r>
      <w:r w:rsidRPr="00AE2631">
        <w:rPr>
          <w:lang w:val="en-US"/>
        </w:rPr>
        <w:t xml:space="preserve">uick liquidity ratio; х11 - </w:t>
      </w:r>
      <w:r>
        <w:rPr>
          <w:lang w:val="en-US"/>
        </w:rPr>
        <w:t>F</w:t>
      </w:r>
      <w:r w:rsidRPr="00AE2631">
        <w:rPr>
          <w:lang w:val="en-US"/>
        </w:rPr>
        <w:t>inancial stability; х12 - Interest coverage ratio (see picture 1). The accuracy of the model on the training and test samples was 70.95% and 73.33%, respectively.</w:t>
      </w:r>
      <w:r>
        <w:rPr>
          <w:lang w:val="en-US"/>
        </w:rPr>
        <w:br/>
      </w:r>
    </w:p>
    <w:p w14:paraId="6570CE0C" w14:textId="7E2ED43A" w:rsidR="00AE2631" w:rsidRDefault="00AE2631" w:rsidP="00AE2631">
      <w:pPr>
        <w:ind w:firstLine="708"/>
        <w:jc w:val="right"/>
        <w:rPr>
          <w:lang w:val="en-US"/>
        </w:rPr>
      </w:pPr>
      <w:r>
        <w:rPr>
          <w:lang w:val="en-US"/>
        </w:rPr>
        <w:t>Figure</w:t>
      </w:r>
      <w:r w:rsidRPr="00AE2631">
        <w:rPr>
          <w:lang w:val="en-US"/>
        </w:rPr>
        <w:t xml:space="preserve"> 1. Logit regression</w:t>
      </w:r>
    </w:p>
    <w:p w14:paraId="6F907B87" w14:textId="1DC04F6B" w:rsidR="00AE2631" w:rsidRDefault="00AE2631" w:rsidP="00AE2631">
      <w:pPr>
        <w:ind w:firstLine="708"/>
        <w:rPr>
          <w:lang w:val="en-US"/>
        </w:rPr>
      </w:pPr>
      <w:r w:rsidRPr="00B72F60">
        <w:rPr>
          <w:rFonts w:ascii="Times New Roman" w:hAnsi="Times New Roman" w:cs="Times New Roman"/>
          <w:noProof/>
          <w:sz w:val="28"/>
          <w:szCs w:val="28"/>
          <w:lang w:eastAsia="ru-RU"/>
        </w:rPr>
        <w:drawing>
          <wp:inline distT="0" distB="0" distL="0" distR="0" wp14:anchorId="70177AB9" wp14:editId="559A5BCB">
            <wp:extent cx="5468293" cy="2407285"/>
            <wp:effectExtent l="0" t="0" r="0" b="0"/>
            <wp:docPr id="72" name="Рисунок 7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72" descr="Изображение выглядит как текст&#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168" cy="2448611"/>
                    </a:xfrm>
                    <a:prstGeom prst="rect">
                      <a:avLst/>
                    </a:prstGeom>
                    <a:noFill/>
                    <a:ln>
                      <a:noFill/>
                    </a:ln>
                  </pic:spPr>
                </pic:pic>
              </a:graphicData>
            </a:graphic>
          </wp:inline>
        </w:drawing>
      </w:r>
    </w:p>
    <w:p w14:paraId="764BC220" w14:textId="6B344B5A" w:rsidR="00AE2631" w:rsidRPr="00AE2631" w:rsidRDefault="00AE2631" w:rsidP="00AE2631">
      <w:pPr>
        <w:rPr>
          <w:lang w:val="en-US"/>
        </w:rPr>
      </w:pPr>
      <w:r w:rsidRPr="00AE2631">
        <w:rPr>
          <w:b/>
          <w:bCs/>
          <w:i/>
          <w:iCs/>
          <w:lang w:val="en-US"/>
        </w:rPr>
        <w:t>2)</w:t>
      </w:r>
      <w:r w:rsidRPr="00AE2631">
        <w:rPr>
          <w:lang w:val="en-US"/>
        </w:rPr>
        <w:t xml:space="preserve"> </w:t>
      </w:r>
      <w:r>
        <w:rPr>
          <w:b/>
          <w:bCs/>
          <w:i/>
          <w:iCs/>
          <w:lang w:val="en-US"/>
        </w:rPr>
        <w:t>Prob</w:t>
      </w:r>
      <w:r w:rsidRPr="00AE2631">
        <w:rPr>
          <w:b/>
          <w:bCs/>
          <w:i/>
          <w:iCs/>
          <w:lang w:val="en-US"/>
        </w:rPr>
        <w:t>it regression</w:t>
      </w:r>
    </w:p>
    <w:p w14:paraId="75B37916" w14:textId="7918F8A7" w:rsidR="00AE2631" w:rsidRDefault="00AE2631" w:rsidP="00AE2631">
      <w:pPr>
        <w:ind w:firstLine="708"/>
        <w:jc w:val="both"/>
        <w:rPr>
          <w:lang w:val="en-US"/>
        </w:rPr>
      </w:pPr>
      <w:r w:rsidRPr="00AE2631">
        <w:rPr>
          <w:lang w:val="en-US"/>
        </w:rPr>
        <w:t xml:space="preserve">For this type of model, the results were similar. As expected, the financial </w:t>
      </w:r>
      <w:r w:rsidR="00610DF2">
        <w:rPr>
          <w:lang w:val="en-US"/>
        </w:rPr>
        <w:t>multipliers</w:t>
      </w:r>
      <w:r w:rsidRPr="00AE2631">
        <w:rPr>
          <w:lang w:val="en-US"/>
        </w:rPr>
        <w:t xml:space="preserve"> from point 1 were significant in the probit regression. The accuracy of the model on the training and test set was 73.65% and 73.33%, respectively.</w:t>
      </w:r>
    </w:p>
    <w:p w14:paraId="4163F1A5" w14:textId="74DAEE7C" w:rsidR="00AE2631" w:rsidRDefault="00AE2631" w:rsidP="00AE2631">
      <w:pPr>
        <w:ind w:firstLine="708"/>
        <w:jc w:val="right"/>
        <w:rPr>
          <w:lang w:val="en-US"/>
        </w:rPr>
      </w:pPr>
      <w:r>
        <w:rPr>
          <w:lang w:val="en-US"/>
        </w:rPr>
        <w:t>Figure</w:t>
      </w:r>
      <w:r w:rsidRPr="00AE2631">
        <w:rPr>
          <w:lang w:val="en-US"/>
        </w:rPr>
        <w:t xml:space="preserve"> </w:t>
      </w:r>
      <w:r>
        <w:t>2</w:t>
      </w:r>
      <w:r w:rsidRPr="00AE2631">
        <w:rPr>
          <w:lang w:val="en-US"/>
        </w:rPr>
        <w:t xml:space="preserve">. </w:t>
      </w:r>
      <w:r>
        <w:rPr>
          <w:lang w:val="en-US"/>
        </w:rPr>
        <w:t>Probit</w:t>
      </w:r>
      <w:r w:rsidRPr="00AE2631">
        <w:rPr>
          <w:lang w:val="en-US"/>
        </w:rPr>
        <w:t xml:space="preserve"> regression</w:t>
      </w:r>
    </w:p>
    <w:p w14:paraId="1A124CDD" w14:textId="4CE63AFD" w:rsidR="00AE2631" w:rsidRDefault="00AE2631" w:rsidP="00AE2631">
      <w:pPr>
        <w:ind w:firstLine="708"/>
        <w:rPr>
          <w:lang w:val="en-US"/>
        </w:rPr>
      </w:pPr>
      <w:r w:rsidRPr="00B72F60">
        <w:rPr>
          <w:rFonts w:ascii="Times New Roman" w:hAnsi="Times New Roman" w:cs="Times New Roman"/>
          <w:noProof/>
          <w:sz w:val="28"/>
          <w:szCs w:val="28"/>
          <w:lang w:eastAsia="ru-RU"/>
        </w:rPr>
        <w:drawing>
          <wp:inline distT="0" distB="0" distL="0" distR="0" wp14:anchorId="70FAA576" wp14:editId="4A4179B0">
            <wp:extent cx="5323437" cy="2407920"/>
            <wp:effectExtent l="0" t="0" r="0" b="0"/>
            <wp:docPr id="37" name="Рисунок 3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095" cy="2418169"/>
                    </a:xfrm>
                    <a:prstGeom prst="rect">
                      <a:avLst/>
                    </a:prstGeom>
                    <a:noFill/>
                    <a:ln>
                      <a:noFill/>
                    </a:ln>
                  </pic:spPr>
                </pic:pic>
              </a:graphicData>
            </a:graphic>
          </wp:inline>
        </w:drawing>
      </w:r>
    </w:p>
    <w:p w14:paraId="4409C208" w14:textId="77777777" w:rsidR="00AE2631" w:rsidRPr="00AE2631" w:rsidRDefault="00AE2631" w:rsidP="00AE2631">
      <w:pPr>
        <w:rPr>
          <w:b/>
          <w:bCs/>
          <w:i/>
          <w:iCs/>
          <w:lang w:val="en-US"/>
        </w:rPr>
      </w:pPr>
      <w:r w:rsidRPr="00AE2631">
        <w:rPr>
          <w:b/>
          <w:bCs/>
          <w:i/>
          <w:iCs/>
          <w:lang w:val="en-US"/>
        </w:rPr>
        <w:t>3) Logit-regression on a sample transformed using the PCA method.</w:t>
      </w:r>
    </w:p>
    <w:p w14:paraId="7C6D05D4" w14:textId="33F12815" w:rsidR="00AE2631" w:rsidRDefault="00AE2631" w:rsidP="00AE2631">
      <w:pPr>
        <w:ind w:firstLine="708"/>
        <w:jc w:val="both"/>
        <w:rPr>
          <w:lang w:val="en-US"/>
        </w:rPr>
      </w:pPr>
      <w:r w:rsidRPr="00AE2631">
        <w:rPr>
          <w:lang w:val="en-US"/>
        </w:rPr>
        <w:t>In order to reduce the dimension</w:t>
      </w:r>
      <w:r w:rsidR="0034390A">
        <w:rPr>
          <w:lang w:val="en-US"/>
        </w:rPr>
        <w:t xml:space="preserve"> of dataset</w:t>
      </w:r>
      <w:r w:rsidRPr="00AE2631">
        <w:rPr>
          <w:lang w:val="en-US"/>
        </w:rPr>
        <w:t>, possible lack of information content</w:t>
      </w:r>
      <w:r w:rsidR="0034390A">
        <w:rPr>
          <w:lang w:val="en-US"/>
        </w:rPr>
        <w:t xml:space="preserve"> and </w:t>
      </w:r>
      <w:r w:rsidRPr="00AE2631">
        <w:rPr>
          <w:lang w:val="en-US"/>
        </w:rPr>
        <w:t xml:space="preserve">duplication of information by strongly correlated variables, the PCA method was </w:t>
      </w:r>
      <w:r w:rsidR="0034390A">
        <w:rPr>
          <w:lang w:val="en-US"/>
        </w:rPr>
        <w:t>use</w:t>
      </w:r>
      <w:r w:rsidRPr="00AE2631">
        <w:rPr>
          <w:lang w:val="en-US"/>
        </w:rPr>
        <w:t xml:space="preserve">d. To select the optimal number </w:t>
      </w:r>
      <w:r w:rsidRPr="00AE2631">
        <w:rPr>
          <w:lang w:val="en-US"/>
        </w:rPr>
        <w:lastRenderedPageBreak/>
        <w:t>of principal components, the Kaiser-Gutmann test was applied, which assumes to leave only those principal components whose eigenvalues exceed their average (the results in Figure 3).</w:t>
      </w:r>
    </w:p>
    <w:p w14:paraId="371D1716" w14:textId="77777777" w:rsidR="008A572D" w:rsidRDefault="008A572D" w:rsidP="00AE2631">
      <w:pPr>
        <w:ind w:firstLine="708"/>
        <w:jc w:val="right"/>
        <w:rPr>
          <w:lang w:val="en-US"/>
        </w:rPr>
      </w:pPr>
    </w:p>
    <w:p w14:paraId="4D0405A5" w14:textId="2E5968FA" w:rsidR="008A572D" w:rsidRDefault="00AE2631" w:rsidP="00AE2631">
      <w:pPr>
        <w:ind w:firstLine="708"/>
        <w:jc w:val="right"/>
        <w:rPr>
          <w:lang w:val="en-US"/>
        </w:rPr>
      </w:pPr>
      <w:r>
        <w:rPr>
          <w:lang w:val="en-US"/>
        </w:rPr>
        <w:t xml:space="preserve">Figure 3. </w:t>
      </w:r>
      <w:r w:rsidR="008A572D" w:rsidRPr="008A572D">
        <w:rPr>
          <w:lang w:val="en-US"/>
        </w:rPr>
        <w:t>Results of the Kaiser-Gutmann test</w:t>
      </w:r>
    </w:p>
    <w:p w14:paraId="3771E4E3" w14:textId="355086BE" w:rsidR="00AE2631" w:rsidRDefault="008A572D" w:rsidP="008A572D">
      <w:pPr>
        <w:ind w:firstLine="708"/>
        <w:rPr>
          <w:lang w:val="en-US"/>
        </w:rPr>
      </w:pPr>
      <w:r>
        <w:rPr>
          <w:noProof/>
          <w:lang w:val="en-US"/>
        </w:rPr>
        <w:drawing>
          <wp:inline distT="0" distB="0" distL="0" distR="0" wp14:anchorId="114F1030" wp14:editId="0B3CC4A4">
            <wp:extent cx="4829543" cy="19827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4848993" cy="1990694"/>
                    </a:xfrm>
                    <a:prstGeom prst="rect">
                      <a:avLst/>
                    </a:prstGeom>
                  </pic:spPr>
                </pic:pic>
              </a:graphicData>
            </a:graphic>
          </wp:inline>
        </w:drawing>
      </w:r>
    </w:p>
    <w:p w14:paraId="570E941C" w14:textId="10C7529D" w:rsidR="008A572D" w:rsidRDefault="008A572D" w:rsidP="008A572D">
      <w:pPr>
        <w:jc w:val="both"/>
        <w:rPr>
          <w:lang w:val="en-US"/>
        </w:rPr>
      </w:pPr>
      <w:r w:rsidRPr="008A572D">
        <w:rPr>
          <w:lang w:val="en-US"/>
        </w:rPr>
        <w:t>The results of the constructed logit regression on the transformed dataset can be seen in Figure 4. The accuracy of the model on the training and test set was 95.27%, respectively. and 97.1%.</w:t>
      </w:r>
    </w:p>
    <w:p w14:paraId="5EE1D4E9" w14:textId="78AE1989" w:rsidR="008A572D" w:rsidRDefault="008A572D" w:rsidP="008A572D">
      <w:pPr>
        <w:jc w:val="right"/>
        <w:rPr>
          <w:lang w:val="en-US"/>
        </w:rPr>
      </w:pPr>
      <w:r w:rsidRPr="008A572D">
        <w:rPr>
          <w:lang w:val="en-US"/>
        </w:rPr>
        <w:t>Figure 4. Logit regression on the transformed data using the PCA method</w:t>
      </w:r>
    </w:p>
    <w:p w14:paraId="4A1683A5" w14:textId="07852B01" w:rsidR="008A572D" w:rsidRDefault="008A572D" w:rsidP="008A572D">
      <w:pPr>
        <w:jc w:val="right"/>
        <w:rPr>
          <w:lang w:val="en-US"/>
        </w:rPr>
      </w:pPr>
      <w:r w:rsidRPr="00B72F60">
        <w:rPr>
          <w:rFonts w:ascii="Times New Roman" w:hAnsi="Times New Roman" w:cs="Times New Roman"/>
          <w:noProof/>
          <w:sz w:val="28"/>
          <w:szCs w:val="28"/>
          <w:lang w:eastAsia="ru-RU"/>
        </w:rPr>
        <w:drawing>
          <wp:inline distT="0" distB="0" distL="0" distR="0" wp14:anchorId="07F03B57" wp14:editId="4746F080">
            <wp:extent cx="5866333" cy="2344847"/>
            <wp:effectExtent l="0" t="0" r="1270" b="0"/>
            <wp:docPr id="67" name="Рисунок 6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67" descr="Изображение выглядит как стол&#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620" cy="2368145"/>
                    </a:xfrm>
                    <a:prstGeom prst="rect">
                      <a:avLst/>
                    </a:prstGeom>
                    <a:noFill/>
                    <a:ln>
                      <a:noFill/>
                    </a:ln>
                  </pic:spPr>
                </pic:pic>
              </a:graphicData>
            </a:graphic>
          </wp:inline>
        </w:drawing>
      </w:r>
    </w:p>
    <w:p w14:paraId="1ACF8A4D" w14:textId="49B8F84C" w:rsidR="008A572D" w:rsidRDefault="008A572D" w:rsidP="008A572D">
      <w:pPr>
        <w:jc w:val="right"/>
        <w:rPr>
          <w:lang w:val="en-US"/>
        </w:rPr>
      </w:pPr>
    </w:p>
    <w:p w14:paraId="06487CB9" w14:textId="77777777" w:rsidR="008A572D" w:rsidRPr="008A572D" w:rsidRDefault="008A572D" w:rsidP="008A572D">
      <w:pPr>
        <w:rPr>
          <w:b/>
          <w:bCs/>
          <w:i/>
          <w:iCs/>
          <w:lang w:val="en-US"/>
        </w:rPr>
      </w:pPr>
      <w:r w:rsidRPr="008A572D">
        <w:rPr>
          <w:b/>
          <w:bCs/>
          <w:i/>
          <w:iCs/>
          <w:lang w:val="en-US"/>
        </w:rPr>
        <w:t>4) SVM with different kernels.</w:t>
      </w:r>
    </w:p>
    <w:p w14:paraId="581A5C57" w14:textId="637CA203" w:rsidR="008A572D" w:rsidRDefault="008A572D" w:rsidP="008A572D">
      <w:pPr>
        <w:ind w:firstLine="708"/>
        <w:jc w:val="both"/>
        <w:rPr>
          <w:lang w:val="en-US"/>
        </w:rPr>
      </w:pPr>
      <w:r w:rsidRPr="008A572D">
        <w:rPr>
          <w:lang w:val="en-US"/>
        </w:rPr>
        <w:t xml:space="preserve">SVM models were built with different kernels such as </w:t>
      </w:r>
      <w:r>
        <w:rPr>
          <w:lang w:val="en-US"/>
        </w:rPr>
        <w:t>L</w:t>
      </w:r>
      <w:r w:rsidRPr="008A572D">
        <w:rPr>
          <w:lang w:val="en-US"/>
        </w:rPr>
        <w:t xml:space="preserve">inear kernel, </w:t>
      </w:r>
      <w:r>
        <w:rPr>
          <w:lang w:val="en-US"/>
        </w:rPr>
        <w:t>P</w:t>
      </w:r>
      <w:r w:rsidRPr="008A572D">
        <w:rPr>
          <w:lang w:val="en-US"/>
        </w:rPr>
        <w:t xml:space="preserve">olynomial kernel with power p, Gaussian kernel, </w:t>
      </w:r>
      <w:r>
        <w:rPr>
          <w:lang w:val="en-US"/>
        </w:rPr>
        <w:t>S</w:t>
      </w:r>
      <w:r w:rsidRPr="008A572D">
        <w:rPr>
          <w:lang w:val="en-US"/>
        </w:rPr>
        <w:t>igmoid kernel.</w:t>
      </w:r>
      <w:r>
        <w:rPr>
          <w:lang w:val="en-US"/>
        </w:rPr>
        <w:t xml:space="preserve"> </w:t>
      </w:r>
      <w:r w:rsidRPr="008A572D">
        <w:rPr>
          <w:lang w:val="en-US"/>
        </w:rPr>
        <w:t>For each model, cross-validation was used, dividing the sample into 10 equal parts, and intervals were set for the parameters to be optimized.</w:t>
      </w:r>
      <w:r>
        <w:rPr>
          <w:lang w:val="en-US"/>
        </w:rPr>
        <w:t xml:space="preserve"> </w:t>
      </w:r>
      <w:r w:rsidRPr="008A572D">
        <w:rPr>
          <w:lang w:val="en-US"/>
        </w:rPr>
        <w:t xml:space="preserve">The results of calculating SVM models are presented in Table </w:t>
      </w:r>
      <w:r>
        <w:rPr>
          <w:lang w:val="en-US"/>
        </w:rPr>
        <w:t>3</w:t>
      </w:r>
      <w:r w:rsidRPr="008A572D">
        <w:rPr>
          <w:lang w:val="en-US"/>
        </w:rPr>
        <w:t>.</w:t>
      </w:r>
    </w:p>
    <w:p w14:paraId="3F603C95" w14:textId="452C4F4D" w:rsidR="008A572D" w:rsidRDefault="008A572D" w:rsidP="008A572D">
      <w:pPr>
        <w:ind w:firstLine="708"/>
        <w:jc w:val="right"/>
        <w:rPr>
          <w:lang w:val="en-US"/>
        </w:rPr>
      </w:pPr>
      <w:r w:rsidRPr="008A572D">
        <w:rPr>
          <w:lang w:val="en-US"/>
        </w:rPr>
        <w:t>Table 3. Results of SVM models</w:t>
      </w:r>
    </w:p>
    <w:tbl>
      <w:tblPr>
        <w:tblStyle w:val="a3"/>
        <w:tblW w:w="0" w:type="auto"/>
        <w:tblLook w:val="04A0" w:firstRow="1" w:lastRow="0" w:firstColumn="1" w:lastColumn="0" w:noHBand="0" w:noVBand="1"/>
      </w:tblPr>
      <w:tblGrid>
        <w:gridCol w:w="1555"/>
        <w:gridCol w:w="2497"/>
        <w:gridCol w:w="2051"/>
        <w:gridCol w:w="1431"/>
        <w:gridCol w:w="1811"/>
      </w:tblGrid>
      <w:tr w:rsidR="008A572D" w:rsidRPr="006A36A4" w14:paraId="7D22468A" w14:textId="77777777" w:rsidTr="00F52522">
        <w:trPr>
          <w:trHeight w:val="580"/>
        </w:trPr>
        <w:tc>
          <w:tcPr>
            <w:tcW w:w="1555" w:type="dxa"/>
            <w:noWrap/>
            <w:hideMark/>
          </w:tcPr>
          <w:p w14:paraId="66CE0FE0" w14:textId="5ECF029A" w:rsidR="008A572D" w:rsidRPr="008A572D" w:rsidRDefault="008A572D" w:rsidP="008A572D">
            <w:pPr>
              <w:jc w:val="center"/>
              <w:rPr>
                <w:b/>
                <w:bCs/>
                <w:lang w:val="en-US"/>
              </w:rPr>
            </w:pPr>
            <w:r>
              <w:rPr>
                <w:b/>
                <w:bCs/>
                <w:lang w:val="en-US"/>
              </w:rPr>
              <w:t>Model</w:t>
            </w:r>
          </w:p>
        </w:tc>
        <w:tc>
          <w:tcPr>
            <w:tcW w:w="2497" w:type="dxa"/>
            <w:hideMark/>
          </w:tcPr>
          <w:p w14:paraId="0A4402C8" w14:textId="580F4B11" w:rsidR="008A572D" w:rsidRPr="006A36A4" w:rsidRDefault="008A572D" w:rsidP="008A572D">
            <w:pPr>
              <w:jc w:val="center"/>
              <w:rPr>
                <w:b/>
                <w:bCs/>
              </w:rPr>
            </w:pPr>
            <w:r w:rsidRPr="008A572D">
              <w:rPr>
                <w:b/>
                <w:bCs/>
              </w:rPr>
              <w:t>Range of investigated parameters</w:t>
            </w:r>
          </w:p>
        </w:tc>
        <w:tc>
          <w:tcPr>
            <w:tcW w:w="2051" w:type="dxa"/>
            <w:hideMark/>
          </w:tcPr>
          <w:p w14:paraId="6E2B768A" w14:textId="27E30484" w:rsidR="008A572D" w:rsidRPr="008A572D" w:rsidRDefault="008A572D" w:rsidP="008A572D">
            <w:pPr>
              <w:jc w:val="center"/>
              <w:rPr>
                <w:b/>
                <w:bCs/>
                <w:lang w:val="en-US"/>
              </w:rPr>
            </w:pPr>
            <w:r>
              <w:rPr>
                <w:b/>
                <w:bCs/>
                <w:lang w:val="en-US"/>
              </w:rPr>
              <w:t>Best model parametrs</w:t>
            </w:r>
          </w:p>
        </w:tc>
        <w:tc>
          <w:tcPr>
            <w:tcW w:w="1431" w:type="dxa"/>
            <w:hideMark/>
          </w:tcPr>
          <w:p w14:paraId="146F7BB4" w14:textId="747673F0" w:rsidR="008A572D" w:rsidRPr="008A572D" w:rsidRDefault="008A572D" w:rsidP="008A572D">
            <w:pPr>
              <w:jc w:val="center"/>
              <w:rPr>
                <w:b/>
                <w:bCs/>
                <w:lang w:val="en-US"/>
              </w:rPr>
            </w:pPr>
            <w:r>
              <w:rPr>
                <w:b/>
                <w:bCs/>
                <w:lang w:val="en-US"/>
              </w:rPr>
              <w:t>T</w:t>
            </w:r>
            <w:r w:rsidRPr="008A572D">
              <w:rPr>
                <w:b/>
                <w:bCs/>
                <w:lang w:val="en-US"/>
              </w:rPr>
              <w:t>raining set accuracy</w:t>
            </w:r>
          </w:p>
        </w:tc>
        <w:tc>
          <w:tcPr>
            <w:tcW w:w="1811" w:type="dxa"/>
            <w:hideMark/>
          </w:tcPr>
          <w:p w14:paraId="13E96DB4" w14:textId="4B5248C9" w:rsidR="008A572D" w:rsidRPr="006A36A4" w:rsidRDefault="008A572D" w:rsidP="008A572D">
            <w:pPr>
              <w:jc w:val="center"/>
              <w:rPr>
                <w:b/>
                <w:bCs/>
              </w:rPr>
            </w:pPr>
            <w:r>
              <w:rPr>
                <w:b/>
                <w:bCs/>
                <w:lang w:val="en-US"/>
              </w:rPr>
              <w:t>Testing</w:t>
            </w:r>
            <w:r w:rsidRPr="008A572D">
              <w:rPr>
                <w:b/>
                <w:bCs/>
              </w:rPr>
              <w:t xml:space="preserve"> set accuracy</w:t>
            </w:r>
          </w:p>
        </w:tc>
      </w:tr>
      <w:tr w:rsidR="008A572D" w:rsidRPr="006A36A4" w14:paraId="4BA1D3AF" w14:textId="77777777" w:rsidTr="00C557B8">
        <w:trPr>
          <w:trHeight w:val="580"/>
        </w:trPr>
        <w:tc>
          <w:tcPr>
            <w:tcW w:w="1555" w:type="dxa"/>
            <w:noWrap/>
            <w:hideMark/>
          </w:tcPr>
          <w:p w14:paraId="26F90629" w14:textId="08AC3120" w:rsidR="008A572D" w:rsidRPr="008A572D" w:rsidRDefault="008A572D" w:rsidP="00F52522">
            <w:pPr>
              <w:rPr>
                <w:lang w:val="en-US"/>
              </w:rPr>
            </w:pPr>
            <w:r>
              <w:rPr>
                <w:lang w:val="en-US"/>
              </w:rPr>
              <w:t>Linear kernel</w:t>
            </w:r>
          </w:p>
        </w:tc>
        <w:tc>
          <w:tcPr>
            <w:tcW w:w="2497" w:type="dxa"/>
          </w:tcPr>
          <w:p w14:paraId="3A6E0745" w14:textId="62BDF661" w:rsidR="008A572D" w:rsidRPr="006A36A4" w:rsidRDefault="00C557B8" w:rsidP="00C557B8">
            <w:pPr>
              <w:jc w:val="center"/>
            </w:pPr>
            <w:r>
              <w:t>-</w:t>
            </w:r>
          </w:p>
        </w:tc>
        <w:tc>
          <w:tcPr>
            <w:tcW w:w="2051" w:type="dxa"/>
            <w:noWrap/>
          </w:tcPr>
          <w:p w14:paraId="2A19BAA2" w14:textId="4366043C" w:rsidR="008A572D" w:rsidRPr="006A36A4" w:rsidRDefault="00C557B8" w:rsidP="00C557B8">
            <w:pPr>
              <w:jc w:val="center"/>
            </w:pPr>
            <w:r>
              <w:t>-</w:t>
            </w:r>
          </w:p>
        </w:tc>
        <w:tc>
          <w:tcPr>
            <w:tcW w:w="1431" w:type="dxa"/>
            <w:noWrap/>
            <w:hideMark/>
          </w:tcPr>
          <w:p w14:paraId="3819A727" w14:textId="77777777" w:rsidR="008A572D" w:rsidRPr="006A36A4" w:rsidRDefault="008A572D" w:rsidP="008A572D">
            <w:pPr>
              <w:jc w:val="center"/>
            </w:pPr>
            <w:r w:rsidRPr="006A36A4">
              <w:t>73,47%</w:t>
            </w:r>
          </w:p>
        </w:tc>
        <w:tc>
          <w:tcPr>
            <w:tcW w:w="1811" w:type="dxa"/>
            <w:noWrap/>
            <w:hideMark/>
          </w:tcPr>
          <w:p w14:paraId="4B2E55E3" w14:textId="77777777" w:rsidR="008A572D" w:rsidRPr="006A36A4" w:rsidRDefault="008A572D" w:rsidP="008A572D">
            <w:pPr>
              <w:jc w:val="center"/>
            </w:pPr>
            <w:r w:rsidRPr="006A36A4">
              <w:t>87%</w:t>
            </w:r>
          </w:p>
        </w:tc>
      </w:tr>
      <w:tr w:rsidR="008A572D" w:rsidRPr="006A36A4" w14:paraId="5DE5ABF6" w14:textId="77777777" w:rsidTr="00C557B8">
        <w:trPr>
          <w:trHeight w:val="290"/>
        </w:trPr>
        <w:tc>
          <w:tcPr>
            <w:tcW w:w="1555" w:type="dxa"/>
            <w:noWrap/>
            <w:hideMark/>
          </w:tcPr>
          <w:p w14:paraId="0E12D961" w14:textId="0E954148" w:rsidR="008A572D" w:rsidRPr="008A572D" w:rsidRDefault="008A572D" w:rsidP="00F52522">
            <w:pPr>
              <w:rPr>
                <w:lang w:val="en-US"/>
              </w:rPr>
            </w:pPr>
            <w:r>
              <w:rPr>
                <w:lang w:val="en-US"/>
              </w:rPr>
              <w:t>Polynomial kernel</w:t>
            </w:r>
          </w:p>
        </w:tc>
        <w:tc>
          <w:tcPr>
            <w:tcW w:w="2497" w:type="dxa"/>
          </w:tcPr>
          <w:p w14:paraId="042A1F48" w14:textId="2CA1E186" w:rsidR="008A572D" w:rsidRPr="006A36A4" w:rsidRDefault="00C557B8" w:rsidP="00C557B8">
            <w:pPr>
              <w:jc w:val="center"/>
            </w:pPr>
            <w:r>
              <w:t>-</w:t>
            </w:r>
          </w:p>
        </w:tc>
        <w:tc>
          <w:tcPr>
            <w:tcW w:w="2051" w:type="dxa"/>
            <w:noWrap/>
          </w:tcPr>
          <w:p w14:paraId="5EFEB3BE" w14:textId="595595F0" w:rsidR="008A572D" w:rsidRPr="006A36A4" w:rsidRDefault="00C557B8" w:rsidP="00C557B8">
            <w:pPr>
              <w:jc w:val="center"/>
            </w:pPr>
            <w:r>
              <w:t>-</w:t>
            </w:r>
          </w:p>
        </w:tc>
        <w:tc>
          <w:tcPr>
            <w:tcW w:w="1431" w:type="dxa"/>
            <w:noWrap/>
            <w:hideMark/>
          </w:tcPr>
          <w:p w14:paraId="6C426EC4" w14:textId="77777777" w:rsidR="008A572D" w:rsidRPr="006A36A4" w:rsidRDefault="008A572D" w:rsidP="008A572D">
            <w:pPr>
              <w:jc w:val="center"/>
            </w:pPr>
            <w:r w:rsidRPr="006A36A4">
              <w:t>89,80%</w:t>
            </w:r>
          </w:p>
        </w:tc>
        <w:tc>
          <w:tcPr>
            <w:tcW w:w="1811" w:type="dxa"/>
            <w:noWrap/>
            <w:hideMark/>
          </w:tcPr>
          <w:p w14:paraId="4BA040E0" w14:textId="77777777" w:rsidR="008A572D" w:rsidRPr="006A36A4" w:rsidRDefault="008A572D" w:rsidP="008A572D">
            <w:pPr>
              <w:jc w:val="center"/>
            </w:pPr>
            <w:r w:rsidRPr="006A36A4">
              <w:t>93,10%</w:t>
            </w:r>
          </w:p>
        </w:tc>
      </w:tr>
      <w:tr w:rsidR="008A572D" w:rsidRPr="006A36A4" w14:paraId="08C2D209" w14:textId="77777777" w:rsidTr="00F52522">
        <w:trPr>
          <w:trHeight w:val="290"/>
        </w:trPr>
        <w:tc>
          <w:tcPr>
            <w:tcW w:w="1555" w:type="dxa"/>
            <w:noWrap/>
            <w:hideMark/>
          </w:tcPr>
          <w:p w14:paraId="4F02ED5C" w14:textId="177D10EC" w:rsidR="008A572D" w:rsidRPr="008A572D" w:rsidRDefault="008A572D" w:rsidP="00F52522">
            <w:pPr>
              <w:rPr>
                <w:lang w:val="en-US"/>
              </w:rPr>
            </w:pPr>
            <w:r>
              <w:rPr>
                <w:lang w:val="en-US"/>
              </w:rPr>
              <w:lastRenderedPageBreak/>
              <w:t>Sigmoid kernel</w:t>
            </w:r>
          </w:p>
        </w:tc>
        <w:tc>
          <w:tcPr>
            <w:tcW w:w="2497" w:type="dxa"/>
            <w:hideMark/>
          </w:tcPr>
          <w:p w14:paraId="10DC1EC5" w14:textId="3BFF63C6" w:rsidR="008A572D" w:rsidRDefault="00083FEE" w:rsidP="008A572D">
            <w:pPr>
              <w:rPr>
                <w:lang w:val="en-US"/>
              </w:rPr>
            </w:pPr>
            <w:r>
              <w:rPr>
                <w:lang w:val="en-US"/>
              </w:rPr>
              <w:t>sigma</w:t>
            </w:r>
            <w:r w:rsidR="008A572D" w:rsidRPr="006A36A4">
              <w:t>=</w:t>
            </w:r>
            <w:r w:rsidR="00F31342">
              <w:rPr>
                <w:lang w:val="en-US"/>
              </w:rPr>
              <w:t>2^</w:t>
            </w:r>
            <w:r w:rsidR="008A572D" w:rsidRPr="006A36A4">
              <w:t>[-10,10]</w:t>
            </w:r>
            <w:r>
              <w:rPr>
                <w:lang w:val="en-US"/>
              </w:rPr>
              <w:t>,</w:t>
            </w:r>
          </w:p>
          <w:p w14:paraId="3E58B8F7" w14:textId="15093A84" w:rsidR="00083FEE" w:rsidRPr="00083FEE" w:rsidRDefault="00083FEE" w:rsidP="008A572D">
            <w:pPr>
              <w:rPr>
                <w:lang w:val="en-US"/>
              </w:rPr>
            </w:pPr>
            <w:r>
              <w:rPr>
                <w:lang w:val="en-US"/>
              </w:rPr>
              <w:t>cost=</w:t>
            </w:r>
            <w:r w:rsidR="00F31342">
              <w:rPr>
                <w:lang w:val="en-US"/>
              </w:rPr>
              <w:t>2^</w:t>
            </w:r>
            <w:r w:rsidR="00F31342" w:rsidRPr="006A36A4">
              <w:t>[-10:10]</w:t>
            </w:r>
          </w:p>
        </w:tc>
        <w:tc>
          <w:tcPr>
            <w:tcW w:w="2051" w:type="dxa"/>
            <w:noWrap/>
            <w:hideMark/>
          </w:tcPr>
          <w:p w14:paraId="6CBCADB3" w14:textId="5B85274A" w:rsidR="008A572D" w:rsidRPr="00F31342" w:rsidRDefault="00F31342" w:rsidP="008A572D">
            <w:pPr>
              <w:rPr>
                <w:lang w:val="en-US"/>
              </w:rPr>
            </w:pPr>
            <w:r>
              <w:rPr>
                <w:lang w:val="en-US"/>
              </w:rPr>
              <w:t>sigma</w:t>
            </w:r>
            <w:r w:rsidR="008A572D" w:rsidRPr="006A36A4">
              <w:t>=0.0625</w:t>
            </w:r>
            <w:r>
              <w:rPr>
                <w:lang w:val="en-US"/>
              </w:rPr>
              <w:t>, cost=4</w:t>
            </w:r>
          </w:p>
        </w:tc>
        <w:tc>
          <w:tcPr>
            <w:tcW w:w="1431" w:type="dxa"/>
            <w:noWrap/>
            <w:hideMark/>
          </w:tcPr>
          <w:p w14:paraId="1D60A14B" w14:textId="77777777" w:rsidR="008A572D" w:rsidRPr="006A36A4" w:rsidRDefault="008A572D" w:rsidP="008A572D">
            <w:pPr>
              <w:jc w:val="center"/>
            </w:pPr>
            <w:r w:rsidRPr="006A36A4">
              <w:t>74,15%</w:t>
            </w:r>
          </w:p>
        </w:tc>
        <w:tc>
          <w:tcPr>
            <w:tcW w:w="1811" w:type="dxa"/>
            <w:noWrap/>
            <w:hideMark/>
          </w:tcPr>
          <w:p w14:paraId="1F187810" w14:textId="77777777" w:rsidR="008A572D" w:rsidRPr="006A36A4" w:rsidRDefault="008A572D" w:rsidP="008A572D">
            <w:pPr>
              <w:jc w:val="center"/>
            </w:pPr>
            <w:r w:rsidRPr="006A36A4">
              <w:t>80%</w:t>
            </w:r>
          </w:p>
        </w:tc>
      </w:tr>
      <w:tr w:rsidR="008A572D" w:rsidRPr="006A36A4" w14:paraId="4760BDDF" w14:textId="77777777" w:rsidTr="00F52522">
        <w:trPr>
          <w:trHeight w:val="580"/>
        </w:trPr>
        <w:tc>
          <w:tcPr>
            <w:tcW w:w="1555" w:type="dxa"/>
            <w:noWrap/>
            <w:hideMark/>
          </w:tcPr>
          <w:p w14:paraId="69FE2431" w14:textId="3BFEF9FA" w:rsidR="008A572D" w:rsidRPr="008A572D" w:rsidRDefault="008A572D" w:rsidP="00F52522">
            <w:pPr>
              <w:rPr>
                <w:lang w:val="en-US"/>
              </w:rPr>
            </w:pPr>
            <w:r>
              <w:rPr>
                <w:lang w:val="en-US"/>
              </w:rPr>
              <w:t>Gaussian kernel</w:t>
            </w:r>
          </w:p>
        </w:tc>
        <w:tc>
          <w:tcPr>
            <w:tcW w:w="2497" w:type="dxa"/>
            <w:hideMark/>
          </w:tcPr>
          <w:p w14:paraId="55BF6AA7" w14:textId="6F4523F2" w:rsidR="008A572D" w:rsidRPr="006A36A4" w:rsidRDefault="008A572D" w:rsidP="008A572D">
            <w:r w:rsidRPr="006A36A4">
              <w:t>cost=</w:t>
            </w:r>
            <w:r w:rsidR="00F31342">
              <w:rPr>
                <w:lang w:val="en-US"/>
              </w:rPr>
              <w:t>2^</w:t>
            </w:r>
            <w:r w:rsidRPr="006A36A4">
              <w:t>[-10:10], gamma=</w:t>
            </w:r>
            <w:r w:rsidR="00F31342">
              <w:rPr>
                <w:lang w:val="en-US"/>
              </w:rPr>
              <w:t>2^</w:t>
            </w:r>
            <w:r w:rsidRPr="006A36A4">
              <w:t>[-10,10]</w:t>
            </w:r>
          </w:p>
        </w:tc>
        <w:tc>
          <w:tcPr>
            <w:tcW w:w="2051" w:type="dxa"/>
            <w:noWrap/>
            <w:hideMark/>
          </w:tcPr>
          <w:p w14:paraId="2B6B765D" w14:textId="77777777" w:rsidR="008A572D" w:rsidRPr="006A36A4" w:rsidRDefault="008A572D" w:rsidP="008A572D">
            <w:r w:rsidRPr="006A36A4">
              <w:t>cost=256, gamma=8</w:t>
            </w:r>
          </w:p>
        </w:tc>
        <w:tc>
          <w:tcPr>
            <w:tcW w:w="1431" w:type="dxa"/>
            <w:noWrap/>
            <w:hideMark/>
          </w:tcPr>
          <w:p w14:paraId="54A8A4A0" w14:textId="77777777" w:rsidR="008A572D" w:rsidRPr="006A36A4" w:rsidRDefault="008A572D" w:rsidP="008A572D">
            <w:pPr>
              <w:jc w:val="center"/>
            </w:pPr>
            <w:r w:rsidRPr="006A36A4">
              <w:t>97,90%</w:t>
            </w:r>
          </w:p>
        </w:tc>
        <w:tc>
          <w:tcPr>
            <w:tcW w:w="1811" w:type="dxa"/>
            <w:noWrap/>
            <w:hideMark/>
          </w:tcPr>
          <w:p w14:paraId="64C07BF8" w14:textId="77777777" w:rsidR="008A572D" w:rsidRPr="006A36A4" w:rsidRDefault="008A572D" w:rsidP="008A572D">
            <w:pPr>
              <w:jc w:val="center"/>
            </w:pPr>
            <w:r w:rsidRPr="006A36A4">
              <w:t>98%</w:t>
            </w:r>
          </w:p>
        </w:tc>
      </w:tr>
    </w:tbl>
    <w:p w14:paraId="4FEB2220" w14:textId="5DBFB7D2" w:rsidR="008A572D" w:rsidRDefault="008A572D" w:rsidP="008A572D">
      <w:pPr>
        <w:ind w:firstLine="708"/>
        <w:rPr>
          <w:lang w:val="en-US"/>
        </w:rPr>
      </w:pPr>
    </w:p>
    <w:p w14:paraId="1EFBDBAB" w14:textId="77FB4954" w:rsidR="008A572D" w:rsidRDefault="00610DF2" w:rsidP="00610DF2">
      <w:pPr>
        <w:ind w:firstLine="708"/>
        <w:jc w:val="both"/>
        <w:rPr>
          <w:lang w:val="en-US"/>
        </w:rPr>
      </w:pPr>
      <w:r w:rsidRPr="00610DF2">
        <w:rPr>
          <w:lang w:val="en-US"/>
        </w:rPr>
        <w:t>To compare the quality of the models, the ROC-curve was used (</w:t>
      </w:r>
      <w:r>
        <w:rPr>
          <w:lang w:val="en-US"/>
        </w:rPr>
        <w:t>Figure 5</w:t>
      </w:r>
      <w:r w:rsidRPr="00610DF2">
        <w:rPr>
          <w:lang w:val="en-US"/>
        </w:rPr>
        <w:t>). It can be concluded that the most effective models turned out to be logit-regression on the transformed data of the PCA method and the SVM method with a radial kernel.</w:t>
      </w:r>
    </w:p>
    <w:p w14:paraId="545AFEAE" w14:textId="41ED2191" w:rsidR="00610DF2" w:rsidRDefault="00610DF2" w:rsidP="00610DF2">
      <w:pPr>
        <w:ind w:firstLine="708"/>
        <w:jc w:val="right"/>
        <w:rPr>
          <w:lang w:val="en-US"/>
        </w:rPr>
      </w:pPr>
      <w:r>
        <w:rPr>
          <w:lang w:val="en-US"/>
        </w:rPr>
        <w:t xml:space="preserve">Figure 5. ROC curves </w:t>
      </w:r>
      <w:r w:rsidR="00833C75">
        <w:rPr>
          <w:lang w:val="en-US"/>
        </w:rPr>
        <w:t>for</w:t>
      </w:r>
      <w:r>
        <w:rPr>
          <w:lang w:val="en-US"/>
        </w:rPr>
        <w:t xml:space="preserve"> estimated models</w:t>
      </w:r>
    </w:p>
    <w:p w14:paraId="5344D634" w14:textId="7E3906CF" w:rsidR="00610DF2" w:rsidRDefault="00610DF2" w:rsidP="00610DF2">
      <w:pPr>
        <w:ind w:firstLine="708"/>
        <w:jc w:val="center"/>
        <w:rPr>
          <w:lang w:val="en-US"/>
        </w:rPr>
      </w:pPr>
      <w:r>
        <w:rPr>
          <w:rFonts w:ascii="Times New Roman" w:hAnsi="Times New Roman" w:cs="Times New Roman"/>
          <w:noProof/>
          <w:sz w:val="28"/>
          <w:szCs w:val="28"/>
          <w:lang w:eastAsia="ru-RU"/>
        </w:rPr>
        <w:drawing>
          <wp:inline distT="0" distB="0" distL="0" distR="0" wp14:anchorId="46F4AD47" wp14:editId="33A858F5">
            <wp:extent cx="4778734" cy="3574494"/>
            <wp:effectExtent l="0" t="0" r="3175" b="698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131" cy="3583767"/>
                    </a:xfrm>
                    <a:prstGeom prst="rect">
                      <a:avLst/>
                    </a:prstGeom>
                    <a:noFill/>
                    <a:ln>
                      <a:noFill/>
                    </a:ln>
                  </pic:spPr>
                </pic:pic>
              </a:graphicData>
            </a:graphic>
          </wp:inline>
        </w:drawing>
      </w:r>
    </w:p>
    <w:p w14:paraId="6CC73798" w14:textId="7060D4F9" w:rsidR="00610DF2" w:rsidRPr="00AE2631" w:rsidRDefault="00610DF2" w:rsidP="00610DF2">
      <w:pPr>
        <w:ind w:firstLine="708"/>
        <w:jc w:val="both"/>
        <w:rPr>
          <w:lang w:val="en-US"/>
        </w:rPr>
      </w:pPr>
      <w:r w:rsidRPr="00610DF2">
        <w:rPr>
          <w:lang w:val="en-US"/>
        </w:rPr>
        <w:t>It can be concluded that th</w:t>
      </w:r>
      <w:r>
        <w:rPr>
          <w:lang w:val="en-US"/>
        </w:rPr>
        <w:t>e</w:t>
      </w:r>
      <w:r w:rsidRPr="00610DF2">
        <w:rPr>
          <w:lang w:val="en-US"/>
        </w:rPr>
        <w:t>s</w:t>
      </w:r>
      <w:r>
        <w:rPr>
          <w:lang w:val="en-US"/>
        </w:rPr>
        <w:t>e</w:t>
      </w:r>
      <w:r w:rsidRPr="00610DF2">
        <w:rPr>
          <w:lang w:val="en-US"/>
        </w:rPr>
        <w:t xml:space="preserve"> type</w:t>
      </w:r>
      <w:r>
        <w:rPr>
          <w:lang w:val="en-US"/>
        </w:rPr>
        <w:t>s</w:t>
      </w:r>
      <w:r w:rsidRPr="00610DF2">
        <w:rPr>
          <w:lang w:val="en-US"/>
        </w:rPr>
        <w:t xml:space="preserve"> of model</w:t>
      </w:r>
      <w:r>
        <w:rPr>
          <w:lang w:val="en-US"/>
        </w:rPr>
        <w:t>s</w:t>
      </w:r>
      <w:r w:rsidRPr="00610DF2">
        <w:rPr>
          <w:lang w:val="en-US"/>
        </w:rPr>
        <w:t xml:space="preserve"> is applicable to forecasting the default of corporate bonds in the Russian market. Due to the incompleteness of data on companies, it is impossible to consider non-quantitative indicators of companies, for example, information about the owners of the compan</w:t>
      </w:r>
      <w:r>
        <w:rPr>
          <w:lang w:val="en-US"/>
        </w:rPr>
        <w:t>ies</w:t>
      </w:r>
      <w:r w:rsidRPr="00610DF2">
        <w:rPr>
          <w:lang w:val="en-US"/>
        </w:rPr>
        <w:t xml:space="preserve">, etc. However, it would be useful to use the dynamics of the proposed financial </w:t>
      </w:r>
      <w:r>
        <w:rPr>
          <w:lang w:val="en-US"/>
        </w:rPr>
        <w:t>multiplies</w:t>
      </w:r>
      <w:r w:rsidRPr="00610DF2">
        <w:rPr>
          <w:lang w:val="en-US"/>
        </w:rPr>
        <w:t xml:space="preserve"> and use this information, for example, as adjustment coefficients for the original </w:t>
      </w:r>
      <w:r>
        <w:rPr>
          <w:lang w:val="en-US"/>
        </w:rPr>
        <w:t>predictors</w:t>
      </w:r>
      <w:r w:rsidRPr="00610DF2">
        <w:rPr>
          <w:lang w:val="en-US"/>
        </w:rPr>
        <w:t>.</w:t>
      </w:r>
    </w:p>
    <w:sectPr w:rsidR="00610DF2" w:rsidRPr="00AE2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CD"/>
    <w:rsid w:val="0000790C"/>
    <w:rsid w:val="00067ED0"/>
    <w:rsid w:val="00083FEE"/>
    <w:rsid w:val="00207F67"/>
    <w:rsid w:val="0034390A"/>
    <w:rsid w:val="00505AAC"/>
    <w:rsid w:val="00610DF2"/>
    <w:rsid w:val="00833C75"/>
    <w:rsid w:val="008A572D"/>
    <w:rsid w:val="00914A04"/>
    <w:rsid w:val="00A93981"/>
    <w:rsid w:val="00AE2631"/>
    <w:rsid w:val="00C557B8"/>
    <w:rsid w:val="00DE39E8"/>
    <w:rsid w:val="00E36FCD"/>
    <w:rsid w:val="00F31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012A"/>
  <w15:chartTrackingRefBased/>
  <w15:docId w15:val="{8928E194-95E3-41E2-B813-A0701FBA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1205</Words>
  <Characters>6871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Зоткин</dc:creator>
  <cp:keywords/>
  <dc:description/>
  <cp:lastModifiedBy>Кирилл Зоткин</cp:lastModifiedBy>
  <cp:revision>9</cp:revision>
  <dcterms:created xsi:type="dcterms:W3CDTF">2021-09-21T20:51:00Z</dcterms:created>
  <dcterms:modified xsi:type="dcterms:W3CDTF">2021-10-01T10:23:00Z</dcterms:modified>
</cp:coreProperties>
</file>