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MEDIZO</w:t>
      </w:r>
    </w:p>
    <w:p>
      <w:pPr>
        <w:jc w:val="center"/>
      </w:pPr>
      <w:r>
        <w:rPr>
          <w:i/>
          <w:sz w:val="26"/>
        </w:rPr>
        <w:t>Интеллектуальная платформа для тренировки клинического, санитарно-эпидемиологического и управленческого мышления на основе AI-ассистированной симуляции медицинских кейсов</w:t>
      </w:r>
    </w:p>
    <w:p>
      <w:pPr>
        <w:jc w:val="center"/>
      </w:pPr>
      <w:r>
        <w:rPr>
          <w:b/>
        </w:rPr>
        <w:br/>
        <w:t>Техническая документация для целей патентования</w:t>
        <w:br/>
      </w:r>
      <w:r>
        <w:t>Версия 1.0 · 2026-05-14</w:t>
        <w:br/>
      </w:r>
    </w:p>
    <w:p>
      <w:r>
        <w:br w:type="page"/>
      </w:r>
    </w:p>
    <w:p>
      <w:pPr>
        <w:pStyle w:val="Heading1"/>
        <w:keepNext/>
        <w:spacing w:before="360" w:after="160"/>
      </w:pPr>
      <w:r>
        <w:t>1. Аннотация</w:t>
      </w:r>
    </w:p>
    <w:p>
      <w:pPr>
        <w:spacing w:after="120"/>
      </w:pPr>
      <w:r>
        <w:t>Изобретение относится к области автоматизированных обучающих систем в здравоохранении и представляет собой веб-платформу, которая моделирует интерактивные клинические, санитарно-эпидемиологические и управленческие ситуации, организуя сократический диалог между обучаемым специалистом и искусственным интеллектом, играющим роль наставника. Платформа обеспечивает постепенное раскрытие диагностически значимых сведений по запросу обучающегося, скрытое от пользователя сравнение его финального ответа с эталоном (solution gating) и автоматическую оценку решения с учётом ошибочных шагов и корректного алгоритма действий.</w:t>
      </w:r>
    </w:p>
    <w:p>
      <w:pPr>
        <w:spacing w:after="120"/>
      </w:pPr>
      <w:r>
        <w:t>Технический результат — повышение качества и масштабируемости клинической подготовки специалистов за счёт сочетания структурированной схемы кейсов, динамической логики раскрытия данных и валидации выходных данных языковой модели по строгой формальной схеме.</w:t>
      </w:r>
    </w:p>
    <w:p>
      <w:pPr>
        <w:pStyle w:val="Heading1"/>
        <w:keepNext/>
        <w:spacing w:before="360" w:after="160"/>
      </w:pPr>
      <w:r>
        <w:t>2. Область применения</w:t>
      </w:r>
    </w:p>
    <w:p>
      <w:pPr>
        <w:pStyle w:val="ListBullet"/>
      </w:pPr>
      <w:r>
        <w:t>Непрерывное медицинское образование (НМО) врачей и среднего медицинского персонала.</w:t>
      </w:r>
    </w:p>
    <w:p>
      <w:pPr>
        <w:pStyle w:val="ListBullet"/>
      </w:pPr>
      <w:r>
        <w:t>Симуляционно-тренинговые центры медицинских вузов.</w:t>
      </w:r>
    </w:p>
    <w:p>
      <w:pPr>
        <w:pStyle w:val="ListBullet"/>
      </w:pPr>
      <w:r>
        <w:t>Повышение квалификации специалистов санитарно-эпидемиологической службы.</w:t>
      </w:r>
    </w:p>
    <w:p>
      <w:pPr>
        <w:pStyle w:val="ListBullet"/>
      </w:pPr>
      <w:r>
        <w:t>Подготовка управленческих кадров здравоохранения (организаторы, главные врачи).</w:t>
      </w:r>
    </w:p>
    <w:p>
      <w:pPr>
        <w:pStyle w:val="ListBullet"/>
      </w:pPr>
      <w:r>
        <w:t>Корпоративные тренинги для клиник, страховых медицинских организаций и регуляторов.</w:t>
      </w:r>
    </w:p>
    <w:p>
      <w:pPr>
        <w:pStyle w:val="Heading1"/>
        <w:keepNext/>
        <w:spacing w:before="360" w:after="160"/>
      </w:pPr>
      <w:r>
        <w:t>3. Уровень техники</w:t>
      </w:r>
    </w:p>
    <w:p>
      <w:pPr>
        <w:spacing w:after="120"/>
      </w:pPr>
      <w:r>
        <w:t>Существующие системы клинической симуляции делятся на четыре крупные группы: (а) текстовые «банки кейсов» в виде статичных файлов, не предполагающие интерактивности; (б) системы вопрос-ответ на основе детерминированных деревьев решений; (в) VR/манекенные симуляторы, требующие физического оборудования; (г) обобщённые AI-чат-боты, не имеющие предметной схемы, не выполняющие гейтинга эталонного решения и не валидирующие свои ответы по строгой формальной структуре.</w:t>
      </w:r>
    </w:p>
    <w:p>
      <w:pPr>
        <w:spacing w:after="120"/>
      </w:pPr>
      <w:r>
        <w:t>Недостатки прототипов: статические банки кейсов не дают обратной связи и не учитывают логику постепенного раскрытия; деревья решений не масштабируются на большой массив кейсов и не способны вести естественный диалог; обобщённые чат-боты не различают режим кейса (клинический инцидент, санэпид-расследование, лучшая практика, управленческое решение), произвольно «выдают» эталонный ответ до завершения сценария и возвращают неструктурированный текст, что препятствует автоматической оценке.</w:t>
      </w:r>
    </w:p>
    <w:p>
      <w:pPr>
        <w:pStyle w:val="Heading1"/>
        <w:keepNext/>
        <w:spacing w:before="360" w:after="160"/>
      </w:pPr>
      <w:r>
        <w:t>4. Сущность изобретения</w:t>
      </w:r>
    </w:p>
    <w:p>
      <w:pPr>
        <w:pStyle w:val="Heading2"/>
        <w:keepNext/>
        <w:spacing w:before="240" w:after="120"/>
      </w:pPr>
      <w:r>
        <w:t>4.1. Решаемая техническая задача</w:t>
      </w:r>
    </w:p>
    <w:p>
      <w:pPr>
        <w:spacing w:after="120"/>
      </w:pPr>
      <w:r>
        <w:t>Создание масштабируемой обучающей системы, которая (1) поддерживает несколько разнородных типов клинических кейсов в едином схематическом представлении, (2) обеспечивает динамическое сократическое раскрытие сведений из эталона по запросу обучающегося без преждевременной выдачи ответа, (3) производит детерминированную автоматическую оценку решения обучаемого относительно скрытого эталона, и (4) валидирует все генеративные ответы AI-модели по строгой формальной схеме с гарантией разбора программой-клиентом.</w:t>
      </w:r>
    </w:p>
    <w:p>
      <w:pPr>
        <w:pStyle w:val="Heading2"/>
        <w:keepNext/>
        <w:spacing w:before="240" w:after="120"/>
      </w:pPr>
      <w:r>
        <w:t>4.2. Достигаемый технический результат</w:t>
      </w:r>
    </w:p>
    <w:p>
      <w:pPr>
        <w:pStyle w:val="ListBullet"/>
      </w:pPr>
      <w:r>
        <w:t>Унификация хранения и проигрывания разнородных медицинских кейсов (клинический инцидент, санитарно-эпидемиологическое расследование, лучшая практика, управленческий кейс) в одной модели данных.</w:t>
      </w:r>
    </w:p>
    <w:p>
      <w:pPr>
        <w:pStyle w:val="ListBullet"/>
      </w:pPr>
      <w:r>
        <w:t>Защита эталонного решения (solution gating) на уровне серверной логики и формата ответа AI: эталон никогда не покидает сервер до завершения сценария.</w:t>
      </w:r>
    </w:p>
    <w:p>
      <w:pPr>
        <w:pStyle w:val="ListBullet"/>
      </w:pPr>
      <w:r>
        <w:t>Гарантированная синтаксическая корректность ответа модели за счёт ответов, валидированных по JSON-Schema, производной от Zod-схемы.</w:t>
      </w:r>
    </w:p>
    <w:p>
      <w:pPr>
        <w:pStyle w:val="ListBullet"/>
      </w:pPr>
      <w:r>
        <w:t>Возможность массовой загрузки референсных кейсов в виде Markdown и автоматического приведения их к строгой структуре через LLM-импорт.</w:t>
      </w:r>
    </w:p>
    <w:p>
      <w:pPr>
        <w:pStyle w:val="ListBullet"/>
      </w:pPr>
      <w:r>
        <w:t>Возможность многоязычной локализации (русский, казахский) без изменения серверной логики.</w:t>
      </w:r>
    </w:p>
    <w:p>
      <w:pPr>
        <w:pStyle w:val="Heading1"/>
        <w:keepNext/>
        <w:spacing w:before="360" w:after="160"/>
      </w:pPr>
      <w:r>
        <w:t>5. Краткое описание чертежей</w:t>
      </w:r>
    </w:p>
    <w:p>
      <w:pPr>
        <w:spacing w:after="120"/>
      </w:pPr>
      <w:r>
        <w:t>Изобретение поясняется следующими схемами (приводятся отдельно):</w:t>
      </w:r>
    </w:p>
    <w:p>
      <w:pPr>
        <w:pStyle w:val="ListBullet"/>
      </w:pPr>
      <w:r>
        <w:t>Фиг. 1 — общая архитектура системы (клиент, сервер, ИИ-провайдер, СУБД, файловое хранилище).</w:t>
      </w:r>
    </w:p>
    <w:p>
      <w:pPr>
        <w:pStyle w:val="ListBullet"/>
      </w:pPr>
      <w:r>
        <w:t>Фиг. 2 — модель данных (сущности Case, ChatSession, CaseAttachment, User и их связи).</w:t>
      </w:r>
    </w:p>
    <w:p>
      <w:pPr>
        <w:pStyle w:val="ListBullet"/>
      </w:pPr>
      <w:r>
        <w:t>Фиг. 3 — конечный автомат состояний учебной сессии (`discussing → diagnosis_submitted → done`).</w:t>
      </w:r>
    </w:p>
    <w:p>
      <w:pPr>
        <w:pStyle w:val="ListBullet"/>
      </w:pPr>
      <w:r>
        <w:t>Фиг. 4 — поток сократического раскрытия findings и контроль эталонного решения.</w:t>
      </w:r>
    </w:p>
    <w:p>
      <w:pPr>
        <w:pStyle w:val="ListBullet"/>
      </w:pPr>
      <w:r>
        <w:t>Фиг. 5 — поток импорта референсного кейса из Markdown в структурированную форму.</w:t>
      </w:r>
    </w:p>
    <w:p>
      <w:pPr>
        <w:pStyle w:val="Heading1"/>
        <w:keepNext/>
        <w:spacing w:before="360" w:after="160"/>
      </w:pPr>
      <w:r>
        <w:t>6. Подробное описание реализации</w:t>
      </w:r>
    </w:p>
    <w:p>
      <w:pPr>
        <w:pStyle w:val="Heading2"/>
        <w:keepNext/>
        <w:spacing w:before="240" w:after="120"/>
      </w:pPr>
      <w:r>
        <w:t>6.1. Общая архитектура</w:t>
      </w:r>
    </w:p>
    <w:p>
      <w:pPr>
        <w:spacing w:after="120"/>
      </w:pPr>
      <w:r>
        <w:t>Платформа реализована в виде SSR-веб-приложения на платформе Next.js 15 (App Router). Серверный слой включает в себя серверные действия (Server Actions), REST-эндпоинты для загрузки файлов и обработчик аутентификации NextAuth v5. Бизнес-данные хранятся в реляционной СУБД PostgreSQL 16, доступ через ORM Prisma. Файлы (изображения и вложения кейсов) сохраняются в файловой системе сервера через настраиваемый путь UPLOAD_DIR. Генеративная функциональность вынесена в отдельные AI-флоу, обращающиеся к API OpenAI (по умолчанию модель `gpt-4.1`) через нативный SDK с использованием режима `chat.completions.parse` и JSON-Schema, производной из Zod-схем (`zodResponseFormat`).</w:t>
      </w:r>
    </w:p>
    <w:p>
      <w:pPr>
        <w:pStyle w:val="Heading3"/>
        <w:keepNext/>
        <w:spacing w:before="160" w:after="80"/>
      </w:pPr>
      <w:r>
        <w:t>Компоненты системы</w:t>
      </w:r>
    </w:p>
    <w:p>
      <w:pPr>
        <w:pStyle w:val="ListBullet"/>
      </w:pPr>
      <w:r>
        <w:t>Веб-приложение Next.js (клиент + сервер) — единая кодовая база на TypeScript.</w:t>
      </w:r>
    </w:p>
    <w:p>
      <w:pPr>
        <w:pStyle w:val="ListBullet"/>
      </w:pPr>
      <w:r>
        <w:t>СУБД PostgreSQL 16 с миграциями Prisma (`prisma/migrations`).</w:t>
      </w:r>
    </w:p>
    <w:p>
      <w:pPr>
        <w:pStyle w:val="ListBullet"/>
      </w:pPr>
      <w:r>
        <w:t>Файловое хранилище — локальная файловая система, абстрагированная через `src/lib/storage.ts`.</w:t>
      </w:r>
    </w:p>
    <w:p>
      <w:pPr>
        <w:pStyle w:val="ListBullet"/>
      </w:pPr>
      <w:r>
        <w:t>AI-провайдер — OpenAI Chat Completions API в режиме `parse` со строгой JSON-Schema.</w:t>
      </w:r>
    </w:p>
    <w:p>
      <w:pPr>
        <w:pStyle w:val="ListBullet"/>
      </w:pPr>
      <w:r>
        <w:t>Среда исполнения — Docker Compose (контейнеры `postgres` и `web`); продакшен-оверлей закрывает наружные порты СУБД.</w:t>
      </w:r>
    </w:p>
    <w:p>
      <w:pPr>
        <w:pStyle w:val="Heading2"/>
        <w:keepNext/>
        <w:spacing w:before="240" w:after="120"/>
      </w:pPr>
      <w:r>
        <w:t>6.2. Модель данных</w:t>
      </w:r>
    </w:p>
    <w:p>
      <w:pPr>
        <w:spacing w:after="120"/>
      </w:pPr>
      <w:r>
        <w:t>Ключевые сущности (фрагменты схемы Prisma приведены в Разделе 9.1):</w:t>
      </w:r>
    </w:p>
    <w:p>
      <w:pPr>
        <w:pStyle w:val="ListBullet"/>
      </w:pPr>
      <w:r>
        <w:t>User — пользователь системы с ролью `ADMIN | DOCTOR | PATIENT`.</w:t>
      </w:r>
    </w:p>
    <w:p>
      <w:pPr>
        <w:pStyle w:val="ListBullet"/>
      </w:pPr>
      <w:r>
        <w:t>Case — учебный кейс с полями `mode` (режим), `body` (тело документа BlockNote), `solution` (скрытый эталон, JSON), `taskQuestions` (формулировки заданий), `subgroup`, `specialty`, `tags`, медиа и вложения.</w:t>
      </w:r>
    </w:p>
    <w:p>
      <w:pPr>
        <w:pStyle w:val="ListBullet"/>
      </w:pPr>
      <w:r>
        <w:t>ChatSession — сессия одного пользователя по одному кейсу: уникальна по `(userId, caseId)`, хранит весь массив сообщений, текущую фазу `phase`, скрытую оценку `evaluation`, финальный ответ `finalAnswer`.</w:t>
      </w:r>
    </w:p>
    <w:p>
      <w:pPr>
        <w:pStyle w:val="ListBullet"/>
      </w:pPr>
      <w:r>
        <w:t>CaseAttachment / CaseImage — медиа-материалы кейса; перед публикацией кейса вложения существуют с `caseId = NULL` и «привязываются» при сохранении.</w:t>
      </w:r>
    </w:p>
    <w:p>
      <w:pPr>
        <w:pStyle w:val="ListBullet"/>
      </w:pPr>
      <w:r>
        <w:t>NewsItem, Tag — справочные сущности для интерфейса.</w:t>
      </w:r>
    </w:p>
    <w:p>
      <w:pPr>
        <w:pStyle w:val="Heading2"/>
        <w:keepNext/>
        <w:spacing w:before="240" w:after="120"/>
      </w:pPr>
      <w:r>
        <w:t>6.3. Унифицированная схема кейса</w:t>
      </w:r>
    </w:p>
    <w:p>
      <w:pPr>
        <w:spacing w:after="120"/>
      </w:pPr>
      <w:r>
        <w:t>Все кейсы хранятся в единой таблице `Case`, но семантика поля `solution` и формы оценивания варьируются в зависимости от значения поля `mode`. Это делается через дискриминированное объединение (discriminated union) по полю `kind` внутри JSON-объекта `solution`:</w:t>
      </w:r>
    </w:p>
    <w:p>
      <w:pPr>
        <w:pStyle w:val="ListBullet"/>
      </w:pPr>
      <w:r>
        <w:t>`kind: "incident"` — для клинических и санитарно-эпидемиологических инцидентов; содержит правильный диагноз, список типичных ошибок, корректный алгоритм действий и оценку предотвратимости (`full | conditional | none`).</w:t>
      </w:r>
    </w:p>
    <w:p>
      <w:pPr>
        <w:pStyle w:val="ListBullet"/>
      </w:pPr>
      <w:r>
        <w:t>`kind: "reflection"` — для кейсов «лучшая практика» и кейсов менеджмента; содержит ключевые инсайты, верные решения и извлечённые уроки.</w:t>
      </w:r>
    </w:p>
    <w:p>
      <w:pPr>
        <w:spacing w:after="120"/>
      </w:pPr>
      <w:r>
        <w:t>Соответствие режима кейса (`CaseMode`) и формы эталона задаётся функцией `expectedSolutionKind(mode)`. Эта функция используется и при ручном вводе эталона администратором, и при импорте кейсов из Markdown, и при валидации ответов AI-флоу.</w:t>
      </w:r>
    </w:p>
    <w:p>
      <w:pPr>
        <w:pStyle w:val="Heading2"/>
        <w:keepNext/>
        <w:spacing w:before="240" w:after="120"/>
      </w:pPr>
      <w:r>
        <w:t>6.4. Сократический диалог и динамическое раскрытие findings</w:t>
      </w:r>
    </w:p>
    <w:p>
      <w:pPr>
        <w:spacing w:after="120"/>
      </w:pPr>
      <w:r>
        <w:t>Центральный AI-флоу `runCaseChat` получает на вход тело кейса в виде плоского Markdown (формируется из BlockNote-документа через `caseBodyToText`), формулировки заданий, полный объект эталона `solution` и текущую историю сообщений. Системный промпт выбирается по `CaseMode`. Модель играет роль наставника: на запрос обучающегося она вправе раскрыть один или несколько фактов из тела кейса или эталона, но не имеет права воспроизводить эталонное решение дословно до момента, когда пользователь сам предъявит финальный ответ.</w:t>
      </w:r>
    </w:p>
    <w:p>
      <w:pPr>
        <w:spacing w:after="120"/>
      </w:pPr>
      <w:r>
        <w:t>Ответ модели имеет жёстко формализованную структуру (см. Раздел 9.2), которая включает поля `reply` (текст реплики), `suggestedActions` (подсказки следующих шагов), `phase` (новое состояние сессии) и опциональное поле `evaluation`. Структура валидируется на сервере по Zod-схеме `chatResponseSchema`, после чего сохраняется в `ChatSession.messages`.</w:t>
      </w:r>
    </w:p>
    <w:p>
      <w:pPr>
        <w:pStyle w:val="Heading3"/>
        <w:keepNext/>
        <w:spacing w:before="160" w:after="80"/>
      </w:pPr>
      <w:r>
        <w:t>Конечный автомат состояний сессии</w:t>
      </w:r>
    </w:p>
    <w:p>
      <w:pPr>
        <w:pStyle w:val="ListNumber"/>
      </w:pPr>
      <w:r>
        <w:t>discussing — обучающийся ведёт обсуждение, модель раскрывает данные по запросу.</w:t>
      </w:r>
    </w:p>
    <w:p>
      <w:pPr>
        <w:pStyle w:val="ListNumber"/>
      </w:pPr>
      <w:r>
        <w:t>diagnosis_submitted — обучающийся вызвал `handleCaseChat` с флагом `submittingFinalAnswer = true`; модель производит сравнение `finalAnswer` с эталоном и формирует объект `evaluation`.</w:t>
      </w:r>
    </w:p>
    <w:p>
      <w:pPr>
        <w:pStyle w:val="ListNumber"/>
      </w:pPr>
      <w:r>
        <w:t>done — сессия завершена; интерфейс выдаёт `getCaseSolution`, раскрывающий полный эталон.</w:t>
      </w:r>
    </w:p>
    <w:p>
      <w:pPr>
        <w:pStyle w:val="Heading2"/>
        <w:keepNext/>
        <w:spacing w:before="240" w:after="120"/>
      </w:pPr>
      <w:r>
        <w:t>6.5. Solution gating (гейтинг эталонного решения)</w:t>
      </w:r>
    </w:p>
    <w:p>
      <w:pPr>
        <w:spacing w:after="120"/>
      </w:pPr>
      <w:r>
        <w:t>Защита эталона реализована на трёх уровнях:</w:t>
      </w:r>
    </w:p>
    <w:p>
      <w:pPr>
        <w:pStyle w:val="ListBullet"/>
      </w:pPr>
      <w:r>
        <w:t>Уровень транспорта: сериализатор `serializeCase` удаляет поле `solution` из всех ответов клиенту (включая `getCases`, `getCaseById`) и подменяет его булевым признаком `hasSolution`.</w:t>
      </w:r>
    </w:p>
    <w:p>
      <w:pPr>
        <w:pStyle w:val="ListBullet"/>
      </w:pPr>
      <w:r>
        <w:t>Уровень доступа: серверное действие `getCaseSolution(caseId)` возвращает эталон только если пользователь имеет роль `ADMIN` либо его `ChatSession.phase = done`; во всех остальных случаях возвращает `{ solution: null, available: false }`.</w:t>
      </w:r>
    </w:p>
    <w:p>
      <w:pPr>
        <w:pStyle w:val="ListBullet"/>
      </w:pPr>
      <w:r>
        <w:t>Уровень AI: системный промпт в фазе `discussing` запрещает воспроизводить эталон дословно; структурированный ответ модели проходит проверку Zod-схемой, что предотвращает «утечку» данных по непреднамеренным путям.</w:t>
      </w:r>
    </w:p>
    <w:p>
      <w:pPr>
        <w:pStyle w:val="Heading2"/>
        <w:keepNext/>
        <w:spacing w:before="240" w:after="120"/>
      </w:pPr>
      <w:r>
        <w:t>6.6. Валидация генеративных ответов по строгой схеме</w:t>
      </w:r>
    </w:p>
    <w:p>
      <w:pPr>
        <w:spacing w:after="120"/>
      </w:pPr>
      <w:r>
        <w:t>Все ИИ-флоу системы построены поверх обобщённого помощника `runChat`, который принимает Zod-схему и список сообщений и обращается к `openai.chat.completions.parse(...)` с параметром `response_format = zodResponseFormat(schema, name)`. Если модель возвращает текст, не соответствующий схеме, либо отказывается отвечать, помощник выбрасывает исключение с текстом отказа; в успешном случае возвращает уже типизированный объект `parsed`. Это устраняет необходимость пост-парсинга свободного текста и делает работу с моделью эквивалентной вызову типизированного RPC.</w:t>
      </w:r>
    </w:p>
    <w:p>
      <w:pPr>
        <w:pStyle w:val="Heading2"/>
        <w:keepNext/>
        <w:spacing w:before="240" w:after="120"/>
      </w:pPr>
      <w:r>
        <w:t>6.7. Импорт референсных кейсов из Markdown</w:t>
      </w:r>
    </w:p>
    <w:p>
      <w:pPr>
        <w:spacing w:after="120"/>
      </w:pPr>
      <w:r>
        <w:t>Платформа поддерживает массовый импорт банка референсных кейсов из Markdown-файлов. Серверное действие `handleStructureCaseFromMarkdown({ markdown, mode, hintedSubgroup, hintedSpecialty })` обращается к AI-флоу `structureCaseFromMarkdown`, передавая исходный Markdown и целевой режим. Модель возвращает структурированный черновик кейса (`structuredCaseDraftSchema`), включающий поля `bodyMarkdown`, `taskQuestions` и `solution`, причём форма эталона выбирается автоматически согласно `expectedSolutionKind(mode)`. Полученный объект далее проходит через стандартные действия `createCase` / `updateCase`, обеспечивая семантически эквивалентное представление кейса вне зависимости от того, был ли он введён вручную или импортирован.</w:t>
      </w:r>
    </w:p>
    <w:p>
      <w:pPr>
        <w:pStyle w:val="Heading2"/>
        <w:keepNext/>
        <w:spacing w:before="240" w:after="120"/>
      </w:pPr>
      <w:r>
        <w:t>6.8. Подсистема вложений</w:t>
      </w:r>
    </w:p>
    <w:p>
      <w:pPr>
        <w:spacing w:after="120"/>
      </w:pPr>
      <w:r>
        <w:t>Изображения и иные файлы кейса (PDF, документы Office, текстовые файлы) хранятся в каталоге `UPLOAD_DIR`. Каждый файл соответствует записи `CaseAttachment` с полями `filename`, `originalName`, `mimeType`, `size`, `kind`. Загрузка производится через `POST /api/attachments/upload` (только для администраторов), доступ через `GET /api/attachments/[filename]` (требует аутентификации). Жёсткий предел размера — 25 МБ на файл. При первичной загрузке создаётся «осиротевшая» запись с `caseId = NULL`, которая «привязывается» к кейсу при сохранении формы редактирования через массив `attachmentIds`.</w:t>
      </w:r>
    </w:p>
    <w:p>
      <w:pPr>
        <w:pStyle w:val="Heading2"/>
        <w:keepNext/>
        <w:spacing w:before="240" w:after="120"/>
      </w:pPr>
      <w:r>
        <w:t>6.9. Многоязычная локализация</w:t>
      </w:r>
    </w:p>
    <w:p>
      <w:pPr>
        <w:spacing w:after="120"/>
      </w:pPr>
      <w:r>
        <w:t>Все интерфейсные строки вынесены в файлы сообщений `src/i18n/messages/ru.json` и `src/i18n/messages/kk.json`. Локаль сохраняется в Cookie `docjob-locale` и переключается через эндпоинт `/api/i18n/set-locale`. На сервере для извлечения переводов используется `getRequestConfig` пакета `next-intl`. Доменные таксономии (подгруппы кейсов, специальности) представлены в виде констант на сервере, а их локализованные подписи задаются ключами в файлах сообщений; такое разделение позволяет добавлять новые локали без правок серверной логики.</w:t>
      </w:r>
    </w:p>
    <w:p>
      <w:pPr>
        <w:pStyle w:val="Heading2"/>
        <w:keepNext/>
        <w:spacing w:before="240" w:after="120"/>
      </w:pPr>
      <w:r>
        <w:t>6.10. Безопасность и контроль доступа</w:t>
      </w:r>
    </w:p>
    <w:p>
      <w:pPr>
        <w:pStyle w:val="ListBullet"/>
      </w:pPr>
      <w:r>
        <w:t>Хеширование паролей: bcryptjs, асимметричная стоимость по умолчанию.</w:t>
      </w:r>
    </w:p>
    <w:p>
      <w:pPr>
        <w:pStyle w:val="ListBullet"/>
      </w:pPr>
      <w:r>
        <w:t>Сессии: JWT с серверным секретом `NEXTAUTH_SECRET`; cookie `httpOnly`.</w:t>
      </w:r>
    </w:p>
    <w:p>
      <w:pPr>
        <w:pStyle w:val="ListBullet"/>
      </w:pPr>
      <w:r>
        <w:t>Маршрутный guard: middleware Edge-Runtime, публичные пути — `/login`, `/register`, `/api/auth/*`, `/api/images/*`.</w:t>
      </w:r>
    </w:p>
    <w:p>
      <w:pPr>
        <w:pStyle w:val="ListBullet"/>
      </w:pPr>
      <w:r>
        <w:t>Сервер-сайд хелперы: `getCurrentUser()`, `requireUser()`, `requireAdmin()`, используются во всех Server Actions и REST-обработчиках.</w:t>
      </w:r>
    </w:p>
    <w:p>
      <w:pPr>
        <w:pStyle w:val="ListBullet"/>
      </w:pPr>
      <w:r>
        <w:t>Гейтинг эталона: см. Раздел 6.5.</w:t>
      </w:r>
    </w:p>
    <w:p>
      <w:pPr>
        <w:pStyle w:val="Heading1"/>
        <w:keepNext/>
        <w:spacing w:before="360" w:after="160"/>
      </w:pPr>
      <w:r>
        <w:t>7. Примеры реализации (embodiments)</w:t>
      </w:r>
    </w:p>
    <w:p>
      <w:pPr>
        <w:pStyle w:val="Heading2"/>
        <w:keepNext/>
        <w:spacing w:before="240" w:after="120"/>
      </w:pPr>
      <w:r>
        <w:t>7.1. Сценарий клинического инцидента</w:t>
      </w:r>
    </w:p>
    <w:p>
      <w:pPr>
        <w:spacing w:after="120"/>
      </w:pPr>
      <w:r>
        <w:t>Администратор создаёт кейс с `mode = CLINICAL_QUEST`, заполняя тело (анамнез, осмотр, инструментальные данные) в BlockNote-редакторе и указывая эталонный диагноз, список типичных ошибок и корректный алгоритм действий. Обучающийся открывает кейс; чат-наставник приветствует его и предлагает направления для размышлений. По мере уточняющих вопросов модель раскрывает фрагменты findings (например, результат КТ или биохимический анализ), не озвучивая диагноза. После ввода финального диагноза система отображает оценку: совпал ли диагноз, какие из типичных ошибок были допущены, насколько случай был предотвратим.</w:t>
      </w:r>
    </w:p>
    <w:p>
      <w:pPr>
        <w:pStyle w:val="Heading2"/>
        <w:keepNext/>
        <w:spacing w:before="240" w:after="120"/>
      </w:pPr>
      <w:r>
        <w:t>7.2. Сценарий санитарно-эпидемиологического расследования</w:t>
      </w:r>
    </w:p>
    <w:p>
      <w:pPr>
        <w:spacing w:after="120"/>
      </w:pPr>
      <w:r>
        <w:t>Кейс с `mode = SANEPID_INVESTIGATION` использует ту же форму эталона `kind = incident`, но системный промпт направляет диалог в сторону эпидемиологического расследования: установления источника инфекции, путей передачи, нарушения санитарных регламентов. Обучающийся формулирует не диагноз, а версию о причинах вспышки и план санитарных мероприятий.</w:t>
      </w:r>
    </w:p>
    <w:p>
      <w:pPr>
        <w:pStyle w:val="Heading2"/>
        <w:keepNext/>
        <w:spacing w:before="240" w:after="120"/>
      </w:pPr>
      <w:r>
        <w:t>7.3. Сценарий «лучшая практика» / управленческий кейс</w:t>
      </w:r>
    </w:p>
    <w:p>
      <w:pPr>
        <w:spacing w:after="120"/>
      </w:pPr>
      <w:r>
        <w:t>Кейсы с `mode = BEST_PRACTICE` и `mode = MANAGEMENT` используют форму эталона `kind = reflection`. Сессия завершается не диагнозом, а рефлексией обучающегося над ключевыми инсайтами и принятыми решениями; модель сравнивает эту рефлексию с эталонными `keyInsights`, `correctDecisions`, `lessonsLearned`.</w:t>
      </w:r>
    </w:p>
    <w:p>
      <w:pPr>
        <w:pStyle w:val="Heading1"/>
        <w:keepNext/>
        <w:spacing w:before="360" w:after="160"/>
      </w:pPr>
      <w:r>
        <w:t>8. Формула изобретения (предварительные пункты)</w:t>
      </w:r>
    </w:p>
    <w:p>
      <w:pPr>
        <w:pStyle w:val="Heading2"/>
        <w:keepNext/>
        <w:spacing w:before="240" w:after="120"/>
      </w:pPr>
      <w:r>
        <w:t>Независимый пункт 1</w:t>
      </w:r>
    </w:p>
    <w:p>
      <w:pPr>
        <w:spacing w:after="120"/>
      </w:pPr>
      <w:r>
        <w:t>Способ компьютерной симуляции медицинского кейса, отличающийся тем, что:</w:t>
      </w:r>
    </w:p>
    <w:p>
      <w:pPr>
        <w:pStyle w:val="ListBullet"/>
      </w:pPr>
      <w:r>
        <w:t>а) в постоянной памяти системы хранят набор учебных кейсов в единой реляционной схеме, при этом каждый кейс ассоциирован с режимом из конечного множества {клинический инцидент, санитарно-эпидемиологическое расследование, лучшая практика, управленческий кейс} и эталонным объектом-решением, форма которого определяется указанным режимом посредством дискриминированного объединения;</w:t>
      </w:r>
    </w:p>
    <w:p>
      <w:pPr>
        <w:pStyle w:val="ListBullet"/>
      </w:pPr>
      <w:r>
        <w:t>б) пользователь инициирует учебную сессию по выбранному кейсу, при этом клиентскому приложению предоставляется тело кейса и формулировки заданий, но не эталонный объект-решение;</w:t>
      </w:r>
    </w:p>
    <w:p>
      <w:pPr>
        <w:pStyle w:val="ListBullet"/>
      </w:pPr>
      <w:r>
        <w:t>в) сервер, получив сообщение пользователя, формирует контекст для генеративной языковой модели, включающий в себя тело кейса, формулировки заданий, эталонный объект-решение и текущую историю переписки, и отправляет указанный контекст языковой модели в режиме, при котором ответ модели валидируется на стороне сервера по формальной схеме, заданной заранее;</w:t>
      </w:r>
    </w:p>
    <w:p>
      <w:pPr>
        <w:pStyle w:val="ListBullet"/>
      </w:pPr>
      <w:r>
        <w:t>г) сервер передаёт клиенту ответ модели, состоящий по меньшей мере из текста реплики, нового состояния сессии из конечного множества {обсуждение, ответ предъявлен, завершено} и опционального объекта оценки; при этом эталонный объект-решение не передаётся клиенту до момента, когда состояние сессии примет значение «завершено»;</w:t>
      </w:r>
    </w:p>
    <w:p>
      <w:pPr>
        <w:pStyle w:val="ListBullet"/>
      </w:pPr>
      <w:r>
        <w:t>д) при поступлении от пользователя финального ответа сервер вызывает указанную языковую модель с признаком завершения сессии, при этом модель формирует объект оценки путём сопоставления финального ответа пользователя с эталонным объектом-решением, и сохраняет указанный объект оценки в записи сессии.</w:t>
      </w:r>
    </w:p>
    <w:p>
      <w:pPr>
        <w:pStyle w:val="Heading2"/>
        <w:keepNext/>
        <w:spacing w:before="240" w:after="120"/>
      </w:pPr>
      <w:r>
        <w:t>Зависимые пункты</w:t>
      </w:r>
    </w:p>
    <w:p>
      <w:pPr>
        <w:pStyle w:val="ListNumber"/>
      </w:pPr>
      <w:r>
        <w:t>Способ по п. 1, отличающийся тем, что эталонный объект-решение в режиме «клинический инцидент» и в режиме «санитарно-эпидемиологическое расследование» содержит поля диагноза/гипотезы, набора типичных ошибок, корректного алгоритма действий и оценки предотвратимости.</w:t>
      </w:r>
    </w:p>
    <w:p>
      <w:pPr>
        <w:pStyle w:val="ListNumber"/>
      </w:pPr>
      <w:r>
        <w:t>Способ по п. 1, отличающийся тем, что эталонный объект-решение в режиме «лучшая практика» и в режиме «управленческий кейс» содержит поля ключевых инсайтов, корректных решений и извлечённых уроков.</w:t>
      </w:r>
    </w:p>
    <w:p>
      <w:pPr>
        <w:pStyle w:val="ListNumber"/>
      </w:pPr>
      <w:r>
        <w:t>Способ по п. 1, отличающийся тем, что валидация ответа языковой модели осуществляется по схеме, эквивалентной JSON Schema, автоматически выведенной из декларативного описания типов на стороне сервера.</w:t>
      </w:r>
    </w:p>
    <w:p>
      <w:pPr>
        <w:pStyle w:val="ListNumber"/>
      </w:pPr>
      <w:r>
        <w:t>Способ по п. 1, отличающийся тем, что серверное действие, возвращающее эталонный объект-решение клиенту, выдаёт его только при выполнении одного из условий: пользователь имеет роль «администратор» либо состояние сессии пользователя для данного кейса равно «завершено».</w:t>
      </w:r>
    </w:p>
    <w:p>
      <w:pPr>
        <w:pStyle w:val="ListNumber"/>
      </w:pPr>
      <w:r>
        <w:t>Способ по п. 1, отличающийся тем, что система дополнительно содержит механизм приведения референсного учебного кейса, представленного в виде текста с разметкой Markdown, к указанной единой реляционной схеме посредством обращения к генеративной языковой модели с принудительной формальной схемой ответа, при этом форма эталонного объекта-решения выбирается автоматически в зависимости от заданного режима кейса.</w:t>
      </w:r>
    </w:p>
    <w:p>
      <w:pPr>
        <w:pStyle w:val="ListNumber"/>
      </w:pPr>
      <w:r>
        <w:t>Способ по п. 1, отличающийся тем, что тело кейса хранится в виде структурированного документа из блоков, поддерживающих текст, изображения, файлы-вложения и таблицы, и преобразуется к плоскому текстовому виду перед передачей в генеративную модель.</w:t>
      </w:r>
    </w:p>
    <w:p>
      <w:pPr>
        <w:pStyle w:val="ListNumber"/>
      </w:pPr>
      <w:r>
        <w:t>Способ по п. 1, отличающийся тем, что вложения кейса до момента сохранения родительской записи существуют с пустой ссылкой на кейс и привязываются к кейсу единым атомарным действием при создании или обновлении кейса.</w:t>
      </w:r>
    </w:p>
    <w:p>
      <w:pPr>
        <w:pStyle w:val="ListNumber"/>
      </w:pPr>
      <w:r>
        <w:t>Способ по п. 1, отличающийся тем, что подписи, формулировки и системные промпты ассистента доступны на нескольких языках, причём режим кейса и форма эталонного объекта-решения остаются инвариантами относительно выбранного языка интерфейса.</w:t>
      </w:r>
    </w:p>
    <w:p>
      <w:pPr>
        <w:pStyle w:val="Heading1"/>
        <w:keepNext/>
        <w:spacing w:before="360" w:after="160"/>
      </w:pPr>
      <w:r>
        <w:t>9. Приложения</w:t>
      </w:r>
    </w:p>
    <w:p>
      <w:pPr>
        <w:pStyle w:val="Heading2"/>
        <w:keepNext/>
        <w:spacing w:before="240" w:after="120"/>
      </w:pPr>
      <w:r>
        <w:t>9.1. Фрагмент схемы базы данных (Prisma)</w:t>
      </w:r>
    </w:p>
    <w:p>
      <w:pPr>
        <w:pStyle w:val="Code"/>
      </w:pPr>
      <w:r>
        <w:t>model Case {</w:t>
        <w:br/>
        <w:t xml:space="preserve">  id                  String          @id @default(cuid())</w:t>
        <w:br/>
        <w:t xml:space="preserve">  authorId            String</w:t>
        <w:br/>
        <w:t xml:space="preserve">  name                String</w:t>
        <w:br/>
        <w:t xml:space="preserve">  primaryCondition    String?</w:t>
        <w:br/>
        <w:t xml:space="preserve">  history             String?</w:t>
        <w:br/>
        <w:t xml:space="preserve">  scenarioDescription String?</w:t>
        <w:br/>
        <w:t xml:space="preserve">  subgroup            String?</w:t>
        <w:br/>
        <w:t xml:space="preserve">  specialty           String?</w:t>
        <w:br/>
        <w:t xml:space="preserve">  tags                String[]</w:t>
        <w:br/>
        <w:t xml:space="preserve">  mode                CaseMode @default(CLINICAL_QUEST)</w:t>
        <w:br/>
        <w:t xml:space="preserve">  body                Json     @default("{\"blocks\":[]}")</w:t>
        <w:br/>
        <w:t xml:space="preserve">  solution            Json?</w:t>
        <w:br/>
        <w:t xml:space="preserve">  taskQuestions       String[]</w:t>
        <w:br/>
        <w:t xml:space="preserve">  images              CaseImage[]</w:t>
        <w:br/>
        <w:t xml:space="preserve">  attachments         CaseAttachment[]</w:t>
        <w:br/>
        <w:t xml:space="preserve">  chatSessions        ChatSession[]</w:t>
        <w:br/>
        <w:t xml:space="preserve">  createdAt           DateTime @default(now())</w:t>
        <w:br/>
        <w:t xml:space="preserve">  updatedAt           DateTime @updatedAt</w:t>
        <w:br/>
        <w:t xml:space="preserve">  @@index([subgroup])</w:t>
        <w:br/>
        <w:t xml:space="preserve">  @@index([mode])</w:t>
        <w:br/>
        <w:t>}</w:t>
        <w:br/>
        <w:br/>
        <w:t>model ChatSession {</w:t>
        <w:br/>
        <w:t xml:space="preserve">  id           String   @id @default(cuid())</w:t>
        <w:br/>
        <w:t xml:space="preserve">  userId       String</w:t>
        <w:br/>
        <w:t xml:space="preserve">  caseId       String</w:t>
        <w:br/>
        <w:t xml:space="preserve">  phase        String   // discussing | diagnosis_submitted | done</w:t>
        <w:br/>
        <w:t xml:space="preserve">  messages     Json     // массив реплик</w:t>
        <w:br/>
        <w:t xml:space="preserve">  finalAnswer  String?</w:t>
        <w:br/>
        <w:t xml:space="preserve">  evaluation   Json?</w:t>
        <w:br/>
        <w:t xml:space="preserve">  completedAt  DateTime?</w:t>
        <w:br/>
        <w:t xml:space="preserve">  createdAt    DateTime @default(now())</w:t>
        <w:br/>
        <w:t xml:space="preserve">  @@unique([userId, caseId])</w:t>
        <w:br/>
        <w:t>}</w:t>
        <w:br/>
        <w:br/>
        <w:t>enum CaseMode {</w:t>
        <w:br/>
        <w:t xml:space="preserve">  CLINICAL_QUEST</w:t>
        <w:br/>
        <w:t xml:space="preserve">  SANEPID_INVESTIGATION</w:t>
        <w:br/>
        <w:t xml:space="preserve">  BEST_PRACTICE</w:t>
        <w:br/>
        <w:t xml:space="preserve">  MANAGEMENT</w:t>
        <w:br/>
        <w:t>}</w:t>
      </w:r>
    </w:p>
    <w:p>
      <w:pPr>
        <w:pStyle w:val="Heading2"/>
        <w:keepNext/>
        <w:spacing w:before="240" w:after="120"/>
      </w:pPr>
      <w:r>
        <w:t>9.2. Формальная схема ответа AI-наставника (Zod)</w:t>
      </w:r>
    </w:p>
    <w:p>
      <w:pPr>
        <w:pStyle w:val="Code"/>
      </w:pPr>
      <w:r>
        <w:t>export const chatResponseSchema = z.object({</w:t>
        <w:br/>
        <w:t xml:space="preserve">  reply:            z.string(),</w:t>
        <w:br/>
        <w:t xml:space="preserve">  suggestedActions: z.array(z.string()).max(6),</w:t>
        <w:br/>
        <w:t xml:space="preserve">  phase:            z.enum(['discussing', 'diagnosis_submitted', 'done']),</w:t>
        <w:br/>
        <w:t xml:space="preserve">  evaluation: z.union([</w:t>
        <w:br/>
        <w:t xml:space="preserve">    chatEvaluationSchema,</w:t>
        <w:br/>
        <w:t xml:space="preserve">    z.null(),</w:t>
        <w:br/>
        <w:t xml:space="preserve">  ]),</w:t>
        <w:br/>
        <w:t>});</w:t>
      </w:r>
    </w:p>
    <w:p>
      <w:pPr>
        <w:pStyle w:val="Heading2"/>
        <w:keepNext/>
        <w:spacing w:before="240" w:after="120"/>
      </w:pPr>
      <w:r>
        <w:t>9.3. Дискриминированная схема эталонного решения</w:t>
      </w:r>
    </w:p>
    <w:p>
      <w:pPr>
        <w:pStyle w:val="Code"/>
      </w:pPr>
      <w:r>
        <w:t>export const caseSolutionSchema = z.discriminatedUnion('kind', [</w:t>
        <w:br/>
        <w:t xml:space="preserve">  z.object({</w:t>
        <w:br/>
        <w:t xml:space="preserve">    kind: z.literal('incident'),</w:t>
        <w:br/>
        <w:t xml:space="preserve">    diagnosis:        z.string(),</w:t>
        <w:br/>
        <w:t xml:space="preserve">    errors:           z.array(z.string()),</w:t>
        <w:br/>
        <w:t xml:space="preserve">    correctAlgorithm: z.string(),</w:t>
        <w:br/>
        <w:t xml:space="preserve">    preventability:   z.enum(['full', 'conditional', 'none']),</w:t>
        <w:br/>
        <w:t xml:space="preserve">  }),</w:t>
        <w:br/>
        <w:t xml:space="preserve">  z.object({</w:t>
        <w:br/>
        <w:t xml:space="preserve">    kind: z.literal('reflection'),</w:t>
        <w:br/>
        <w:t xml:space="preserve">    keyInsights:      z.array(z.string()),</w:t>
        <w:br/>
        <w:t xml:space="preserve">    correctDecisions: z.array(z.string()),</w:t>
        <w:br/>
        <w:t xml:space="preserve">    lessonsLearned:   z.string(),</w:t>
        <w:br/>
        <w:t xml:space="preserve">  }),</w:t>
        <w:br/>
        <w:t>]);</w:t>
      </w:r>
    </w:p>
    <w:p>
      <w:pPr>
        <w:pStyle w:val="Heading2"/>
        <w:keepNext/>
        <w:spacing w:before="240" w:after="120"/>
      </w:pPr>
      <w:r>
        <w:t>9.4. Поддерживаемые типы файлов-вложений и ограничения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MIME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Предел</w:t>
            </w:r>
          </w:p>
        </w:tc>
      </w:tr>
      <w:tr>
        <w:tc>
          <w:tcPr>
            <w:tcW w:type="dxa" w:w="3324"/>
          </w:tcPr>
          <w:p>
            <w:r>
              <w:t>Изображения</w:t>
            </w:r>
          </w:p>
        </w:tc>
        <w:tc>
          <w:tcPr>
            <w:tcW w:type="dxa" w:w="3324"/>
          </w:tcPr>
          <w:p>
            <w:r>
              <w:t>image/png, image/jpeg, image/webp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  <w:tr>
        <w:tc>
          <w:tcPr>
            <w:tcW w:type="dxa" w:w="3324"/>
          </w:tcPr>
          <w:p>
            <w:r>
              <w:t>PDF</w:t>
            </w:r>
          </w:p>
        </w:tc>
        <w:tc>
          <w:tcPr>
            <w:tcW w:type="dxa" w:w="3324"/>
          </w:tcPr>
          <w:p>
            <w:r>
              <w:t>application/pdf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  <w:tr>
        <w:tc>
          <w:tcPr>
            <w:tcW w:type="dxa" w:w="3324"/>
          </w:tcPr>
          <w:p>
            <w:r>
              <w:t>MS Office</w:t>
            </w:r>
          </w:p>
        </w:tc>
        <w:tc>
          <w:tcPr>
            <w:tcW w:type="dxa" w:w="3324"/>
          </w:tcPr>
          <w:p>
            <w:r>
              <w:t>application/msword, .docx, .xls, .xlsx, .ppt, .pptx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  <w:tr>
        <w:tc>
          <w:tcPr>
            <w:tcW w:type="dxa" w:w="3324"/>
          </w:tcPr>
          <w:p>
            <w:r>
              <w:t>Текст и CSV</w:t>
            </w:r>
          </w:p>
        </w:tc>
        <w:tc>
          <w:tcPr>
            <w:tcW w:type="dxa" w:w="3324"/>
          </w:tcPr>
          <w:p>
            <w:r>
              <w:t>text/plain, text/csv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</w:tbl>
    <w:p/>
    <w:p>
      <w:pPr>
        <w:pStyle w:val="Heading2"/>
        <w:keepNext/>
        <w:spacing w:before="240" w:after="120"/>
      </w:pPr>
      <w:r>
        <w:t>9.5. Конфигурация развёртывания</w:t>
      </w:r>
    </w:p>
    <w:p>
      <w:pPr>
        <w:pStyle w:val="ListBullet"/>
      </w:pPr>
      <w:r>
        <w:t>Контейнеризация: Docker Compose, multi-stage Dockerfile.</w:t>
      </w:r>
    </w:p>
    <w:p>
      <w:pPr>
        <w:pStyle w:val="ListBullet"/>
      </w:pPr>
      <w:r>
        <w:t>Сервисы: `postgres` (PostgreSQL 16, том `postgres_data`), `web` (Next.js, том `uploads`).</w:t>
      </w:r>
    </w:p>
    <w:p>
      <w:pPr>
        <w:pStyle w:val="ListBullet"/>
      </w:pPr>
      <w:r>
        <w:t>Production-overlay: `docker-compose.prod.yml` закрывает порт PostgreSQL и привязывает порт Next.js к loopback-интерфейсу.</w:t>
      </w:r>
    </w:p>
    <w:p>
      <w:pPr>
        <w:pStyle w:val="ListBullet"/>
      </w:pPr>
      <w:r>
        <w:t>Переменные окружения: `DATABASE_URL`, `NEXTAUTH_SECRET`, `NEXTAUTH_URL`, `OPENAI_API_KEY`, `OPENAI_MODEL`, `UPLOAD_DIR`.</w:t>
      </w:r>
    </w:p>
    <w:p>
      <w:pPr>
        <w:pStyle w:val="Heading2"/>
        <w:keepNext/>
        <w:spacing w:before="240" w:after="120"/>
      </w:pPr>
      <w:r>
        <w:t>9.6. Перечень основных программных модулей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src/lib/auth.ts / auth.config.ts</w:t>
            </w:r>
          </w:p>
        </w:tc>
        <w:tc>
          <w:tcPr>
            <w:tcW w:type="dxa" w:w="4986"/>
          </w:tcPr>
          <w:p>
            <w:r>
              <w:t>Конфигурация NextAuth и стратегий аутентификации.</w:t>
            </w:r>
          </w:p>
        </w:tc>
      </w:tr>
      <w:tr>
        <w:tc>
          <w:tcPr>
            <w:tcW w:type="dxa" w:w="4986"/>
          </w:tcPr>
          <w:p>
            <w:r>
              <w:t>src/lib/session.ts</w:t>
            </w:r>
          </w:p>
        </w:tc>
        <w:tc>
          <w:tcPr>
            <w:tcW w:type="dxa" w:w="4986"/>
          </w:tcPr>
          <w:p>
            <w:r>
              <w:t>Серверные хелперы requireUser / requireAdmin.</w:t>
            </w:r>
          </w:p>
        </w:tc>
      </w:tr>
      <w:tr>
        <w:tc>
          <w:tcPr>
            <w:tcW w:type="dxa" w:w="4986"/>
          </w:tcPr>
          <w:p>
            <w:r>
              <w:t>src/lib/case-schema.ts</w:t>
            </w:r>
          </w:p>
        </w:tc>
        <w:tc>
          <w:tcPr>
            <w:tcW w:type="dxa" w:w="4986"/>
          </w:tcPr>
          <w:p>
            <w:r>
              <w:t>Zod-схемы кейса, эталона и ответа AI.</w:t>
            </w:r>
          </w:p>
        </w:tc>
      </w:tr>
      <w:tr>
        <w:tc>
          <w:tcPr>
            <w:tcW w:type="dxa" w:w="4986"/>
          </w:tcPr>
          <w:p>
            <w:r>
              <w:t>src/lib/case-taxonomy.ts</w:t>
            </w:r>
          </w:p>
        </w:tc>
        <w:tc>
          <w:tcPr>
            <w:tcW w:type="dxa" w:w="4986"/>
          </w:tcPr>
          <w:p>
            <w:r>
              <w:t>Подгруппы и специальности.</w:t>
            </w:r>
          </w:p>
        </w:tc>
      </w:tr>
      <w:tr>
        <w:tc>
          <w:tcPr>
            <w:tcW w:type="dxa" w:w="4986"/>
          </w:tcPr>
          <w:p>
            <w:r>
              <w:t>src/lib/storage.ts</w:t>
            </w:r>
          </w:p>
        </w:tc>
        <w:tc>
          <w:tcPr>
            <w:tcW w:type="dxa" w:w="4986"/>
          </w:tcPr>
          <w:p>
            <w:r>
              <w:t>Файловое хранилище и валидация MIME.</w:t>
            </w:r>
          </w:p>
        </w:tc>
      </w:tr>
      <w:tr>
        <w:tc>
          <w:tcPr>
            <w:tcW w:type="dxa" w:w="4986"/>
          </w:tcPr>
          <w:p>
            <w:r>
              <w:t>src/ai/runChat.ts</w:t>
            </w:r>
          </w:p>
        </w:tc>
        <w:tc>
          <w:tcPr>
            <w:tcW w:type="dxa" w:w="4986"/>
          </w:tcPr>
          <w:p>
            <w:r>
              <w:t>Обобщённый помощник вызова LLM с принудительной схемой.</w:t>
            </w:r>
          </w:p>
        </w:tc>
      </w:tr>
      <w:tr>
        <w:tc>
          <w:tcPr>
            <w:tcW w:type="dxa" w:w="4986"/>
          </w:tcPr>
          <w:p>
            <w:r>
              <w:t>src/ai/flows/case-chat-flow.ts</w:t>
            </w:r>
          </w:p>
        </w:tc>
        <w:tc>
          <w:tcPr>
            <w:tcW w:type="dxa" w:w="4986"/>
          </w:tcPr>
          <w:p>
            <w:r>
              <w:t>AI-наставник: интро, реплики и финальная оценка.</w:t>
            </w:r>
          </w:p>
        </w:tc>
      </w:tr>
      <w:tr>
        <w:tc>
          <w:tcPr>
            <w:tcW w:type="dxa" w:w="4986"/>
          </w:tcPr>
          <w:p>
            <w:r>
              <w:t>src/ai/flows/structure-case-from-markdown.ts</w:t>
            </w:r>
          </w:p>
        </w:tc>
        <w:tc>
          <w:tcPr>
            <w:tcW w:type="dxa" w:w="4986"/>
          </w:tcPr>
          <w:p>
            <w:r>
              <w:t>Импорт референсных кейсов из Markdown.</w:t>
            </w:r>
          </w:p>
        </w:tc>
      </w:tr>
      <w:tr>
        <w:tc>
          <w:tcPr>
            <w:tcW w:type="dxa" w:w="4986"/>
          </w:tcPr>
          <w:p>
            <w:r>
              <w:t>src/app/actions.ts</w:t>
            </w:r>
          </w:p>
        </w:tc>
        <w:tc>
          <w:tcPr>
            <w:tcW w:type="dxa" w:w="4986"/>
          </w:tcPr>
          <w:p>
            <w:r>
              <w:t>Серверные действия: CRUD кейсов, чат, новости.</w:t>
            </w:r>
          </w:p>
        </w:tc>
      </w:tr>
      <w:tr>
        <w:tc>
          <w:tcPr>
            <w:tcW w:type="dxa" w:w="4986"/>
          </w:tcPr>
          <w:p>
            <w:r>
              <w:t>src/middleware.ts</w:t>
            </w:r>
          </w:p>
        </w:tc>
        <w:tc>
          <w:tcPr>
            <w:tcW w:type="dxa" w:w="4986"/>
          </w:tcPr>
          <w:p>
            <w:r>
              <w:t>Маршрутный guard.</w:t>
            </w:r>
          </w:p>
        </w:tc>
      </w:tr>
    </w:tbl>
    <w:p/>
    <w:p>
      <w:pPr>
        <w:pStyle w:val="Heading1"/>
        <w:keepNext/>
        <w:spacing w:before="360" w:after="160"/>
      </w:pPr>
      <w:r>
        <w:t>10. Терминология и сокращения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r>
              <w:t>AI / ИИ</w:t>
            </w:r>
          </w:p>
        </w:tc>
        <w:tc>
          <w:tcPr>
            <w:tcW w:type="dxa" w:w="4986"/>
          </w:tcPr>
          <w:p>
            <w:r>
              <w:t>Искусственный интеллект; в настоящей работе — большая языковая модель OpenAI семейства GPT.</w:t>
            </w:r>
          </w:p>
        </w:tc>
      </w:tr>
      <w:tr>
        <w:tc>
          <w:tcPr>
            <w:tcW w:type="dxa" w:w="4986"/>
          </w:tcPr>
          <w:p>
            <w:r>
              <w:t>LLM</w:t>
            </w:r>
          </w:p>
        </w:tc>
        <w:tc>
          <w:tcPr>
            <w:tcW w:type="dxa" w:w="4986"/>
          </w:tcPr>
          <w:p>
            <w:r>
              <w:t>Large Language Model — большая языковая модель.</w:t>
            </w:r>
          </w:p>
        </w:tc>
      </w:tr>
      <w:tr>
        <w:tc>
          <w:tcPr>
            <w:tcW w:type="dxa" w:w="4986"/>
          </w:tcPr>
          <w:p>
            <w:r>
              <w:t>BlockNote</w:t>
            </w:r>
          </w:p>
        </w:tc>
        <w:tc>
          <w:tcPr>
            <w:tcW w:type="dxa" w:w="4986"/>
          </w:tcPr>
          <w:p>
            <w:r>
              <w:t>Открытая библиотека блочного редактора текста, используемая для авторинга тела кейса.</w:t>
            </w:r>
          </w:p>
        </w:tc>
      </w:tr>
      <w:tr>
        <w:tc>
          <w:tcPr>
            <w:tcW w:type="dxa" w:w="4986"/>
          </w:tcPr>
          <w:p>
            <w:r>
              <w:t>Solution gating</w:t>
            </w:r>
          </w:p>
        </w:tc>
        <w:tc>
          <w:tcPr>
            <w:tcW w:type="dxa" w:w="4986"/>
          </w:tcPr>
          <w:p>
            <w:r>
              <w:t>Принцип, согласно которому эталонное решение кейса не покидает сервер до завершения сессии.</w:t>
            </w:r>
          </w:p>
        </w:tc>
      </w:tr>
      <w:tr>
        <w:tc>
          <w:tcPr>
            <w:tcW w:type="dxa" w:w="4986"/>
          </w:tcPr>
          <w:p>
            <w:r>
              <w:t>CaseMode</w:t>
            </w:r>
          </w:p>
        </w:tc>
        <w:tc>
          <w:tcPr>
            <w:tcW w:type="dxa" w:w="4986"/>
          </w:tcPr>
          <w:p>
            <w:r>
              <w:t>Перечисление режимов кейса: CLINICAL_QUEST, SANEPID_INVESTIGATION, BEST_PRACTICE, MANAGEMENT.</w:t>
            </w:r>
          </w:p>
        </w:tc>
      </w:tr>
      <w:tr>
        <w:tc>
          <w:tcPr>
            <w:tcW w:type="dxa" w:w="4986"/>
          </w:tcPr>
          <w:p>
            <w:r>
              <w:t>ChatSession</w:t>
            </w:r>
          </w:p>
        </w:tc>
        <w:tc>
          <w:tcPr>
            <w:tcW w:type="dxa" w:w="4986"/>
          </w:tcPr>
          <w:p>
            <w:r>
              <w:t>Запись о ходе одной учебной сессии пользователя по одному кейсу.</w:t>
            </w:r>
          </w:p>
        </w:tc>
      </w:tr>
      <w:tr>
        <w:tc>
          <w:tcPr>
            <w:tcW w:type="dxa" w:w="4986"/>
          </w:tcPr>
          <w:p>
            <w:r>
              <w:t>JSON-Schema</w:t>
            </w:r>
          </w:p>
        </w:tc>
        <w:tc>
          <w:tcPr>
            <w:tcW w:type="dxa" w:w="4986"/>
          </w:tcPr>
          <w:p>
            <w:r>
              <w:t>Формальное описание структуры JSON-документа, используемое для валидации ответов AI.</w:t>
            </w:r>
          </w:p>
        </w:tc>
      </w:tr>
      <w:tr>
        <w:tc>
          <w:tcPr>
            <w:tcW w:type="dxa" w:w="4986"/>
          </w:tcPr>
          <w:p>
            <w:r>
              <w:t>Zod</w:t>
            </w:r>
          </w:p>
        </w:tc>
        <w:tc>
          <w:tcPr>
            <w:tcW w:type="dxa" w:w="4986"/>
          </w:tcPr>
          <w:p>
            <w:r>
              <w:t>TypeScript-библиотека для декларативного описания и валидации схем данных.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/>
      <w:ind w:left="34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