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284C7"/>
          <w:sz w:val="40"/>
        </w:rPr>
        <w:t>UNITED NATIONS SDG 14: LIFE BELOW WATER</w:t>
      </w:r>
    </w:p>
    <w:p>
      <w:pPr>
        <w:jc w:val="center"/>
      </w:pPr>
      <w:r>
        <w:rPr>
          <w:rFonts w:ascii="Arial" w:hAnsi="Arial"/>
          <w:color w:val="64748B"/>
          <w:sz w:val="22"/>
        </w:rPr>
        <w:t>Official 6-Speaker Rehearsal Dossier &amp; Slide-by-Slide Script</w:t>
        <w:br/>
        <w:t>Targets 14.1, 14.2 &amp; 14.3 | Total Duration: 15:00 (2:30 per speaker)</w:t>
      </w:r>
    </w:p>
    <w:p>
      <w:pPr>
        <w:spacing w:after="240"/>
      </w:pPr>
    </w:p>
    <w:p>
      <w:pPr>
        <w:pStyle w:val="Heading1"/>
      </w:pPr>
      <w:r>
        <w:rPr>
          <w:rFonts w:ascii="Arial" w:hAnsi="Arial"/>
          <w:b/>
          <w:color w:val="0284C7"/>
          <w:sz w:val="28"/>
        </w:rPr>
        <w:t>TAB / SECTION: SPEAKER 1: THE BIG PICTURE &amp; CAUSAL CHAIN</w:t>
      </w:r>
    </w:p>
    <w:tbl>
      <w:tblPr>
        <w:tblW w:type="auto" w:w="0"/>
        <w:jc w:val="center"/>
        <w:tblLayout w:type="fixed"/>
        <w:tblLook w:firstColumn="1" w:firstRow="1" w:lastColumn="0" w:lastRow="0" w:noHBand="0" w:noVBand="1" w:val="04A0"/>
      </w:tblPr>
      <w:tblGrid>
        <w:gridCol w:w="4824"/>
        <w:gridCol w:w="4824"/>
      </w:tblGrid>
      <w:tr>
        <w:tc>
          <w:tcPr>
            <w:tcW w:type="dxa" w:w="2592"/>
            <w:shd w:fill="F1F5F9"/>
          </w:tcPr>
          <w:p>
            <w:r>
              <w:rPr>
                <w:b/>
              </w:rPr>
              <w:t>Allocated Time:</w:t>
            </w:r>
          </w:p>
        </w:tc>
        <w:tc>
          <w:tcPr>
            <w:tcW w:type="dxa" w:w="7488"/>
            <w:shd w:fill="FFFFFF"/>
          </w:tcPr>
          <w:p>
            <w:r>
              <w:t>00:00 - 02:30 (Target: 2 min 20 sec)</w:t>
            </w:r>
          </w:p>
        </w:tc>
      </w:tr>
      <w:tr>
        <w:tc>
          <w:tcPr>
            <w:tcW w:type="dxa" w:w="2592"/>
            <w:shd w:fill="F1F5F9"/>
          </w:tcPr>
          <w:p>
            <w:r>
              <w:rPr>
                <w:b/>
              </w:rPr>
              <w:t>Slides Covered:</w:t>
            </w:r>
          </w:p>
        </w:tc>
        <w:tc>
          <w:tcPr>
            <w:tcW w:type="dxa" w:w="7488"/>
            <w:shd w:fill="FFFFFF"/>
          </w:tcPr>
          <w:p>
            <w:r>
              <w:t>Slide 1 &amp; Slide 2</w:t>
            </w:r>
          </w:p>
        </w:tc>
      </w:tr>
      <w:tr>
        <w:tc>
          <w:tcPr>
            <w:tcW w:type="dxa" w:w="2592"/>
            <w:shd w:fill="F1F5F9"/>
          </w:tcPr>
          <w:p>
            <w:r>
              <w:rPr>
                <w:b/>
              </w:rPr>
              <w:t>Core Focus:</w:t>
            </w:r>
          </w:p>
        </w:tc>
        <w:tc>
          <w:tcPr>
            <w:tcW w:type="dxa" w:w="7488"/>
            <w:shd w:fill="FFFFFF"/>
          </w:tcPr>
          <w:p>
            <w:r>
              <w:t>Opening Hook, Overview of Targets 14.1-14.3, The 4 Core Questions, The Upstream-to-Abyss Risk Cascade</w:t>
            </w:r>
          </w:p>
        </w:tc>
      </w:tr>
    </w:tbl>
    <w:p>
      <w:pPr>
        <w:spacing w:after="160"/>
      </w:pPr>
    </w:p>
    <w:p>
      <w:pPr>
        <w:pStyle w:val="Heading2"/>
      </w:pPr>
      <w:r>
        <w:rPr>
          <w:rFonts w:ascii="Arial" w:hAnsi="Arial"/>
          <w:color w:val="0F172A"/>
          <w:sz w:val="24"/>
        </w:rPr>
        <w:t>Verbatim Spoken English Script (Read Naturally):</w:t>
      </w:r>
    </w:p>
    <w:p>
      <w:pPr>
        <w:spacing w:line="300" w:lineRule="auto" w:after="240"/>
      </w:pPr>
      <w:r>
        <w:rPr>
          <w:rFonts w:ascii="Arial" w:hAnsi="Arial"/>
          <w:sz w:val="21"/>
        </w:rPr>
        <w:t>Good morning, professor and fellow classmates. Today, our team is presenting United Nations Sustainable Development Goal 14: Life Below Water.</w:t>
        <w:br/>
        <w:br/>
        <w:t>The ocean generates over 50 percent of the oxygen we breathe, absorbs a quarter of all global carbon dioxide emissions, and directly sustains the livelihoods of over three billion human beings. Yet today, marine systems face unprecedented ecological disruption.</w:t>
        <w:br/>
        <w:br/>
        <w:t>Our team focuses on three foundational targets: Target 14.1 on Marine Pollution; Target 14.2 on Ecosystem Resilience; and Target 14.3 on Ocean Acidification.</w:t>
        <w:br/>
        <w:br/>
        <w:t>For each target, we systematically address four non-negotiable questions: First, what does the target aim to achieve? Second, what official indicators monitor global progress? Third, how are these indicators measured scientifically? And fourth, what international institutions and governance treaties enforce compliance?</w:t>
        <w:br/>
        <w:br/>
        <w:t>[PAUSE — ADVANCE TO SLIDE 2]</w:t>
        <w:br/>
        <w:br/>
        <w:t>Before diving into each target individually, look at how they connect. They do not operate in silos; they form an unbroken causal chain of risk.</w:t>
        <w:br/>
        <w:br/>
        <w:t>It starts upstream under Target 14.1: agricultural fertilizers and city plastics exert massive pressure on coastal waters. That pressure travels into Target 14.2, where fragile coral reefs and mangrove nurseries suffer habitat degradation. And simultaneously, Target 14.3 monitors global ocean chemistry as excess atmospheric CO2 permanently alters the pH balance of the entire water column.</w:t>
        <w:br/>
        <w:br/>
        <w:t>To understand the first line of defense, I now pass the floor to Speaker 2 to break down Target 14.1.</w:t>
      </w:r>
    </w:p>
    <w:p>
      <w:r>
        <w:rPr>
          <w:b/>
          <w:color w:val="0284C7"/>
        </w:rPr>
        <w:t xml:space="preserve">Pronunciation Quick Guide: </w:t>
      </w:r>
      <w:r>
        <w:rPr>
          <w:i/>
        </w:rPr>
        <w:t>Ecosystem -&gt; [EE-koh-sis-tuhm] | Indicator -&gt; [IN-dih-kay-ter] | Acidification -&gt; [uh-sid-uh-fuh-KAY-shun]</w:t>
      </w:r>
    </w:p>
    <w:p>
      <w:r>
        <w:rPr>
          <w:b/>
          <w:color w:val="E11D48"/>
        </w:rPr>
        <w:t xml:space="preserve">Handoff Cue: </w:t>
      </w:r>
      <w:r>
        <w:rPr>
          <w:b/>
        </w:rPr>
        <w:t>"I now hand over to Speaker 2, who will examine the source of marine pollution under Target 14.1."</w:t>
      </w:r>
    </w:p>
    <w:p>
      <w:r>
        <w:br w:type="page"/>
      </w:r>
    </w:p>
    <w:p>
      <w:pPr>
        <w:pStyle w:val="Heading1"/>
      </w:pPr>
      <w:r>
        <w:rPr>
          <w:rFonts w:ascii="Arial" w:hAnsi="Arial"/>
          <w:b/>
          <w:color w:val="0284C7"/>
          <w:sz w:val="28"/>
        </w:rPr>
        <w:t>TAB / SECTION: SPEAKER 2: TARGET 14.1 &amp; THE DUAL INDICATORS</w:t>
      </w:r>
    </w:p>
    <w:tbl>
      <w:tblPr>
        <w:tblW w:type="auto" w:w="0"/>
        <w:jc w:val="center"/>
        <w:tblLayout w:type="fixed"/>
        <w:tblLook w:firstColumn="1" w:firstRow="1" w:lastColumn="0" w:lastRow="0" w:noHBand="0" w:noVBand="1" w:val="04A0"/>
      </w:tblPr>
      <w:tblGrid>
        <w:gridCol w:w="4824"/>
        <w:gridCol w:w="4824"/>
      </w:tblGrid>
      <w:tr>
        <w:tc>
          <w:tcPr>
            <w:tcW w:type="dxa" w:w="2592"/>
            <w:shd w:fill="F1F5F9"/>
          </w:tcPr>
          <w:p>
            <w:r>
              <w:rPr>
                <w:b/>
              </w:rPr>
              <w:t>Allocated Time:</w:t>
            </w:r>
          </w:p>
        </w:tc>
        <w:tc>
          <w:tcPr>
            <w:tcW w:type="dxa" w:w="7488"/>
            <w:shd w:fill="FFFFFF"/>
          </w:tcPr>
          <w:p>
            <w:r>
              <w:t>02:30 - 05:00 (Target: 2 min 20 sec)</w:t>
            </w:r>
          </w:p>
        </w:tc>
      </w:tr>
      <w:tr>
        <w:tc>
          <w:tcPr>
            <w:tcW w:type="dxa" w:w="2592"/>
            <w:shd w:fill="F1F5F9"/>
          </w:tcPr>
          <w:p>
            <w:r>
              <w:rPr>
                <w:b/>
              </w:rPr>
              <w:t>Slides Covered:</w:t>
            </w:r>
          </w:p>
        </w:tc>
        <w:tc>
          <w:tcPr>
            <w:tcW w:type="dxa" w:w="7488"/>
            <w:shd w:fill="FFFFFF"/>
          </w:tcPr>
          <w:p>
            <w:r>
              <w:t>Slide 3 &amp; Slide 4</w:t>
            </w:r>
          </w:p>
        </w:tc>
      </w:tr>
      <w:tr>
        <w:tc>
          <w:tcPr>
            <w:tcW w:type="dxa" w:w="2592"/>
            <w:shd w:fill="F1F5F9"/>
          </w:tcPr>
          <w:p>
            <w:r>
              <w:rPr>
                <w:b/>
              </w:rPr>
              <w:t>Core Focus:</w:t>
            </w:r>
          </w:p>
        </w:tc>
        <w:tc>
          <w:tcPr>
            <w:tcW w:type="dxa" w:w="7488"/>
            <w:shd w:fill="FFFFFF"/>
          </w:tcPr>
          <w:p>
            <w:r>
              <w:t>Target 14.1 Mandate, The 80% Land-Based Origin, 2025 Deadline, Indicator 14.1.1(a) vs 14.1.1(b)</w:t>
            </w:r>
          </w:p>
        </w:tc>
      </w:tr>
    </w:tbl>
    <w:p>
      <w:pPr>
        <w:spacing w:after="160"/>
      </w:pPr>
    </w:p>
    <w:p>
      <w:pPr>
        <w:pStyle w:val="Heading2"/>
      </w:pPr>
      <w:r>
        <w:rPr>
          <w:rFonts w:ascii="Arial" w:hAnsi="Arial"/>
          <w:color w:val="0F172A"/>
          <w:sz w:val="24"/>
        </w:rPr>
        <w:t>Verbatim Spoken English Script (Read Naturally):</w:t>
      </w:r>
    </w:p>
    <w:p>
      <w:pPr>
        <w:spacing w:line="300" w:lineRule="auto" w:after="240"/>
      </w:pPr>
      <w:r>
        <w:rPr>
          <w:rFonts w:ascii="Arial" w:hAnsi="Arial"/>
          <w:sz w:val="21"/>
        </w:rPr>
        <w:t>Thank you, Speaker 1. Hello everyone, I am Speaker 2.</w:t>
        <w:br/>
        <w:br/>
        <w:t>Target 14.1 is the frontline defense of marine conservation. Its official mandate is clear: by 2025, prevent and significantly reduce marine pollution of all kinds, in particular from land-based activities.</w:t>
        <w:br/>
        <w:br/>
        <w:t>Notice two critical facts here: First, up to 80 percent of all marine litter and pollution originates on dry land—through agricultural fertilizer runoff, untreated municipal wastewater, and mismanaged municipal solid waste flowing into river basins. Second, the official target deadline was set for 2025. That means we are already operating past the original timeline, making accelerated monitoring vital.</w:t>
        <w:br/>
        <w:br/>
        <w:t>[PAUSE — ADVANCE TO SLIDE 4]</w:t>
        <w:br/>
        <w:br/>
        <w:t>To monitor Target 14.1, the United Nations established Indicator 14.1.1, split into two distinct pathways.</w:t>
        <w:br/>
        <w:br/>
        <w:t>Sub-indicator 14.1.1(a) is the Index of Coastal Eutrophication, or ICEP. This monitors invisible chemical pollution—specifically nitrogen and phosphorus from fertilizers. When excess nutrients wash into coastal seas, they cause catastrophic algal blooms that suck oxygen out of the water, creating suffocating dead zones.</w:t>
        <w:br/>
        <w:br/>
        <w:t>Sub-indicator 14.1.1(b) is Plastic Debris Density. This monitors solid waste accumulation across two realms: floating macro- and micro-plastics in surface waters, and plastic trash accumulating along shorelines.</w:t>
        <w:br/>
        <w:br/>
        <w:t>Now, how do scientists actually measure invisible fertilizer runoff and tons of scattered plastic? Speaker 3 will explain the scientific measurement methods and governance.</w:t>
      </w:r>
    </w:p>
    <w:p>
      <w:r>
        <w:rPr>
          <w:b/>
          <w:color w:val="0284C7"/>
        </w:rPr>
        <w:t xml:space="preserve">Pronunciation Quick Guide: </w:t>
      </w:r>
      <w:r>
        <w:rPr>
          <w:i/>
        </w:rPr>
        <w:t>Eutrophication -&gt; [yoo-truh-fuh-KAY-shun] | Phosphorus -&gt; [FOS-fuh-ruhs] | Debris -&gt; [duh-BREE (silent s)]</w:t>
      </w:r>
    </w:p>
    <w:p>
      <w:r>
        <w:rPr>
          <w:b/>
          <w:color w:val="E11D48"/>
        </w:rPr>
        <w:t xml:space="preserve">Handoff Cue: </w:t>
      </w:r>
      <w:r>
        <w:rPr>
          <w:b/>
        </w:rPr>
        <w:t>"Speaker 3 will now walk us through how satellites and beach surveys turn these indicators into concrete global data."</w:t>
      </w:r>
    </w:p>
    <w:p>
      <w:r>
        <w:br w:type="page"/>
      </w:r>
    </w:p>
    <w:p>
      <w:pPr>
        <w:pStyle w:val="Heading1"/>
      </w:pPr>
      <w:r>
        <w:rPr>
          <w:rFonts w:ascii="Arial" w:hAnsi="Arial"/>
          <w:b/>
          <w:color w:val="0284C7"/>
          <w:sz w:val="28"/>
        </w:rPr>
        <w:t>TAB / SECTION: SPEAKER 3: MEASUREMENT &amp; GOVERNANCE OF 14.1</w:t>
      </w:r>
    </w:p>
    <w:tbl>
      <w:tblPr>
        <w:tblW w:type="auto" w:w="0"/>
        <w:jc w:val="center"/>
        <w:tblLayout w:type="fixed"/>
        <w:tblLook w:firstColumn="1" w:firstRow="1" w:lastColumn="0" w:lastRow="0" w:noHBand="0" w:noVBand="1" w:val="04A0"/>
      </w:tblPr>
      <w:tblGrid>
        <w:gridCol w:w="4824"/>
        <w:gridCol w:w="4824"/>
      </w:tblGrid>
      <w:tr>
        <w:tc>
          <w:tcPr>
            <w:tcW w:type="dxa" w:w="2592"/>
            <w:shd w:fill="F1F5F9"/>
          </w:tcPr>
          <w:p>
            <w:r>
              <w:rPr>
                <w:b/>
              </w:rPr>
              <w:t>Allocated Time:</w:t>
            </w:r>
          </w:p>
        </w:tc>
        <w:tc>
          <w:tcPr>
            <w:tcW w:type="dxa" w:w="7488"/>
            <w:shd w:fill="FFFFFF"/>
          </w:tcPr>
          <w:p>
            <w:r>
              <w:t>05:00 - 07:30 (Target: 2 min 20 sec)</w:t>
            </w:r>
          </w:p>
        </w:tc>
      </w:tr>
      <w:tr>
        <w:tc>
          <w:tcPr>
            <w:tcW w:type="dxa" w:w="2592"/>
            <w:shd w:fill="F1F5F9"/>
          </w:tcPr>
          <w:p>
            <w:r>
              <w:rPr>
                <w:b/>
              </w:rPr>
              <w:t>Slides Covered:</w:t>
            </w:r>
          </w:p>
        </w:tc>
        <w:tc>
          <w:tcPr>
            <w:tcW w:type="dxa" w:w="7488"/>
            <w:shd w:fill="FFFFFF"/>
          </w:tcPr>
          <w:p>
            <w:r>
              <w:t>Slide 5 &amp; Slide 6</w:t>
            </w:r>
          </w:p>
        </w:tc>
      </w:tr>
      <w:tr>
        <w:tc>
          <w:tcPr>
            <w:tcW w:type="dxa" w:w="2592"/>
            <w:shd w:fill="F1F5F9"/>
          </w:tcPr>
          <w:p>
            <w:r>
              <w:rPr>
                <w:b/>
              </w:rPr>
              <w:t>Core Focus:</w:t>
            </w:r>
          </w:p>
        </w:tc>
        <w:tc>
          <w:tcPr>
            <w:tcW w:type="dxa" w:w="7488"/>
            <w:shd w:fill="FFFFFF"/>
          </w:tcPr>
          <w:p>
            <w:r>
              <w:t>Satellite Optical Sensing, Chlorophyll-a Anomalies, 100m Beach Transects, UNEP Custodian, INC Global Plastics Treaty</w:t>
            </w:r>
          </w:p>
        </w:tc>
      </w:tr>
    </w:tbl>
    <w:p>
      <w:pPr>
        <w:spacing w:after="160"/>
      </w:pPr>
    </w:p>
    <w:p>
      <w:pPr>
        <w:pStyle w:val="Heading2"/>
      </w:pPr>
      <w:r>
        <w:rPr>
          <w:rFonts w:ascii="Arial" w:hAnsi="Arial"/>
          <w:color w:val="0F172A"/>
          <w:sz w:val="24"/>
        </w:rPr>
        <w:t>Verbatim Spoken English Script (Read Naturally):</w:t>
      </w:r>
    </w:p>
    <w:p>
      <w:pPr>
        <w:spacing w:line="300" w:lineRule="auto" w:after="240"/>
      </w:pPr>
      <w:r>
        <w:rPr>
          <w:rFonts w:ascii="Arial" w:hAnsi="Arial"/>
          <w:sz w:val="21"/>
        </w:rPr>
        <w:t>Thank you, Speaker 2. Hello everyone, I am Speaker 3.</w:t>
        <w:br/>
        <w:br/>
        <w:t>Measuring pollution across hundreds of millions of square miles of open ocean requires two complementary scientific techniques.</w:t>
        <w:br/>
        <w:br/>
        <w:t>For coastal eutrophication, marine scientists use satellite remote sensing. NASA’s MODIS and the European Space Agency’s Sentinel-3 satellites continuously scan ocean surface color from orbit. They calculate Chlorophyll-a concentration anomalies. When chlorophyll levels spike far above the historical baseline, it proves that agricultural nutrient pollution has triggered an abnormal algal bloom.</w:t>
        <w:br/>
        <w:br/>
        <w:t>For plastic debris density, scientists use standardized 100-meter beach transects and manta trawl surface nets. Citizen science groups and environmental agencies count, weigh, and categorize every plastic item along designated 100-meter strips of shoreline.</w:t>
        <w:br/>
        <w:br/>
        <w:t>[PAUSE — ADVANCE TO SLIDE 6]</w:t>
        <w:br/>
        <w:br/>
        <w:t>Now, who governs Target 14.1? The United Nations Environment Programme, or UNEP, serves as the official global custodian agency. UNEP standardizes country reporting and aggregates national data.</w:t>
        <w:br/>
        <w:br/>
        <w:t>At the international policy level, the most important breakthrough is the ongoing negotiation of the Intergovernmental Negotiating Committee—the INC Global Plastics Treaty. This treaty aims to establish a legally binding international instrument addressing the full lifecycle of plastics, from chemical design to marine leakage.</w:t>
        <w:br/>
        <w:br/>
        <w:t>Having tackled marine pollution, we now move downstream to living habitats. Speaker 4 will introduce Target 14.2.</w:t>
      </w:r>
    </w:p>
    <w:p>
      <w:r>
        <w:rPr>
          <w:b/>
          <w:color w:val="0284C7"/>
        </w:rPr>
        <w:t xml:space="preserve">Pronunciation Quick Guide: </w:t>
      </w:r>
      <w:r>
        <w:rPr>
          <w:i/>
        </w:rPr>
        <w:t>Chlorophyll -&gt; [KLOR-uh-fil] | Transects -&gt; [TRAN-sekts] | Custodian -&gt; [kuh-STOH-dee-uhn]</w:t>
      </w:r>
    </w:p>
    <w:p>
      <w:r>
        <w:rPr>
          <w:b/>
          <w:color w:val="E11D48"/>
        </w:rPr>
        <w:t xml:space="preserve">Handoff Cue: </w:t>
      </w:r>
      <w:r>
        <w:rPr>
          <w:b/>
        </w:rPr>
        <w:t>"I now hand over to Speaker 4 to examine marine ecosystem resilience and Target 14.2."</w:t>
      </w:r>
    </w:p>
    <w:p>
      <w:r>
        <w:br w:type="page"/>
      </w:r>
    </w:p>
    <w:p>
      <w:pPr>
        <w:pStyle w:val="Heading1"/>
      </w:pPr>
      <w:r>
        <w:rPr>
          <w:rFonts w:ascii="Arial" w:hAnsi="Arial"/>
          <w:b/>
          <w:color w:val="0284C7"/>
          <w:sz w:val="28"/>
        </w:rPr>
        <w:t>TAB / SECTION: SPEAKER 4: TARGET 14.2 &amp; THE CRITICAL BLINDSPOT</w:t>
      </w:r>
    </w:p>
    <w:tbl>
      <w:tblPr>
        <w:tblW w:type="auto" w:w="0"/>
        <w:jc w:val="center"/>
        <w:tblLayout w:type="fixed"/>
        <w:tblLook w:firstColumn="1" w:firstRow="1" w:lastColumn="0" w:lastRow="0" w:noHBand="0" w:noVBand="1" w:val="04A0"/>
      </w:tblPr>
      <w:tblGrid>
        <w:gridCol w:w="4824"/>
        <w:gridCol w:w="4824"/>
      </w:tblGrid>
      <w:tr>
        <w:tc>
          <w:tcPr>
            <w:tcW w:type="dxa" w:w="2592"/>
            <w:shd w:fill="F1F5F9"/>
          </w:tcPr>
          <w:p>
            <w:r>
              <w:rPr>
                <w:b/>
              </w:rPr>
              <w:t>Allocated Time:</w:t>
            </w:r>
          </w:p>
        </w:tc>
        <w:tc>
          <w:tcPr>
            <w:tcW w:type="dxa" w:w="7488"/>
            <w:shd w:fill="FFFFFF"/>
          </w:tcPr>
          <w:p>
            <w:r>
              <w:t>07:30 - 10:00 (Target: 2 min 20 sec)</w:t>
            </w:r>
          </w:p>
        </w:tc>
      </w:tr>
      <w:tr>
        <w:tc>
          <w:tcPr>
            <w:tcW w:type="dxa" w:w="2592"/>
            <w:shd w:fill="F1F5F9"/>
          </w:tcPr>
          <w:p>
            <w:r>
              <w:rPr>
                <w:b/>
              </w:rPr>
              <w:t>Slides Covered:</w:t>
            </w:r>
          </w:p>
        </w:tc>
        <w:tc>
          <w:tcPr>
            <w:tcW w:type="dxa" w:w="7488"/>
            <w:shd w:fill="FFFFFF"/>
          </w:tcPr>
          <w:p>
            <w:r>
              <w:t>Slide 7 &amp; Slide 8</w:t>
            </w:r>
          </w:p>
        </w:tc>
      </w:tr>
      <w:tr>
        <w:tc>
          <w:tcPr>
            <w:tcW w:type="dxa" w:w="2592"/>
            <w:shd w:fill="F1F5F9"/>
          </w:tcPr>
          <w:p>
            <w:r>
              <w:rPr>
                <w:b/>
              </w:rPr>
              <w:t>Core Focus:</w:t>
            </w:r>
          </w:p>
        </w:tc>
        <w:tc>
          <w:tcPr>
            <w:tcW w:type="dxa" w:w="7488"/>
            <w:shd w:fill="FFFFFF"/>
          </w:tcPr>
          <w:p>
            <w:r>
              <w:t>Target 14.2 Mandate, Ecosystem-Based Management (EBM), Indicator 14.2.1, Critical Evaluation (Process vs Outcome Metric)</w:t>
            </w:r>
          </w:p>
        </w:tc>
      </w:tr>
    </w:tbl>
    <w:p>
      <w:pPr>
        <w:spacing w:after="160"/>
      </w:pPr>
    </w:p>
    <w:p>
      <w:pPr>
        <w:pStyle w:val="Heading2"/>
      </w:pPr>
      <w:r>
        <w:rPr>
          <w:rFonts w:ascii="Arial" w:hAnsi="Arial"/>
          <w:color w:val="0F172A"/>
          <w:sz w:val="24"/>
        </w:rPr>
        <w:t>Verbatim Spoken English Script (Read Naturally):</w:t>
      </w:r>
    </w:p>
    <w:p>
      <w:pPr>
        <w:spacing w:line="300" w:lineRule="auto" w:after="240"/>
      </w:pPr>
      <w:r>
        <w:rPr>
          <w:rFonts w:ascii="Arial" w:hAnsi="Arial"/>
          <w:sz w:val="21"/>
        </w:rPr>
        <w:t>Thank you, Speaker 3. Hello everyone, I am Speaker 4.</w:t>
        <w:br/>
        <w:br/>
        <w:t>Target 14.2 shifts our focus from waste management to living ecological resilience. Its mandate is to sustainably manage and protect marine and coastal ecosystems to avoid significant adverse impacts, and take action for their restoration.</w:t>
        <w:br/>
        <w:br/>
        <w:t>The core philosophy of Target 14.2 is Ecosystem-Based Management, or EBM. Historically, humans managed oceans in isolated silos: fishing ministries regulated fish, transport ministries regulated shipping, and energy departments leased offshore oil. EBM breaks down these silos. It recognizes that corals, seagrasses, mangroves, fish stocks, and human coastal economies are all part of one interconnected living web.</w:t>
        <w:br/>
        <w:br/>
        <w:t>[PAUSE — ADVANCE TO SLIDE 8]</w:t>
        <w:br/>
        <w:br/>
        <w:t>To monitor progress, the UN established Indicator 14.2.1: the number of countries using ecosystem-based approaches to manage marine areas.</w:t>
        <w:br/>
        <w:br/>
        <w:t>Measurement is conducted through national self-reporting surveys verified by UNEP. Countries receive credit if they enact legally recognized Marine Spatial Plans and establish Marine Protected Areas.</w:t>
        <w:br/>
        <w:br/>
        <w:t>However, our team must highlight a critical analytical limitation: Indicator 14.2.1 is a process indicator, not an outcome indicator. It measures whether a government passed a planning policy on paper. It does not prove whether coral cover increased, whether fish biomass recovered, or whether enforcement actually stops illegal bottom trawling. Many designated zones risk remaining 'paper parks'.</w:t>
        <w:br/>
        <w:br/>
        <w:t>Speaker 5 will now explore the global treaties governing 14.2 and introduce the chemistry of Target 14.3.</w:t>
      </w:r>
    </w:p>
    <w:p>
      <w:r>
        <w:rPr>
          <w:b/>
          <w:color w:val="0284C7"/>
        </w:rPr>
        <w:t xml:space="preserve">Pronunciation Quick Guide: </w:t>
      </w:r>
      <w:r>
        <w:rPr>
          <w:i/>
        </w:rPr>
        <w:t>Resilience -&gt; [rih-ZIL-yuhnss] | Biomass -&gt; [BY-oh-mass] | Ecosystem-based -&gt; [EE-koh-sis-tuhm bayst]</w:t>
      </w:r>
    </w:p>
    <w:p>
      <w:r>
        <w:rPr>
          <w:b/>
          <w:color w:val="E11D48"/>
        </w:rPr>
        <w:t xml:space="preserve">Handoff Cue: </w:t>
      </w:r>
      <w:r>
        <w:rPr>
          <w:b/>
        </w:rPr>
        <w:t>"Speaker 5 will now explain the 30x30 global target and take us into the deep chemical shift of Target 14.3."</w:t>
      </w:r>
    </w:p>
    <w:p>
      <w:r>
        <w:br w:type="page"/>
      </w:r>
    </w:p>
    <w:p>
      <w:pPr>
        <w:pStyle w:val="Heading1"/>
      </w:pPr>
      <w:r>
        <w:rPr>
          <w:rFonts w:ascii="Arial" w:hAnsi="Arial"/>
          <w:b/>
          <w:color w:val="0284C7"/>
          <w:sz w:val="28"/>
        </w:rPr>
        <w:t>TAB / SECTION: SPEAKER 5: GOVERNANCE OF 14.2 &amp; TARGET 14.3 ACIDIFICATION</w:t>
      </w:r>
    </w:p>
    <w:tbl>
      <w:tblPr>
        <w:tblW w:type="auto" w:w="0"/>
        <w:jc w:val="center"/>
        <w:tblLayout w:type="fixed"/>
        <w:tblLook w:firstColumn="1" w:firstRow="1" w:lastColumn="0" w:lastRow="0" w:noHBand="0" w:noVBand="1" w:val="04A0"/>
      </w:tblPr>
      <w:tblGrid>
        <w:gridCol w:w="4824"/>
        <w:gridCol w:w="4824"/>
      </w:tblGrid>
      <w:tr>
        <w:tc>
          <w:tcPr>
            <w:tcW w:type="dxa" w:w="2592"/>
            <w:shd w:fill="F1F5F9"/>
          </w:tcPr>
          <w:p>
            <w:r>
              <w:rPr>
                <w:b/>
              </w:rPr>
              <w:t>Allocated Time:</w:t>
            </w:r>
          </w:p>
        </w:tc>
        <w:tc>
          <w:tcPr>
            <w:tcW w:type="dxa" w:w="7488"/>
            <w:shd w:fill="FFFFFF"/>
          </w:tcPr>
          <w:p>
            <w:r>
              <w:t>10:00 - 12:30 (Target: 2 min 20 sec)</w:t>
            </w:r>
          </w:p>
        </w:tc>
      </w:tr>
      <w:tr>
        <w:tc>
          <w:tcPr>
            <w:tcW w:type="dxa" w:w="2592"/>
            <w:shd w:fill="F1F5F9"/>
          </w:tcPr>
          <w:p>
            <w:r>
              <w:rPr>
                <w:b/>
              </w:rPr>
              <w:t>Slides Covered:</w:t>
            </w:r>
          </w:p>
        </w:tc>
        <w:tc>
          <w:tcPr>
            <w:tcW w:type="dxa" w:w="7488"/>
            <w:shd w:fill="FFFFFF"/>
          </w:tcPr>
          <w:p>
            <w:r>
              <w:t>Slide 9 &amp; Slide 10</w:t>
            </w:r>
          </w:p>
        </w:tc>
      </w:tr>
      <w:tr>
        <w:tc>
          <w:tcPr>
            <w:tcW w:type="dxa" w:w="2592"/>
            <w:shd w:fill="F1F5F9"/>
          </w:tcPr>
          <w:p>
            <w:r>
              <w:rPr>
                <w:b/>
              </w:rPr>
              <w:t>Core Focus:</w:t>
            </w:r>
          </w:p>
        </w:tc>
        <w:tc>
          <w:tcPr>
            <w:tcW w:type="dxa" w:w="7488"/>
            <w:shd w:fill="FFFFFF"/>
          </w:tcPr>
          <w:p>
            <w:r>
              <w:t>Kunming-Montreal 30x30 Target, BBNJ High Seas Treaty, Target 14.3 Mandate, The 30% Acidity Surge, CO2 Chemical Mechanics</w:t>
            </w:r>
          </w:p>
        </w:tc>
      </w:tr>
    </w:tbl>
    <w:p>
      <w:pPr>
        <w:spacing w:after="160"/>
      </w:pPr>
    </w:p>
    <w:p>
      <w:pPr>
        <w:pStyle w:val="Heading2"/>
      </w:pPr>
      <w:r>
        <w:rPr>
          <w:rFonts w:ascii="Arial" w:hAnsi="Arial"/>
          <w:color w:val="0F172A"/>
          <w:sz w:val="24"/>
        </w:rPr>
        <w:t>Verbatim Spoken English Script (Read Naturally):</w:t>
      </w:r>
    </w:p>
    <w:p>
      <w:pPr>
        <w:spacing w:line="300" w:lineRule="auto" w:after="240"/>
      </w:pPr>
      <w:r>
        <w:rPr>
          <w:rFonts w:ascii="Arial" w:hAnsi="Arial"/>
          <w:sz w:val="21"/>
        </w:rPr>
        <w:t>Thank you, Speaker 4. Hello everyone, I am Speaker 5.</w:t>
        <w:br/>
        <w:br/>
        <w:t>Target 14.2 is anchored by the historic Kunming-Montreal Global Biodiversity Framework, specifically Target 3—widely known as the '30 by 30' commitment. Over 190 countries have pledged to effectively conserve at least 30 percent of coastal and marine areas by the year 2030.</w:t>
        <w:br/>
        <w:br/>
        <w:t>Equally historic is the newly adopted BBNJ Treaty—the Biodiversity Beyond National Jurisdiction treaty. For the first time in human history, the international community has a legal mechanism to designate high-seas marine protected areas in international waters outside any single country's jurisdiction.</w:t>
        <w:br/>
        <w:br/>
        <w:t>[PAUSE — ADVANCE TO SLIDE 10]</w:t>
        <w:br/>
        <w:br/>
        <w:t>Now, we descend into the profound chemical shift of Target 14.3: Ocean Acidification.</w:t>
        <w:br/>
        <w:br/>
        <w:t>The ocean has acted as humanity's greatest climate buffer, absorbing roughly 25 percent of all atmospheric carbon dioxide emissions every year. But that protection comes at an immense chemical price. When CO2 dissolves in seawater, it forms carbonic acid, releasing hydrogen ions.</w:t>
        <w:br/>
        <w:br/>
        <w:t>Since the pre-industrial era, surface ocean pH has dropped by approximately 0.1 units. Because pH is logarithmic, a 0.1 drop represents a 30 percent surge in acidity. Seawater is not turning into vinegar—it remains alkaline—but this drop strips away the carbonate ions that corals, oysters, pteropods, and shellfish need to build their skeletons.</w:t>
        <w:br/>
        <w:br/>
        <w:t>Speaker 6 will now conclude our presentation with how scientists measure ocean pH and how global institutions coordinate action.</w:t>
      </w:r>
    </w:p>
    <w:p>
      <w:r>
        <w:rPr>
          <w:b/>
          <w:color w:val="0284C7"/>
        </w:rPr>
        <w:t xml:space="preserve">Pronunciation Quick Guide: </w:t>
      </w:r>
      <w:r>
        <w:rPr>
          <w:i/>
        </w:rPr>
        <w:t>Kunming-Montreal -&gt; [Koon-ming Mon-tree-AWL] | Logarithmic -&gt; [log-uh-RITH-mik] | Pteropods -&gt; [TEH-ruh-pods (silent p)]</w:t>
      </w:r>
    </w:p>
    <w:p>
      <w:r>
        <w:rPr>
          <w:b/>
          <w:color w:val="E11D48"/>
        </w:rPr>
        <w:t xml:space="preserve">Handoff Cue: </w:t>
      </w:r>
      <w:r>
        <w:rPr>
          <w:b/>
        </w:rPr>
        <w:t>"I now hand over to Speaker 6 to conclude with the precision measurement of Target 14.3 and our final synthesis."</w:t>
      </w:r>
    </w:p>
    <w:p>
      <w:r>
        <w:br w:type="page"/>
      </w:r>
    </w:p>
    <w:p>
      <w:pPr>
        <w:pStyle w:val="Heading1"/>
      </w:pPr>
      <w:r>
        <w:rPr>
          <w:rFonts w:ascii="Arial" w:hAnsi="Arial"/>
          <w:b/>
          <w:color w:val="0284C7"/>
          <w:sz w:val="28"/>
        </w:rPr>
        <w:t>TAB / SECTION: SPEAKER 6: PRECISION SENSORS, UNESCO &amp; FINAL SYNTHESIS</w:t>
      </w:r>
    </w:p>
    <w:tbl>
      <w:tblPr>
        <w:tblW w:type="auto" w:w="0"/>
        <w:jc w:val="center"/>
        <w:tblLayout w:type="fixed"/>
        <w:tblLook w:firstColumn="1" w:firstRow="1" w:lastColumn="0" w:lastRow="0" w:noHBand="0" w:noVBand="1" w:val="04A0"/>
      </w:tblPr>
      <w:tblGrid>
        <w:gridCol w:w="4824"/>
        <w:gridCol w:w="4824"/>
      </w:tblGrid>
      <w:tr>
        <w:tc>
          <w:tcPr>
            <w:tcW w:type="dxa" w:w="2592"/>
            <w:shd w:fill="F1F5F9"/>
          </w:tcPr>
          <w:p>
            <w:r>
              <w:rPr>
                <w:b/>
              </w:rPr>
              <w:t>Allocated Time:</w:t>
            </w:r>
          </w:p>
        </w:tc>
        <w:tc>
          <w:tcPr>
            <w:tcW w:type="dxa" w:w="7488"/>
            <w:shd w:fill="FFFFFF"/>
          </w:tcPr>
          <w:p>
            <w:r>
              <w:t>12:30 - 15:00 (Target: 2 min 20 sec)</w:t>
            </w:r>
          </w:p>
        </w:tc>
      </w:tr>
      <w:tr>
        <w:tc>
          <w:tcPr>
            <w:tcW w:type="dxa" w:w="2592"/>
            <w:shd w:fill="F1F5F9"/>
          </w:tcPr>
          <w:p>
            <w:r>
              <w:rPr>
                <w:b/>
              </w:rPr>
              <w:t>Slides Covered:</w:t>
            </w:r>
          </w:p>
        </w:tc>
        <w:tc>
          <w:tcPr>
            <w:tcW w:type="dxa" w:w="7488"/>
            <w:shd w:fill="FFFFFF"/>
          </w:tcPr>
          <w:p>
            <w:r>
              <w:t>Slide 11 &amp; Slide 12</w:t>
            </w:r>
          </w:p>
        </w:tc>
      </w:tr>
      <w:tr>
        <w:tc>
          <w:tcPr>
            <w:tcW w:type="dxa" w:w="2592"/>
            <w:shd w:fill="F1F5F9"/>
          </w:tcPr>
          <w:p>
            <w:r>
              <w:rPr>
                <w:b/>
              </w:rPr>
              <w:t>Core Focus:</w:t>
            </w:r>
          </w:p>
        </w:tc>
        <w:tc>
          <w:tcPr>
            <w:tcW w:type="dxa" w:w="7488"/>
            <w:shd w:fill="FFFFFF"/>
          </w:tcPr>
          <w:p>
            <w:r>
              <w:t>Indicator 14.3.1, GOA-ON Autonomous Sensor Network, Total pH Scale, UNESCO-IOC Custodianship, UN Ocean Decade, Conclusion</w:t>
            </w:r>
          </w:p>
        </w:tc>
      </w:tr>
    </w:tbl>
    <w:p>
      <w:pPr>
        <w:spacing w:after="160"/>
      </w:pPr>
    </w:p>
    <w:p>
      <w:pPr>
        <w:pStyle w:val="Heading2"/>
      </w:pPr>
      <w:r>
        <w:rPr>
          <w:rFonts w:ascii="Arial" w:hAnsi="Arial"/>
          <w:color w:val="0F172A"/>
          <w:sz w:val="24"/>
        </w:rPr>
        <w:t>Verbatim Spoken English Script (Read Naturally):</w:t>
      </w:r>
    </w:p>
    <w:p>
      <w:pPr>
        <w:spacing w:line="300" w:lineRule="auto" w:after="240"/>
      </w:pPr>
      <w:r>
        <w:rPr>
          <w:rFonts w:ascii="Arial" w:hAnsi="Arial"/>
          <w:sz w:val="21"/>
        </w:rPr>
        <w:t>Thank you, Speaker 5. Hello everyone, I am Speaker 6, and I will deliver our final synthesis.</w:t>
        <w:br/>
        <w:br/>
        <w:t>Target 14.3 is tracked through Indicator 14.3.1: Average marine acidity measured at representative sampling stations. Measuring ocean acidity is far more complex than dipping litmus paper into water. Seawater pH naturally fluctuates with depth, temperature, water currents, and seasonal plankton blooms.</w:t>
        <w:br/>
        <w:br/>
        <w:t>Under UN metadata, measurement must be conducted on the 'Total pH scale' alongside at least one other carbon parameter, such as Total Dissolved Inorganic Carbon or Total Alkalinity. Scientists deploy high-precision glass electrodes and spectrophotometric sensors mounted on autonomous ocean gliders, deep moorings, and Biogeochemical ARGO robotic floats through the Global Ocean Acidification Observing Network, or GOA-ON.</w:t>
        <w:br/>
        <w:br/>
        <w:t>[PAUSE — ADVANCE TO SLIDE 12]</w:t>
        <w:br/>
        <w:br/>
        <w:t>Who governs Target 14.3? The official global custodian agency is UNESCO’s Intergovernmental Oceanographic Commission, or UNESCO-IOC. UNESCO-IOC coordinates global ocean observations and publishes the global progress reports.</w:t>
        <w:br/>
        <w:br/>
        <w:t>The biggest operational challenge is the geographic data gap. Wealthy developed nations maintain hundreds of autonomous sensor stations, while small island developing states—who depend most heavily on coral reefs for survival—often have zero continuous monitoring buoys. Under the UN Decade of Ocean Science, UNESCO is distributing low-cost monitoring kits called 'Ocean Acidification in a Box' to bridge this divide.</w:t>
        <w:br/>
        <w:br/>
        <w:t>In conclusion: SDG 14 teaches us that the ocean is one continuous, interconnected planetary system. Land pollution under 14.1, ecosystem resilience under 14.2, and ocean chemistry under 14.3 cannot be solved separately. Stopping plastic at the source, enforcing the 30x30 reserves, and slashing greenhouse gas emissions are three parts of a single mission: preserving life below water.</w:t>
        <w:br/>
        <w:br/>
        <w:t>Thank you very much for your attention. Our team is now delighted to take your questions.</w:t>
      </w:r>
    </w:p>
    <w:p>
      <w:r>
        <w:rPr>
          <w:b/>
          <w:color w:val="0284C7"/>
        </w:rPr>
        <w:t xml:space="preserve">Pronunciation Quick Guide: </w:t>
      </w:r>
      <w:r>
        <w:rPr>
          <w:i/>
        </w:rPr>
        <w:t>Spectrophotometric -&gt; [spek-troh-foh-toh-MET-rik] | Intergovernmental -&gt; [in-ter-guh-vern-MEN-tuhl] | Alkalinity -&gt; [al-kuh-LIN-uh-tee]</w:t>
      </w:r>
    </w:p>
    <w:p>
      <w:r>
        <w:rPr>
          <w:b/>
          <w:color w:val="E11D48"/>
        </w:rPr>
        <w:t xml:space="preserve">Handoff Cue: </w:t>
      </w:r>
      <w:r>
        <w:rPr>
          <w:b/>
        </w:rPr>
        <w:t>"Thank you everyone. We invite our professor and classmates to share your feedback and questions."</w:t>
      </w:r>
    </w:p>
    <w:p>
      <w:r>
        <w:br w:type="page"/>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