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284C7"/>
          <w:sz w:val="40"/>
        </w:rPr>
        <w:t>SDG 14: LIFE BELOW WATER — OFFICIAL 6-SPEAKER SCRIPT</w:t>
      </w:r>
    </w:p>
    <w:p>
      <w:pPr>
        <w:jc w:val="center"/>
      </w:pPr>
      <w:r>
        <w:rPr>
          <w:rFonts w:ascii="Arial" w:hAnsi="Arial"/>
          <w:i/>
          <w:sz w:val="22"/>
        </w:rPr>
        <w:t>Framework: 3 Targets × 4 Core Questions • 12 Slides Total • 15 Minutes (02:30 per Speaker)</w:t>
      </w:r>
    </w:p>
    <w:p>
      <w:pPr>
        <w:jc w:val="center"/>
      </w:pPr>
      <w:r>
        <w:rPr>
          <w:color w:val="64748B"/>
          <w:sz w:val="19"/>
        </w:rPr>
        <w:t>Prepared for: skrongdattv1@gmail.com (Kiris) • Formatted with Heading 1 for Google Docs Document Tabs</w:t>
      </w:r>
    </w:p>
    <w:p>
      <w:r>
        <w:t>―――――――――――――――――――――――――――――――――――――――――――――――――――――――</w:t>
      </w:r>
    </w:p>
    <w:p>
      <w:pPr>
        <w:pStyle w:val="Heading1"/>
      </w:pPr>
      <w:r>
        <w:rPr>
          <w:rFonts w:ascii="Arial" w:hAnsi="Arial"/>
          <w:b/>
          <w:color w:val="0284C7"/>
          <w:sz w:val="32"/>
        </w:rPr>
        <w:t>Speaker 1 — Target 14.1 Aim &amp; Indicators (Slides 1 &amp; 2)</w:t>
      </w:r>
    </w:p>
    <w:p>
      <w:r>
        <w:rPr>
          <w:b/>
          <w:color w:val="475569"/>
          <w:sz w:val="20"/>
        </w:rPr>
        <w:t>Time Window: 00:00 to 02:30 (02:30 Target) • Role: Speaker 1 (Opening &amp; Target 14.1 Fundamentals)</w:t>
      </w:r>
    </w:p>
    <w:p>
      <w:r>
        <w:rPr>
          <w:b/>
          <w:sz w:val="20"/>
        </w:rPr>
        <w:t xml:space="preserve">Pronunciation Guide: </w:t>
      </w:r>
      <w:r>
        <w:rPr>
          <w:i/>
          <w:sz w:val="20"/>
        </w:rPr>
        <w:t>Eutrophication [yoo-truh-fuh-KAY-shun] | Phosphorus [FOS-fuh-ruhs] | Hypoxic [hy-POK-sik]</w:t>
      </w:r>
    </w:p>
    <w:p>
      <w:pPr>
        <w:spacing w:line="300" w:lineRule="auto" w:after="120"/>
      </w:pPr>
      <w:r>
        <w:rPr>
          <w:rFonts w:ascii="Arial" w:hAnsi="Arial"/>
          <w:b/>
          <w:color w:val="0284C7"/>
          <w:sz w:val="22"/>
        </w:rPr>
        <w:t>[ON SLIDE 01 — TARGET 14.1 AIM]</w:t>
      </w:r>
    </w:p>
    <w:p>
      <w:pPr>
        <w:spacing w:line="300" w:lineRule="auto" w:after="120"/>
      </w:pPr>
      <w:r>
        <w:rPr>
          <w:rFonts w:ascii="Arial" w:hAnsi="Arial"/>
          <w:color w:val="0F172A"/>
          <w:sz w:val="22"/>
        </w:rPr>
        <w:t>Good morning, professor and fellow classmates. Today, our team is presenting United Nations Sustainable Development Goal 14: Life Below Water. Our study is built upon a rigorous matrix: three foundational targets examined across four essential questions.</w:t>
      </w:r>
    </w:p>
    <w:p>
      <w:pPr>
        <w:spacing w:line="300" w:lineRule="auto" w:after="120"/>
      </w:pPr>
      <w:r>
        <w:rPr>
          <w:rFonts w:ascii="Arial" w:hAnsi="Arial"/>
          <w:color w:val="0F172A"/>
          <w:sz w:val="22"/>
        </w:rPr>
        <w:t>I begin with Target 14.1: Marine Pollution. Question 1 asks: What does this target aim to achieve?</w:t>
      </w:r>
    </w:p>
    <w:p>
      <w:pPr>
        <w:spacing w:line="300" w:lineRule="auto" w:after="120"/>
      </w:pPr>
      <w:r>
        <w:rPr>
          <w:rFonts w:ascii="Arial" w:hAnsi="Arial"/>
          <w:color w:val="0F172A"/>
          <w:sz w:val="22"/>
        </w:rPr>
        <w:t>The official UN mandate is unequivocal: by 2025, prevent and significantly reduce marine pollution of all kinds, in particular from land-based activities. Notice two vital dimensions: First, up to 80 percent of all marine litter originates inland—carried by river basins from agricultural runoff and municipal solid waste. Second, 2025 was the original deadline, meaning global implementation is operating under severe time pressure.</w:t>
      </w:r>
    </w:p>
    <w:p>
      <w:pPr>
        <w:spacing w:line="300" w:lineRule="auto" w:after="120"/>
      </w:pPr>
      <w:r>
        <w:rPr>
          <w:rFonts w:ascii="Arial" w:hAnsi="Arial"/>
          <w:b/>
          <w:color w:val="0284C7"/>
          <w:sz w:val="22"/>
        </w:rPr>
        <w:t>[ADVANCE TO SLIDE 02 — INDICATOR 14.1.1]</w:t>
      </w:r>
    </w:p>
    <w:p>
      <w:pPr>
        <w:spacing w:line="300" w:lineRule="auto" w:after="120"/>
      </w:pPr>
      <w:r>
        <w:rPr>
          <w:rFonts w:ascii="Arial" w:hAnsi="Arial"/>
          <w:color w:val="0F172A"/>
          <w:sz w:val="22"/>
        </w:rPr>
        <w:t>Question 2: What official indicators track this progress?</w:t>
      </w:r>
    </w:p>
    <w:p>
      <w:pPr>
        <w:spacing w:line="300" w:lineRule="auto" w:after="120"/>
      </w:pPr>
      <w:r>
        <w:rPr>
          <w:rFonts w:ascii="Arial" w:hAnsi="Arial"/>
          <w:color w:val="0F172A"/>
          <w:sz w:val="22"/>
        </w:rPr>
        <w:t>The UN designated Indicator 14.1.1, split into two complementary monitoring pathways. Sub-indicator 14.1.1(a) is the Index of Coastal Eutrophication Potential, or ICEP. It tracks invisible chemical pollution—specifically nitrogen and phosphorus fertilizers. When excess nutrients wash into coastal waters, they spark massive algal blooms that consume dissolved oxygen, resulting in over 500 oceanic dead zones worldwide.</w:t>
      </w:r>
    </w:p>
    <w:p>
      <w:pPr>
        <w:spacing w:line="300" w:lineRule="auto" w:after="120"/>
      </w:pPr>
      <w:r>
        <w:rPr>
          <w:rFonts w:ascii="Arial" w:hAnsi="Arial"/>
          <w:color w:val="0F172A"/>
          <w:sz w:val="22"/>
        </w:rPr>
        <w:t>Sub-indicator 14.1.1(b) is Plastic Debris Density, measuring both floating macro- and micro-plastics in surface waters and solid waste accumulation per kilometer of coastline.</w:t>
      </w:r>
    </w:p>
    <w:p>
      <w:r>
        <w:rPr>
          <w:b/>
          <w:color w:val="E11D48"/>
        </w:rPr>
        <w:t xml:space="preserve">🤝 Transition / Handoff Cue: </w:t>
      </w:r>
      <w:r>
        <w:rPr>
          <w:b/>
          <w:i/>
        </w:rPr>
        <w:t>"Speaker 2 will now explain how scientists measure this pollution from space and how international treaties govern it."</w:t>
      </w:r>
    </w:p>
    <w:p>
      <w:r>
        <w:t>―――――――――――――――――――――――――――――――――――――――――――――――――――――――</w:t>
      </w:r>
    </w:p>
    <w:p>
      <w:pPr>
        <w:pStyle w:val="Heading1"/>
      </w:pPr>
      <w:r>
        <w:rPr>
          <w:rFonts w:ascii="Arial" w:hAnsi="Arial"/>
          <w:b/>
          <w:color w:val="0284C7"/>
          <w:sz w:val="32"/>
        </w:rPr>
        <w:t>Speaker 2 — Target 14.1 Measurement &amp; Governance (Slides 3 &amp; 4)</w:t>
      </w:r>
    </w:p>
    <w:p>
      <w:r>
        <w:rPr>
          <w:b/>
          <w:color w:val="475569"/>
          <w:sz w:val="20"/>
        </w:rPr>
        <w:t>Time Window: 02:30 to 05:00 (02:30 Target) • Role: Speaker 2 (Scientific Measurement &amp; Marine Law)</w:t>
      </w:r>
    </w:p>
    <w:p>
      <w:r>
        <w:rPr>
          <w:b/>
          <w:sz w:val="20"/>
        </w:rPr>
        <w:t xml:space="preserve">Pronunciation Guide: </w:t>
      </w:r>
      <w:r>
        <w:rPr>
          <w:i/>
          <w:sz w:val="20"/>
        </w:rPr>
        <w:t>Chlorophyll [KLOR-uh-fil] | Transects [TRAN-sekts] | Custodian [kuh-STOH-dee-uhn]</w:t>
      </w:r>
    </w:p>
    <w:p>
      <w:pPr>
        <w:spacing w:line="300" w:lineRule="auto" w:after="120"/>
      </w:pPr>
      <w:r>
        <w:rPr>
          <w:rFonts w:ascii="Arial" w:hAnsi="Arial"/>
          <w:b/>
          <w:color w:val="0284C7"/>
          <w:sz w:val="22"/>
        </w:rPr>
        <w:t>[ON SLIDE 03 — MEASUREMENT 14.1]</w:t>
      </w:r>
    </w:p>
    <w:p>
      <w:pPr>
        <w:spacing w:line="300" w:lineRule="auto" w:after="120"/>
      </w:pPr>
      <w:r>
        <w:rPr>
          <w:rFonts w:ascii="Arial" w:hAnsi="Arial"/>
          <w:color w:val="0F172A"/>
          <w:sz w:val="22"/>
        </w:rPr>
        <w:t>Thank you, Speaker 1. Hello everyone, I am Speaker 2.</w:t>
      </w:r>
    </w:p>
    <w:p>
      <w:pPr>
        <w:spacing w:line="300" w:lineRule="auto" w:after="120"/>
      </w:pPr>
      <w:r>
        <w:rPr>
          <w:rFonts w:ascii="Arial" w:hAnsi="Arial"/>
          <w:color w:val="0F172A"/>
          <w:sz w:val="22"/>
        </w:rPr>
        <w:t>Question 3 asks: How is marine pollution measured scientifically?</w:t>
      </w:r>
    </w:p>
    <w:p>
      <w:pPr>
        <w:spacing w:line="300" w:lineRule="auto" w:after="120"/>
      </w:pPr>
      <w:r>
        <w:rPr>
          <w:rFonts w:ascii="Arial" w:hAnsi="Arial"/>
          <w:color w:val="0F172A"/>
          <w:sz w:val="22"/>
        </w:rPr>
        <w:t>Tracking pollution across millions of square kilometers requires orbital remote sensing paired with shoreline surveys. For coastal eutrophication, ESA’s Sentinel-3 and NASA’s MODIS satellites scan ocean surface reflectance to detect Chlorophyll-a anomalies. When chlorophyll concentrations surge above normal baselines, algorithms flag active algal blooms.</w:t>
      </w:r>
    </w:p>
    <w:p>
      <w:pPr>
        <w:spacing w:line="300" w:lineRule="auto" w:after="120"/>
      </w:pPr>
      <w:r>
        <w:rPr>
          <w:rFonts w:ascii="Arial" w:hAnsi="Arial"/>
          <w:color w:val="0F172A"/>
          <w:sz w:val="22"/>
        </w:rPr>
        <w:t>For plastics, scientists use two methodologies: surface manta trawl nets with 333-micrometer mesh to capture floating microplastics, and standardized 100-meter shoreline transects where researchers categorize, count, and weigh litter deposits per square meter.</w:t>
      </w:r>
    </w:p>
    <w:p>
      <w:pPr>
        <w:spacing w:line="300" w:lineRule="auto" w:after="120"/>
      </w:pPr>
      <w:r>
        <w:rPr>
          <w:rFonts w:ascii="Arial" w:hAnsi="Arial"/>
          <w:b/>
          <w:color w:val="0284C7"/>
          <w:sz w:val="22"/>
        </w:rPr>
        <w:t>[ADVANCE TO SLIDE 04 — GOVERNANCE 14.1]</w:t>
      </w:r>
    </w:p>
    <w:p>
      <w:pPr>
        <w:spacing w:line="300" w:lineRule="auto" w:after="120"/>
      </w:pPr>
      <w:r>
        <w:rPr>
          <w:rFonts w:ascii="Arial" w:hAnsi="Arial"/>
          <w:color w:val="0F172A"/>
          <w:sz w:val="22"/>
        </w:rPr>
        <w:t>Question 4: What institutions and governance frameworks enforce compliance?</w:t>
      </w:r>
    </w:p>
    <w:p>
      <w:pPr>
        <w:spacing w:line="300" w:lineRule="auto" w:after="120"/>
      </w:pPr>
      <w:r>
        <w:rPr>
          <w:rFonts w:ascii="Arial" w:hAnsi="Arial"/>
          <w:color w:val="0F172A"/>
          <w:sz w:val="22"/>
        </w:rPr>
        <w:t>The official global custodian agency is the United Nations Environment Programme (UNEP). UNEP standardizes national data reporting and methodologies across member states.</w:t>
      </w:r>
    </w:p>
    <w:p>
      <w:pPr>
        <w:spacing w:line="300" w:lineRule="auto" w:after="120"/>
      </w:pPr>
      <w:r>
        <w:rPr>
          <w:rFonts w:ascii="Arial" w:hAnsi="Arial"/>
          <w:color w:val="0F172A"/>
          <w:sz w:val="22"/>
        </w:rPr>
        <w:t>On the legal front, the most critical breakthrough is the Intergovernmental Negotiating Committee (INC) Global Plastics Treaty—mandated to become a legally binding international treaty addressing the full lifecycle of plastics. At sea, MARPOL Annex V under the International Maritime Organization strictly prohibits commercial vessels from discharging any plastics into the marine environment.</w:t>
      </w:r>
    </w:p>
    <w:p>
      <w:r>
        <w:rPr>
          <w:b/>
          <w:color w:val="E11D48"/>
        </w:rPr>
        <w:t xml:space="preserve">🤝 Transition / Handoff Cue: </w:t>
      </w:r>
      <w:r>
        <w:rPr>
          <w:b/>
          <w:i/>
        </w:rPr>
        <w:t>"I now pass the floor to Speaker 3 to dive into Target 14.2 on living coastal ecosystems."</w:t>
      </w:r>
    </w:p>
    <w:p>
      <w:r>
        <w:t>―――――――――――――――――――――――――――――――――――――――――――――――――――――――</w:t>
      </w:r>
    </w:p>
    <w:p>
      <w:pPr>
        <w:pStyle w:val="Heading1"/>
      </w:pPr>
      <w:r>
        <w:rPr>
          <w:rFonts w:ascii="Arial" w:hAnsi="Arial"/>
          <w:b/>
          <w:color w:val="0284C7"/>
          <w:sz w:val="32"/>
        </w:rPr>
        <w:t>Speaker 3 — Target 14.2 Aim &amp; Indicators (Slides 5 &amp; 6)</w:t>
      </w:r>
    </w:p>
    <w:p>
      <w:r>
        <w:rPr>
          <w:b/>
          <w:color w:val="475569"/>
          <w:sz w:val="20"/>
        </w:rPr>
        <w:t>Time Window: 05:00 to 07:30 (02:30 Target) • Role: Speaker 3 (Living Habitats &amp; Policy Evaluation)</w:t>
      </w:r>
    </w:p>
    <w:p>
      <w:r>
        <w:rPr>
          <w:b/>
          <w:sz w:val="20"/>
        </w:rPr>
        <w:t xml:space="preserve">Pronunciation Guide: </w:t>
      </w:r>
      <w:r>
        <w:rPr>
          <w:i/>
          <w:sz w:val="20"/>
        </w:rPr>
        <w:t>Resilience [rih-ZIL-yuhnss] | Ecosystem-based [EE-koh-sis-tuhm bayst] | Spatial [SPAY-shuhl]</w:t>
      </w:r>
    </w:p>
    <w:p>
      <w:pPr>
        <w:spacing w:line="300" w:lineRule="auto" w:after="120"/>
      </w:pPr>
      <w:r>
        <w:rPr>
          <w:rFonts w:ascii="Arial" w:hAnsi="Arial"/>
          <w:b/>
          <w:color w:val="0284C7"/>
          <w:sz w:val="22"/>
        </w:rPr>
        <w:t>[ON SLIDE 05 — TARGET 14.2 AIM]</w:t>
      </w:r>
    </w:p>
    <w:p>
      <w:pPr>
        <w:spacing w:line="300" w:lineRule="auto" w:after="120"/>
      </w:pPr>
      <w:r>
        <w:rPr>
          <w:rFonts w:ascii="Arial" w:hAnsi="Arial"/>
          <w:color w:val="0F172A"/>
          <w:sz w:val="22"/>
        </w:rPr>
        <w:t>Thank you, Speaker 2. Hello everyone, I am Speaker 3.</w:t>
      </w:r>
    </w:p>
    <w:p>
      <w:pPr>
        <w:spacing w:line="300" w:lineRule="auto" w:after="120"/>
      </w:pPr>
      <w:r>
        <w:rPr>
          <w:rFonts w:ascii="Arial" w:hAnsi="Arial"/>
          <w:color w:val="0F172A"/>
          <w:sz w:val="22"/>
        </w:rPr>
        <w:t>We now transition to Target 14.2: Marine Ecosystem Resilience. Question 1: What is the aim?</w:t>
      </w:r>
    </w:p>
    <w:p>
      <w:pPr>
        <w:spacing w:line="300" w:lineRule="auto" w:after="120"/>
      </w:pPr>
      <w:r>
        <w:rPr>
          <w:rFonts w:ascii="Arial" w:hAnsi="Arial"/>
          <w:color w:val="0F172A"/>
          <w:sz w:val="22"/>
        </w:rPr>
        <w:t>The mandate requires countries to sustainably manage and protect marine and coastal ecosystems to avoid significant adverse impacts, including by strengthening their resilience and taking action for their restoration. The core principle is Ecosystem-Based Management (EBM). Historically, humans managed oceans in silos: fisheries departments regulated fish, while transport ministries regulated shipping. EBM breaks these silos down, managing corals, seagrass meadows, mangroves, and fishing as one interconnected biological web.</w:t>
      </w:r>
    </w:p>
    <w:p>
      <w:pPr>
        <w:spacing w:line="300" w:lineRule="auto" w:after="120"/>
      </w:pPr>
      <w:r>
        <w:rPr>
          <w:rFonts w:ascii="Arial" w:hAnsi="Arial"/>
          <w:b/>
          <w:color w:val="0284C7"/>
          <w:sz w:val="22"/>
        </w:rPr>
        <w:t>[ADVANCE TO SLIDE 06 — INDICATOR 14.2.1]</w:t>
      </w:r>
    </w:p>
    <w:p>
      <w:pPr>
        <w:spacing w:line="300" w:lineRule="auto" w:after="120"/>
      </w:pPr>
      <w:r>
        <w:rPr>
          <w:rFonts w:ascii="Arial" w:hAnsi="Arial"/>
          <w:color w:val="0F172A"/>
          <w:sz w:val="22"/>
        </w:rPr>
        <w:t>Question 2: What is the official indicator?</w:t>
      </w:r>
    </w:p>
    <w:p>
      <w:pPr>
        <w:spacing w:line="300" w:lineRule="auto" w:after="120"/>
      </w:pPr>
      <w:r>
        <w:rPr>
          <w:rFonts w:ascii="Arial" w:hAnsi="Arial"/>
          <w:color w:val="0F172A"/>
          <w:sz w:val="22"/>
        </w:rPr>
        <w:t>The UN established Indicator 14.2.1: the number of countries using ecosystem-based approaches to manage marine areas. Governments report whether they have established Marine Spatial Planning (MSP) and Integrated Coastal Zone Management (ICZM) frameworks.</w:t>
      </w:r>
    </w:p>
    <w:p>
      <w:pPr>
        <w:spacing w:line="300" w:lineRule="auto" w:after="120"/>
      </w:pPr>
      <w:r>
        <w:rPr>
          <w:rFonts w:ascii="Arial" w:hAnsi="Arial"/>
          <w:color w:val="0F172A"/>
          <w:sz w:val="22"/>
        </w:rPr>
        <w:t>However, our team highlights a major analytical limitation: Indicator 14.2.1 is a process indicator, not an outcome metric. It records whether a government enacted a management law on paper. It does not verify whether coral cover grew, whether fish biomass recovered, or whether patrol boats stop illegal trawling. This creates the acute risk of 'paper parks'—zones protected on maps but neglected in reality.</w:t>
      </w:r>
    </w:p>
    <w:p>
      <w:r>
        <w:rPr>
          <w:b/>
          <w:color w:val="E11D48"/>
        </w:rPr>
        <w:t xml:space="preserve">🤝 Transition / Handoff Cue: </w:t>
      </w:r>
      <w:r>
        <w:rPr>
          <w:b/>
          <w:i/>
        </w:rPr>
        <w:t>"Speaker 4 will now examine how scientists audit real marine ecology and the global treaties enforcing 14.2."</w:t>
      </w:r>
    </w:p>
    <w:p>
      <w:r>
        <w:t>―――――――――――――――――――――――――――――――――――――――――――――――――――――――</w:t>
      </w:r>
    </w:p>
    <w:p>
      <w:pPr>
        <w:pStyle w:val="Heading1"/>
      </w:pPr>
      <w:r>
        <w:rPr>
          <w:rFonts w:ascii="Arial" w:hAnsi="Arial"/>
          <w:b/>
          <w:color w:val="0284C7"/>
          <w:sz w:val="32"/>
        </w:rPr>
        <w:t>Speaker 4 — Target 14.2 Measurement &amp; Governance (Slides 7 &amp; 8)</w:t>
      </w:r>
    </w:p>
    <w:p>
      <w:r>
        <w:rPr>
          <w:b/>
          <w:color w:val="475569"/>
          <w:sz w:val="20"/>
        </w:rPr>
        <w:t>Time Window: 07:30 to 10:00 (02:30 Target) • Role: Speaker 4 (Biological Auditing &amp; International Treaties)</w:t>
      </w:r>
    </w:p>
    <w:p>
      <w:r>
        <w:rPr>
          <w:b/>
          <w:sz w:val="20"/>
        </w:rPr>
        <w:t xml:space="preserve">Pronunciation Guide: </w:t>
      </w:r>
      <w:r>
        <w:rPr>
          <w:i/>
          <w:sz w:val="20"/>
        </w:rPr>
        <w:t>Kunming-Montreal [Koon-ming Mon-tree-AWL] | Bathymetry [buh-THIM-uh-tree] | Genomics [juh-NOH-miks]</w:t>
      </w:r>
    </w:p>
    <w:p>
      <w:pPr>
        <w:spacing w:line="300" w:lineRule="auto" w:after="120"/>
      </w:pPr>
      <w:r>
        <w:rPr>
          <w:rFonts w:ascii="Arial" w:hAnsi="Arial"/>
          <w:b/>
          <w:color w:val="0284C7"/>
          <w:sz w:val="22"/>
        </w:rPr>
        <w:t>[ON SLIDE 07 — MEASUREMENT 14.2]</w:t>
      </w:r>
    </w:p>
    <w:p>
      <w:pPr>
        <w:spacing w:line="300" w:lineRule="auto" w:after="120"/>
      </w:pPr>
      <w:r>
        <w:rPr>
          <w:rFonts w:ascii="Arial" w:hAnsi="Arial"/>
          <w:color w:val="0F172A"/>
          <w:sz w:val="22"/>
        </w:rPr>
        <w:t>Thank you, Speaker 3. Hello everyone, I am Speaker 4.</w:t>
      </w:r>
    </w:p>
    <w:p>
      <w:pPr>
        <w:spacing w:line="300" w:lineRule="auto" w:after="120"/>
      </w:pPr>
      <w:r>
        <w:rPr>
          <w:rFonts w:ascii="Arial" w:hAnsi="Arial"/>
          <w:color w:val="0F172A"/>
          <w:sz w:val="22"/>
        </w:rPr>
        <w:t>Question 3: How do scientists measure real ecological health beyond paperwork?</w:t>
      </w:r>
    </w:p>
    <w:p>
      <w:pPr>
        <w:spacing w:line="300" w:lineRule="auto" w:after="120"/>
      </w:pPr>
      <w:r>
        <w:rPr>
          <w:rFonts w:ascii="Arial" w:hAnsi="Arial"/>
          <w:color w:val="0F172A"/>
          <w:sz w:val="22"/>
        </w:rPr>
        <w:t>Marine biologists deploy three direct empirical techniques: First, the Global Coral Reef Monitoring Network (GCRMN) conducts standardized scuba transects to measure hard coral cover, structural rugosity, and bleaching mortality.</w:t>
      </w:r>
    </w:p>
    <w:p>
      <w:pPr>
        <w:spacing w:line="300" w:lineRule="auto" w:after="120"/>
      </w:pPr>
      <w:r>
        <w:rPr>
          <w:rFonts w:ascii="Arial" w:hAnsi="Arial"/>
          <w:color w:val="0F172A"/>
          <w:sz w:val="22"/>
        </w:rPr>
        <w:t>Second, environmental DNA (eDNA) sampling allows scientists to filter a liter of seawater and sequence genetic traces shed by marine organisms, auditing entire fish populations without destructive netting. Third, multibeam sonar bathymetry and airborne LiDAR map the exact boundaries and density of seagrass meadows and mangrove roots.</w:t>
      </w:r>
    </w:p>
    <w:p>
      <w:pPr>
        <w:spacing w:line="300" w:lineRule="auto" w:after="120"/>
      </w:pPr>
      <w:r>
        <w:rPr>
          <w:rFonts w:ascii="Arial" w:hAnsi="Arial"/>
          <w:b/>
          <w:color w:val="0284C7"/>
          <w:sz w:val="22"/>
        </w:rPr>
        <w:t>[ADVANCE TO SLIDE 08 — GOVERNANCE 14.2]</w:t>
      </w:r>
    </w:p>
    <w:p>
      <w:pPr>
        <w:spacing w:line="300" w:lineRule="auto" w:after="120"/>
      </w:pPr>
      <w:r>
        <w:rPr>
          <w:rFonts w:ascii="Arial" w:hAnsi="Arial"/>
          <w:color w:val="0F172A"/>
          <w:sz w:val="22"/>
        </w:rPr>
        <w:t>Question 4: What global governance frameworks enforce Target 14.2?</w:t>
      </w:r>
    </w:p>
    <w:p>
      <w:pPr>
        <w:spacing w:line="300" w:lineRule="auto" w:after="120"/>
      </w:pPr>
      <w:r>
        <w:rPr>
          <w:rFonts w:ascii="Arial" w:hAnsi="Arial"/>
          <w:color w:val="0F172A"/>
          <w:sz w:val="22"/>
        </w:rPr>
        <w:t>Target 14.2 is driven by two landmark international accords. First is the Kunming-Montreal Global Biodiversity Framework, specifically Target 3—the '30 by 30' commitment, where 190 nations pledged to protect 30 percent of marine and coastal domains by 2030.</w:t>
      </w:r>
    </w:p>
    <w:p>
      <w:pPr>
        <w:spacing w:line="300" w:lineRule="auto" w:after="120"/>
      </w:pPr>
      <w:r>
        <w:rPr>
          <w:rFonts w:ascii="Arial" w:hAnsi="Arial"/>
          <w:color w:val="0F172A"/>
          <w:sz w:val="22"/>
        </w:rPr>
        <w:t>Second is the historic BBNJ Treaty—Biodiversity Beyond National Jurisdiction. For the first time in legal history, the international community possesses a binding mechanism to establish and enforce Marine Protected Areas in international waters—the High Seas—which cover two-thirds of the global ocean.</w:t>
      </w:r>
    </w:p>
    <w:p>
      <w:r>
        <w:rPr>
          <w:b/>
          <w:color w:val="E11D48"/>
        </w:rPr>
        <w:t xml:space="preserve">🤝 Transition / Handoff Cue: </w:t>
      </w:r>
      <w:r>
        <w:rPr>
          <w:b/>
          <w:i/>
        </w:rPr>
        <w:t>"I now hand over to Speaker 5 to investigate Target 14.3 and the invisible chemical crisis of ocean acidification."</w:t>
      </w:r>
    </w:p>
    <w:p>
      <w:r>
        <w:t>―――――――――――――――――――――――――――――――――――――――――――――――――――――――</w:t>
      </w:r>
    </w:p>
    <w:p>
      <w:pPr>
        <w:pStyle w:val="Heading1"/>
      </w:pPr>
      <w:r>
        <w:rPr>
          <w:rFonts w:ascii="Arial" w:hAnsi="Arial"/>
          <w:b/>
          <w:color w:val="0284C7"/>
          <w:sz w:val="32"/>
        </w:rPr>
        <w:t>Speaker 5 — Target 14.3 Aim &amp; Indicators (Slides 9 &amp; 10)</w:t>
      </w:r>
    </w:p>
    <w:p>
      <w:r>
        <w:rPr>
          <w:b/>
          <w:color w:val="475569"/>
          <w:sz w:val="20"/>
        </w:rPr>
        <w:t>Time Window: 10:00 to 12:30 (02:30 Target) • Role: Speaker 5 (Ocean Chemistry &amp; Carbon Sink Dynamics)</w:t>
      </w:r>
    </w:p>
    <w:p>
      <w:r>
        <w:rPr>
          <w:b/>
          <w:sz w:val="20"/>
        </w:rPr>
        <w:t xml:space="preserve">Pronunciation Guide: </w:t>
      </w:r>
      <w:r>
        <w:rPr>
          <w:i/>
          <w:sz w:val="20"/>
        </w:rPr>
        <w:t>Acidification [uh-sid-uh-fuh-KAY-shun] | Logarithmic [log-uh-RITH-mik] | Aragonite [uh-RAG-uh-nyte]</w:t>
      </w:r>
    </w:p>
    <w:p>
      <w:pPr>
        <w:spacing w:line="300" w:lineRule="auto" w:after="120"/>
      </w:pPr>
      <w:r>
        <w:rPr>
          <w:rFonts w:ascii="Arial" w:hAnsi="Arial"/>
          <w:b/>
          <w:color w:val="0284C7"/>
          <w:sz w:val="22"/>
        </w:rPr>
        <w:t>[ON SLIDE 09 — TARGET 14.3 AIM]</w:t>
      </w:r>
    </w:p>
    <w:p>
      <w:pPr>
        <w:spacing w:line="300" w:lineRule="auto" w:after="120"/>
      </w:pPr>
      <w:r>
        <w:rPr>
          <w:rFonts w:ascii="Arial" w:hAnsi="Arial"/>
          <w:color w:val="0F172A"/>
          <w:sz w:val="22"/>
        </w:rPr>
        <w:t>Thank you, Speaker 4. Hello everyone, I am Speaker 5.</w:t>
      </w:r>
    </w:p>
    <w:p>
      <w:pPr>
        <w:spacing w:line="300" w:lineRule="auto" w:after="120"/>
      </w:pPr>
      <w:r>
        <w:rPr>
          <w:rFonts w:ascii="Arial" w:hAnsi="Arial"/>
          <w:color w:val="0F172A"/>
          <w:sz w:val="22"/>
        </w:rPr>
        <w:t>We descend into Target 14.3: Ocean Acidification. Question 1: What is the aim?</w:t>
      </w:r>
    </w:p>
    <w:p>
      <w:pPr>
        <w:spacing w:line="300" w:lineRule="auto" w:after="120"/>
      </w:pPr>
      <w:r>
        <w:rPr>
          <w:rFonts w:ascii="Arial" w:hAnsi="Arial"/>
          <w:color w:val="0F172A"/>
          <w:sz w:val="22"/>
        </w:rPr>
        <w:t>The mandate requires humanity to minimize and address the impacts of ocean acidification, including through enhanced scientific cooperation at all levels. The ocean has served as Earth's primary climate shield, absorbing roughly 25 percent of all human-generated CO2 emissions. But this protection carries a grave chemical cost.</w:t>
      </w:r>
    </w:p>
    <w:p>
      <w:pPr>
        <w:spacing w:line="300" w:lineRule="auto" w:after="120"/>
      </w:pPr>
      <w:r>
        <w:rPr>
          <w:rFonts w:ascii="Arial" w:hAnsi="Arial"/>
          <w:color w:val="0F172A"/>
          <w:sz w:val="22"/>
        </w:rPr>
        <w:t>When CO2 dissolves in seawater, it forms carbonic acid, releasing hydrogen ions. Since the industrial revolution, surface ocean pH has declined by 0.1 units. Because pH is on a logarithmic scale, a 0.1 decline represents a 30 percent surge in hydrogen ion acidity, stripping away the carbonate ions that shellfish, pteropods, and corals require to construct their protective shells.</w:t>
      </w:r>
    </w:p>
    <w:p>
      <w:pPr>
        <w:spacing w:line="300" w:lineRule="auto" w:after="120"/>
      </w:pPr>
      <w:r>
        <w:rPr>
          <w:rFonts w:ascii="Arial" w:hAnsi="Arial"/>
          <w:b/>
          <w:color w:val="0284C7"/>
          <w:sz w:val="22"/>
        </w:rPr>
        <w:t>[ADVANCE TO SLIDE 10 — INDICATOR 14.3.1]</w:t>
      </w:r>
    </w:p>
    <w:p>
      <w:pPr>
        <w:spacing w:line="300" w:lineRule="auto" w:after="120"/>
      </w:pPr>
      <w:r>
        <w:rPr>
          <w:rFonts w:ascii="Arial" w:hAnsi="Arial"/>
          <w:color w:val="0F172A"/>
          <w:sz w:val="22"/>
        </w:rPr>
        <w:t>Question 2: What is the official indicator?</w:t>
      </w:r>
    </w:p>
    <w:p>
      <w:pPr>
        <w:spacing w:line="300" w:lineRule="auto" w:after="120"/>
      </w:pPr>
      <w:r>
        <w:rPr>
          <w:rFonts w:ascii="Arial" w:hAnsi="Arial"/>
          <w:color w:val="0F172A"/>
          <w:sz w:val="22"/>
        </w:rPr>
        <w:t>The UN designated Indicator 14.3.1: Average marine acidity (pH) measured at an agreed suite of representative sampling stations. Measuring pH requires extraordinary scientific precision—down to 0.002 pH units on the 'Total pH scale' (pHT).</w:t>
      </w:r>
    </w:p>
    <w:p>
      <w:pPr>
        <w:spacing w:line="300" w:lineRule="auto" w:after="120"/>
      </w:pPr>
      <w:r>
        <w:rPr>
          <w:rFonts w:ascii="Arial" w:hAnsi="Arial"/>
          <w:color w:val="0F172A"/>
          <w:sz w:val="22"/>
        </w:rPr>
        <w:t>Crucially, UN metadata mandates that pH must be reported alongside at least one co-parameter: Total Dissolved Inorganic Carbon (DIC) or Total Alkalinity. This enables calculation of the Aragonite Saturation State (Omega), determining the exact threshold where seawater transitions from nourishing shells to actively corroding them.</w:t>
      </w:r>
    </w:p>
    <w:p>
      <w:r>
        <w:rPr>
          <w:b/>
          <w:color w:val="E11D48"/>
        </w:rPr>
        <w:t xml:space="preserve">🤝 Transition / Handoff Cue: </w:t>
      </w:r>
      <w:r>
        <w:rPr>
          <w:b/>
          <w:i/>
        </w:rPr>
        <w:t>"Speaker 6 will now conclude with autonomous robotic sensors, UNESCO governance, and our team's final synthesis."</w:t>
      </w:r>
    </w:p>
    <w:p>
      <w:r>
        <w:t>―――――――――――――――――――――――――――――――――――――――――――――――――――――――</w:t>
      </w:r>
    </w:p>
    <w:p>
      <w:pPr>
        <w:pStyle w:val="Heading1"/>
      </w:pPr>
      <w:r>
        <w:rPr>
          <w:rFonts w:ascii="Arial" w:hAnsi="Arial"/>
          <w:b/>
          <w:color w:val="0284C7"/>
          <w:sz w:val="32"/>
        </w:rPr>
        <w:t>Speaker 6 — Target 14.3 Measurement, Governance &amp; Synthesis (Slides 11 &amp; 12)</w:t>
      </w:r>
    </w:p>
    <w:p>
      <w:r>
        <w:rPr>
          <w:b/>
          <w:color w:val="475569"/>
          <w:sz w:val="20"/>
        </w:rPr>
        <w:t>Time Window: 12:30 to 15:00 (02:30 Target) • Role: Speaker 6 (Robotic Profiling, UNESCO &amp; Team Synthesis)</w:t>
      </w:r>
    </w:p>
    <w:p>
      <w:r>
        <w:rPr>
          <w:b/>
          <w:sz w:val="20"/>
        </w:rPr>
        <w:t xml:space="preserve">Pronunciation Guide: </w:t>
      </w:r>
      <w:r>
        <w:rPr>
          <w:i/>
          <w:sz w:val="20"/>
        </w:rPr>
        <w:t>Spectrophotometric [spek-troh-foh-toh-MET-rik] | Intergovernmental [in-ter-guh-vern-MEN-tuhl] | Synthesis [SIN-thuh-sis]</w:t>
      </w:r>
    </w:p>
    <w:p>
      <w:pPr>
        <w:spacing w:line="300" w:lineRule="auto" w:after="120"/>
      </w:pPr>
      <w:r>
        <w:rPr>
          <w:rFonts w:ascii="Arial" w:hAnsi="Arial"/>
          <w:b/>
          <w:color w:val="0284C7"/>
          <w:sz w:val="22"/>
        </w:rPr>
        <w:t>[ON SLIDE 11 — MEASUREMENT 14.3]</w:t>
      </w:r>
    </w:p>
    <w:p>
      <w:pPr>
        <w:spacing w:line="300" w:lineRule="auto" w:after="120"/>
      </w:pPr>
      <w:r>
        <w:rPr>
          <w:rFonts w:ascii="Arial" w:hAnsi="Arial"/>
          <w:color w:val="0F172A"/>
          <w:sz w:val="22"/>
        </w:rPr>
        <w:t>Thank you, Speaker 5. Hello everyone, I am Speaker 6, and I will deliver our final section and synthesis.</w:t>
      </w:r>
    </w:p>
    <w:p>
      <w:pPr>
        <w:spacing w:line="300" w:lineRule="auto" w:after="120"/>
      </w:pPr>
      <w:r>
        <w:rPr>
          <w:rFonts w:ascii="Arial" w:hAnsi="Arial"/>
          <w:color w:val="0F172A"/>
          <w:sz w:val="22"/>
        </w:rPr>
        <w:t>Question 3: How is ocean acidity measured scientifically?</w:t>
      </w:r>
    </w:p>
    <w:p>
      <w:pPr>
        <w:spacing w:line="300" w:lineRule="auto" w:after="120"/>
      </w:pPr>
      <w:r>
        <w:rPr>
          <w:rFonts w:ascii="Arial" w:hAnsi="Arial"/>
          <w:color w:val="0F172A"/>
          <w:sz w:val="22"/>
        </w:rPr>
        <w:t>Because ocean pH fluctuates with depth, temperature, and seasonal biology, scientists cannot rely on simple spot checks. Measurement is executed through the Global Ocean Acidification Observing Network (GOA-ON).</w:t>
      </w:r>
    </w:p>
    <w:p>
      <w:pPr>
        <w:spacing w:line="300" w:lineRule="auto" w:after="120"/>
      </w:pPr>
      <w:r>
        <w:rPr>
          <w:rFonts w:ascii="Arial" w:hAnsi="Arial"/>
          <w:color w:val="0F172A"/>
          <w:sz w:val="22"/>
        </w:rPr>
        <w:t>Key technologies include autonomous Biogeochemical Argo profiling floats (BGC-Argo) that dive to 2,000 meters measuring pH with ion-sensitive field-effect transistors (ISFET), fixed deep-sea ocean moorings, and automated spectrophotometry using purified m-Cresol purple dye aboard oceanographic research vessels.</w:t>
      </w:r>
    </w:p>
    <w:p>
      <w:pPr>
        <w:spacing w:line="300" w:lineRule="auto" w:after="120"/>
      </w:pPr>
      <w:r>
        <w:rPr>
          <w:rFonts w:ascii="Arial" w:hAnsi="Arial"/>
          <w:b/>
          <w:color w:val="0284C7"/>
          <w:sz w:val="22"/>
        </w:rPr>
        <w:t>[ADVANCE TO SLIDE 12 — GOVERNANCE 14.3 &amp; SYNTHESIS]</w:t>
      </w:r>
    </w:p>
    <w:p>
      <w:pPr>
        <w:spacing w:line="300" w:lineRule="auto" w:after="120"/>
      </w:pPr>
      <w:r>
        <w:rPr>
          <w:rFonts w:ascii="Arial" w:hAnsi="Arial"/>
          <w:color w:val="0F172A"/>
          <w:sz w:val="22"/>
        </w:rPr>
        <w:t>Question 4: Who governs Target 14.3 and what is the final synthesis?</w:t>
      </w:r>
    </w:p>
    <w:p>
      <w:pPr>
        <w:spacing w:line="300" w:lineRule="auto" w:after="120"/>
      </w:pPr>
      <w:r>
        <w:rPr>
          <w:rFonts w:ascii="Arial" w:hAnsi="Arial"/>
          <w:color w:val="0F172A"/>
          <w:sz w:val="22"/>
        </w:rPr>
        <w:t>The custodian agency is UNESCO’s Intergovernmental Oceanographic Commission (IOC-UNESCO). IOC coordinates GOA-ON and maintains the global data repository. A major focus is resolving global equity: Small Island Developing States (SIDS) face the highest vulnerability but have historically had the fewest monitoring buoys. Through the UN Ocean Decade, UNESCO deploys 'Ocean Acidification in a Box' low-cost testing kits to close this gap.</w:t>
      </w:r>
    </w:p>
    <w:p>
      <w:pPr>
        <w:spacing w:line="300" w:lineRule="auto" w:after="120"/>
      </w:pPr>
      <w:r>
        <w:rPr>
          <w:rFonts w:ascii="Arial" w:hAnsi="Arial"/>
          <w:color w:val="0F172A"/>
          <w:sz w:val="22"/>
        </w:rPr>
        <w:t>To conclude: SDG 14 demonstrates that the ocean is one indivisible planetary life-support system. Land-based pollution under 14.1, habitat resilience under 14.2, and ocean chemistry under 14.3 are deeply intertwined. Halting plastic and fertilizer runoff, enforcing the 30x30 marine reserves, and slashing greenhouse gas emissions under the Paris Agreement are not separate goals—they are three pillars of one unified mission: protecting life below water.</w:t>
      </w:r>
    </w:p>
    <w:p>
      <w:r>
        <w:rPr>
          <w:b/>
          <w:color w:val="E11D48"/>
        </w:rPr>
        <w:t xml:space="preserve">🤝 Transition / Handoff Cue: </w:t>
      </w:r>
      <w:r>
        <w:rPr>
          <w:b/>
          <w:i/>
        </w:rPr>
        <w:t>"Thank you for your attention. Our team is now delighted to take any questions from the class."</w:t>
      </w:r>
    </w:p>
    <w:p>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