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72C1E">
      <w:pPr>
        <w:jc w:val="center"/>
      </w:pPr>
      <w:r>
        <w:rPr>
          <w:b/>
          <w:color w:val="1F4E79"/>
          <w:sz w:val="44"/>
        </w:rPr>
        <w:t>ProvenPixel / 像素溯源</w:t>
      </w:r>
      <w:r>
        <w:rPr>
          <w:b/>
          <w:color w:val="1F4E79"/>
          <w:sz w:val="44"/>
        </w:rPr>
        <w:br w:type="textWrapping"/>
      </w:r>
      <w:r>
        <w:rPr>
          <w:b/>
          <w:color w:val="1F4E79"/>
          <w:sz w:val="44"/>
        </w:rPr>
        <w:t>工业级系统架构设计文档</w:t>
      </w:r>
    </w:p>
    <w:p w14:paraId="7B11D8A5">
      <w:pPr>
        <w:jc w:val="center"/>
      </w:pPr>
      <w:r>
        <w:rPr>
          <w:color w:val="5A5A5A"/>
          <w:sz w:val="24"/>
        </w:rPr>
        <w:t>面向融资路演后的初步技术方案｜目标支撑十万级并发访问</w:t>
      </w:r>
    </w:p>
    <w:p w14:paraId="5D05A94A"/>
    <w:p w14:paraId="38E9AB67">
      <w:pPr>
        <w:pStyle w:val="3"/>
      </w:pPr>
      <w:r>
        <w:rPr>
          <w:rFonts w:ascii="Noto Sans CJK SC" w:hAnsi="Noto Sans CJK SC" w:eastAsia="Noto Sans CJK SC"/>
        </w:rPr>
        <w:t>0. 结论摘要</w:t>
      </w:r>
    </w:p>
    <w:p w14:paraId="38ED18A6">
      <w:pPr>
        <w:pStyle w:val="16"/>
      </w:pPr>
      <w:r>
        <w:t>采用客户端本地隐私处理 + 云端异步凭证处理 + 低延迟验证查询 + 独立LLM辅助层的架构。核心验证链路不能依赖LLM，否则难以稳定支撑高并发与低延迟。</w:t>
      </w:r>
    </w:p>
    <w:p w14:paraId="51FA3358">
      <w:pPr>
        <w:pStyle w:val="16"/>
      </w:pPr>
      <w:r>
        <w:t>十万级并发拆成两类负载：高频读请求（图片验证、信任摘要查询）与低频重写请求（凭证包上传、IPFS/链上锚定）。验证链路主打缓存、索引和无状态横向扩展；上传链路主打队列削峰、异步处理和最终一致。</w:t>
      </w:r>
    </w:p>
    <w:p w14:paraId="16BB5A91">
      <w:pPr>
        <w:pStyle w:val="16"/>
      </w:pPr>
      <w:r>
        <w:t>采用关系型数据库管理核心元数据，对象存储保存凭证包，OpenSearch支撑检索，ClickHouse支撑分析，Redis支撑热点缓存和限流，Vector DB只服务LLM/RAG，不进入强一致主链路。</w:t>
      </w:r>
    </w:p>
    <w:p w14:paraId="2997933A">
      <w:pPr>
        <w:pStyle w:val="16"/>
      </w:pPr>
      <w:r>
        <w:t>以下架构属于初步设计，吞吐、成本、模型效果、安全强度和链上/IPFS稳定性均需压测或原型验证。</w:t>
      </w:r>
    </w:p>
    <w:p w14:paraId="2A69D63C">
      <w:pPr>
        <w:pStyle w:val="3"/>
      </w:pPr>
      <w:r>
        <w:rPr>
          <w:rFonts w:ascii="Noto Sans CJK SC" w:hAnsi="Noto Sans CJK SC" w:eastAsia="Noto Sans CJK SC"/>
        </w:rPr>
        <w:t>1. 背景与目标</w:t>
      </w:r>
    </w:p>
    <w:p w14:paraId="3C0F4D1B">
      <w:r>
        <w:t xml:space="preserve">ProvenPixel </w:t>
      </w:r>
      <w:r>
        <w:rPr>
          <w:rFonts w:hint="eastAsia" w:eastAsia="宋体"/>
          <w:lang w:val="en-US" w:eastAsia="zh-CN"/>
        </w:rPr>
        <w:t>的设计理念是</w:t>
      </w:r>
      <w:r>
        <w:t>：创作者在本地生成加密创作过程凭证，消费者或B端平台通过插件/API验证图片可信度。该文档在此产品边界上给出可工业化部署的初步系统架构。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B45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shd w:val="clear" w:color="auto" w:fill="1F4E79"/>
            <w:vAlign w:val="center"/>
          </w:tcPr>
          <w:p w14:paraId="5378EC18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目标项</w:t>
            </w:r>
          </w:p>
        </w:tc>
        <w:tc>
          <w:tcPr>
            <w:tcW w:w="3389" w:type="dxa"/>
            <w:shd w:val="clear" w:color="auto" w:fill="1F4E79"/>
            <w:vAlign w:val="center"/>
          </w:tcPr>
          <w:p w14:paraId="51DFF60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建议指标</w:t>
            </w:r>
          </w:p>
        </w:tc>
        <w:tc>
          <w:tcPr>
            <w:tcW w:w="3389" w:type="dxa"/>
            <w:shd w:val="clear" w:color="auto" w:fill="1F4E79"/>
            <w:vAlign w:val="center"/>
          </w:tcPr>
          <w:p w14:paraId="47B812B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2FC1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39000965">
            <w:pPr>
              <w:spacing w:after="0" w:line="240" w:lineRule="auto"/>
            </w:pPr>
            <w:r>
              <w:rPr>
                <w:b w:val="0"/>
                <w:sz w:val="17"/>
              </w:rPr>
              <w:t>并发目标</w:t>
            </w:r>
          </w:p>
        </w:tc>
        <w:tc>
          <w:tcPr>
            <w:tcW w:w="3389" w:type="dxa"/>
            <w:vAlign w:val="center"/>
          </w:tcPr>
          <w:p w14:paraId="26982C72">
            <w:pPr>
              <w:spacing w:after="0" w:line="240" w:lineRule="auto"/>
            </w:pPr>
            <w:r>
              <w:rPr>
                <w:b w:val="0"/>
                <w:sz w:val="17"/>
              </w:rPr>
              <w:t>100,000 concurrent users / connections</w:t>
            </w:r>
          </w:p>
        </w:tc>
        <w:tc>
          <w:tcPr>
            <w:tcW w:w="3389" w:type="dxa"/>
            <w:vAlign w:val="center"/>
          </w:tcPr>
          <w:p w14:paraId="49BD48C6">
            <w:pPr>
              <w:spacing w:after="0" w:line="240" w:lineRule="auto"/>
            </w:pPr>
            <w:r>
              <w:rPr>
                <w:b w:val="0"/>
                <w:sz w:val="17"/>
              </w:rPr>
              <w:t>主要按验证查询、插件访问、API批量查询理解；不等同于10万并发上传。</w:t>
            </w:r>
          </w:p>
        </w:tc>
      </w:tr>
      <w:tr w14:paraId="1699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7214F516">
            <w:pPr>
              <w:spacing w:after="0" w:line="240" w:lineRule="auto"/>
            </w:pPr>
            <w:r>
              <w:rPr>
                <w:b w:val="0"/>
                <w:sz w:val="17"/>
              </w:rPr>
              <w:t>验证查询延迟</w:t>
            </w:r>
          </w:p>
        </w:tc>
        <w:tc>
          <w:tcPr>
            <w:tcW w:w="3389" w:type="dxa"/>
            <w:vAlign w:val="center"/>
          </w:tcPr>
          <w:p w14:paraId="28B2ADE3">
            <w:pPr>
              <w:spacing w:after="0" w:line="240" w:lineRule="auto"/>
            </w:pPr>
            <w:r>
              <w:rPr>
                <w:b w:val="0"/>
                <w:sz w:val="17"/>
              </w:rPr>
              <w:t>P95 &lt; 300 ms；P99 &lt; 800 ms</w:t>
            </w:r>
          </w:p>
        </w:tc>
        <w:tc>
          <w:tcPr>
            <w:tcW w:w="3389" w:type="dxa"/>
            <w:vAlign w:val="center"/>
          </w:tcPr>
          <w:p w14:paraId="1A6896B2">
            <w:pPr>
              <w:spacing w:after="0" w:line="240" w:lineRule="auto"/>
            </w:pPr>
            <w:r>
              <w:rPr>
                <w:b w:val="0"/>
                <w:sz w:val="17"/>
              </w:rPr>
              <w:t>依赖缓存命中率、索引设计和图片指纹提取耗时。</w:t>
            </w:r>
          </w:p>
        </w:tc>
      </w:tr>
      <w:tr w14:paraId="3BB63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69211679">
            <w:pPr>
              <w:spacing w:after="0" w:line="240" w:lineRule="auto"/>
            </w:pPr>
            <w:r>
              <w:rPr>
                <w:b w:val="0"/>
                <w:sz w:val="17"/>
              </w:rPr>
              <w:t>凭证上传链路</w:t>
            </w:r>
          </w:p>
        </w:tc>
        <w:tc>
          <w:tcPr>
            <w:tcW w:w="3389" w:type="dxa"/>
            <w:vAlign w:val="center"/>
          </w:tcPr>
          <w:p w14:paraId="2CD38E2B">
            <w:pPr>
              <w:spacing w:after="0" w:line="240" w:lineRule="auto"/>
            </w:pPr>
            <w:r>
              <w:rPr>
                <w:b w:val="0"/>
                <w:sz w:val="17"/>
              </w:rPr>
              <w:t>支持异步完成；用户先获得临时状态</w:t>
            </w:r>
          </w:p>
        </w:tc>
        <w:tc>
          <w:tcPr>
            <w:tcW w:w="3389" w:type="dxa"/>
            <w:vAlign w:val="center"/>
          </w:tcPr>
          <w:p w14:paraId="1D88A686">
            <w:pPr>
              <w:spacing w:after="0" w:line="240" w:lineRule="auto"/>
            </w:pPr>
            <w:r>
              <w:rPr>
                <w:b w:val="0"/>
                <w:sz w:val="17"/>
              </w:rPr>
              <w:t>IPFS/链上锚定不应阻塞前台。</w:t>
            </w:r>
          </w:p>
        </w:tc>
      </w:tr>
      <w:tr w14:paraId="41FD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5EB7CF45">
            <w:pPr>
              <w:spacing w:after="0" w:line="240" w:lineRule="auto"/>
            </w:pPr>
            <w:r>
              <w:rPr>
                <w:b w:val="0"/>
                <w:sz w:val="17"/>
              </w:rPr>
              <w:t>可用性目标</w:t>
            </w:r>
          </w:p>
        </w:tc>
        <w:tc>
          <w:tcPr>
            <w:tcW w:w="3389" w:type="dxa"/>
            <w:vAlign w:val="center"/>
          </w:tcPr>
          <w:p w14:paraId="2D63D0C7">
            <w:pPr>
              <w:spacing w:after="0" w:line="240" w:lineRule="auto"/>
            </w:pPr>
            <w:r>
              <w:rPr>
                <w:b w:val="0"/>
                <w:sz w:val="17"/>
              </w:rPr>
              <w:t>核心验证服务 99.9% 起步，企业版提升到 99.95%</w:t>
            </w:r>
          </w:p>
        </w:tc>
        <w:tc>
          <w:tcPr>
            <w:tcW w:w="3389" w:type="dxa"/>
            <w:vAlign w:val="center"/>
          </w:tcPr>
          <w:p w14:paraId="54A0D737">
            <w:pPr>
              <w:spacing w:after="0" w:line="240" w:lineRule="auto"/>
            </w:pPr>
            <w:r>
              <w:rPr>
                <w:b w:val="0"/>
                <w:sz w:val="17"/>
              </w:rPr>
              <w:t>MVP阶段可降低，商业化后需SLO约束。</w:t>
            </w:r>
          </w:p>
        </w:tc>
      </w:tr>
      <w:tr w14:paraId="46AB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06C46287">
            <w:pPr>
              <w:spacing w:after="0" w:line="240" w:lineRule="auto"/>
            </w:pPr>
            <w:r>
              <w:rPr>
                <w:b w:val="0"/>
                <w:sz w:val="17"/>
              </w:rPr>
              <w:t>数据安全</w:t>
            </w:r>
          </w:p>
        </w:tc>
        <w:tc>
          <w:tcPr>
            <w:tcW w:w="3389" w:type="dxa"/>
            <w:vAlign w:val="center"/>
          </w:tcPr>
          <w:p w14:paraId="729629BA">
            <w:pPr>
              <w:spacing w:after="0" w:line="240" w:lineRule="auto"/>
            </w:pPr>
            <w:r>
              <w:rPr>
                <w:b w:val="0"/>
                <w:sz w:val="17"/>
              </w:rPr>
              <w:t>端到端加密、KMS、审计日志、最小权限</w:t>
            </w:r>
          </w:p>
        </w:tc>
        <w:tc>
          <w:tcPr>
            <w:tcW w:w="3389" w:type="dxa"/>
            <w:vAlign w:val="center"/>
          </w:tcPr>
          <w:p w14:paraId="12741D68">
            <w:pPr>
              <w:spacing w:after="0" w:line="240" w:lineRule="auto"/>
            </w:pPr>
            <w:r>
              <w:rPr>
                <w:b w:val="0"/>
                <w:sz w:val="17"/>
              </w:rPr>
              <w:t>创作者工作流隐私是产品信任基础。</w:t>
            </w:r>
          </w:p>
        </w:tc>
      </w:tr>
    </w:tbl>
    <w:p w14:paraId="719362F2"/>
    <w:p w14:paraId="4F446632">
      <w:pPr>
        <w:pStyle w:val="3"/>
      </w:pPr>
      <w:r>
        <w:rPr>
          <w:rFonts w:ascii="Noto Sans CJK SC" w:hAnsi="Noto Sans CJK SC" w:eastAsia="Noto Sans CJK SC"/>
        </w:rPr>
        <w:t>2. 总体架构设计图</w:t>
      </w:r>
    </w:p>
    <w:p w14:paraId="72290CF9">
      <w:r>
        <w:t>图1给出工业级分层架构。关键点是把访问接入、业务服务、数据处理、存储和可观测性分离；同时把 LLM 引擎放在辅助层，而不是放在验证主链路上。</w:t>
      </w:r>
    </w:p>
    <w:p w14:paraId="51026F9E">
      <w:pPr>
        <w:jc w:val="center"/>
      </w:pPr>
      <w:r>
        <w:drawing>
          <wp:inline distT="0" distB="0" distL="114300" distR="114300">
            <wp:extent cx="6400800" cy="3968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D6B7">
      <w:pPr>
        <w:jc w:val="center"/>
      </w:pPr>
      <w:r>
        <w:t>图1：ProvenPixel 工业级系统架构总览</w:t>
      </w:r>
    </w:p>
    <w:p w14:paraId="610D56E0">
      <w:pPr>
        <w:pStyle w:val="3"/>
      </w:pPr>
      <w:r>
        <w:rPr>
          <w:rFonts w:ascii="Noto Sans CJK SC" w:hAnsi="Noto Sans CJK SC" w:eastAsia="Noto Sans CJK SC"/>
        </w:rPr>
        <w:t>3. 模块拆解</w:t>
      </w:r>
    </w:p>
    <w:p w14:paraId="196F070D">
      <w:pPr>
        <w:pStyle w:val="4"/>
      </w:pPr>
      <w:r>
        <w:rPr>
          <w:rFonts w:ascii="Noto Sans CJK SC" w:hAnsi="Noto Sans CJK SC" w:eastAsia="Noto Sans CJK SC"/>
        </w:rPr>
        <w:t>3.1 客户端与接入层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</w:tblGrid>
      <w:tr w14:paraId="30DA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shd w:val="clear" w:color="auto" w:fill="1F4E79"/>
            <w:vAlign w:val="center"/>
          </w:tcPr>
          <w:p w14:paraId="651B9EE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385C6284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4CB0E68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设计要点</w:t>
            </w:r>
          </w:p>
        </w:tc>
      </w:tr>
      <w:tr w14:paraId="08D14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5F36CFA0">
            <w:pPr>
              <w:spacing w:after="0" w:line="240" w:lineRule="auto"/>
            </w:pPr>
            <w:r>
              <w:rPr>
                <w:b w:val="0"/>
                <w:sz w:val="17"/>
              </w:rPr>
              <w:t>Studio 桌面端</w:t>
            </w:r>
          </w:p>
        </w:tc>
        <w:tc>
          <w:tcPr>
            <w:tcW w:w="2541" w:type="dxa"/>
            <w:vAlign w:val="center"/>
          </w:tcPr>
          <w:p w14:paraId="341335E9">
            <w:pPr>
              <w:spacing w:after="0" w:line="240" w:lineRule="auto"/>
            </w:pPr>
            <w:r>
              <w:rPr>
                <w:b w:val="0"/>
                <w:sz w:val="17"/>
              </w:rPr>
              <w:t>录制创作过程、模糊敏感区域、生成哈希和凭证包</w:t>
            </w:r>
          </w:p>
        </w:tc>
        <w:tc>
          <w:tcPr>
            <w:tcW w:w="2541" w:type="dxa"/>
            <w:vAlign w:val="center"/>
          </w:tcPr>
          <w:p w14:paraId="053E84DC">
            <w:pPr>
              <w:spacing w:after="0" w:line="240" w:lineRule="auto"/>
            </w:pPr>
            <w:r>
              <w:rPr>
                <w:b w:val="0"/>
                <w:sz w:val="17"/>
              </w:rPr>
              <w:t>本地优先；分片上传；断点续传；凭证包签名</w:t>
            </w:r>
          </w:p>
        </w:tc>
      </w:tr>
      <w:tr w14:paraId="31829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2863B69E">
            <w:pPr>
              <w:spacing w:after="0" w:line="240" w:lineRule="auto"/>
            </w:pPr>
            <w:r>
              <w:rPr>
                <w:b w:val="0"/>
                <w:sz w:val="17"/>
              </w:rPr>
              <w:t>Verify 插件</w:t>
            </w:r>
          </w:p>
        </w:tc>
        <w:tc>
          <w:tcPr>
            <w:tcW w:w="2541" w:type="dxa"/>
            <w:vAlign w:val="center"/>
          </w:tcPr>
          <w:p w14:paraId="17898D7D">
            <w:pPr>
              <w:spacing w:after="0" w:line="240" w:lineRule="auto"/>
            </w:pPr>
            <w:r>
              <w:rPr>
                <w:b w:val="0"/>
                <w:sz w:val="17"/>
              </w:rPr>
              <w:t>右键验证图片并展示绿/灰/红信任摘要</w:t>
            </w:r>
          </w:p>
        </w:tc>
        <w:tc>
          <w:tcPr>
            <w:tcW w:w="2541" w:type="dxa"/>
            <w:vAlign w:val="center"/>
          </w:tcPr>
          <w:p w14:paraId="7016843E">
            <w:pPr>
              <w:spacing w:after="0" w:line="240" w:lineRule="auto"/>
            </w:pPr>
            <w:r>
              <w:rPr>
                <w:b w:val="0"/>
                <w:sz w:val="17"/>
              </w:rPr>
              <w:t>优先调用低延迟验证API；结果缓存；防止恶意网页调用</w:t>
            </w:r>
          </w:p>
        </w:tc>
      </w:tr>
      <w:tr w14:paraId="5E0BB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2773C3FE">
            <w:pPr>
              <w:spacing w:after="0" w:line="240" w:lineRule="auto"/>
            </w:pPr>
            <w:r>
              <w:rPr>
                <w:b w:val="0"/>
                <w:sz w:val="17"/>
              </w:rPr>
              <w:t>API Gateway</w:t>
            </w:r>
          </w:p>
        </w:tc>
        <w:tc>
          <w:tcPr>
            <w:tcW w:w="2541" w:type="dxa"/>
            <w:vAlign w:val="center"/>
          </w:tcPr>
          <w:p w14:paraId="3156D026">
            <w:pPr>
              <w:spacing w:after="0" w:line="240" w:lineRule="auto"/>
            </w:pPr>
            <w:r>
              <w:rPr>
                <w:b w:val="0"/>
                <w:sz w:val="17"/>
              </w:rPr>
              <w:t>统一鉴权、限流、租户路由、审计</w:t>
            </w:r>
          </w:p>
        </w:tc>
        <w:tc>
          <w:tcPr>
            <w:tcW w:w="2541" w:type="dxa"/>
            <w:vAlign w:val="center"/>
          </w:tcPr>
          <w:p w14:paraId="4BB8CC27">
            <w:pPr>
              <w:spacing w:after="0" w:line="240" w:lineRule="auto"/>
            </w:pPr>
            <w:r>
              <w:rPr>
                <w:b w:val="0"/>
                <w:sz w:val="17"/>
              </w:rPr>
              <w:t>API Key/OAuth2；按租户配额；Webhook签名</w:t>
            </w:r>
          </w:p>
        </w:tc>
      </w:tr>
      <w:tr w14:paraId="3352C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5520E9D0">
            <w:pPr>
              <w:spacing w:after="0" w:line="240" w:lineRule="auto"/>
            </w:pPr>
            <w:r>
              <w:rPr>
                <w:b w:val="0"/>
                <w:sz w:val="17"/>
              </w:rPr>
              <w:t>CDN/WAF/LB</w:t>
            </w:r>
          </w:p>
        </w:tc>
        <w:tc>
          <w:tcPr>
            <w:tcW w:w="2541" w:type="dxa"/>
            <w:vAlign w:val="center"/>
          </w:tcPr>
          <w:p w14:paraId="61C9B65C">
            <w:pPr>
              <w:spacing w:after="0" w:line="240" w:lineRule="auto"/>
            </w:pPr>
            <w:r>
              <w:rPr>
                <w:b w:val="0"/>
                <w:sz w:val="17"/>
              </w:rPr>
              <w:t>防DDoS、负载分发、静态资源缓存</w:t>
            </w:r>
          </w:p>
        </w:tc>
        <w:tc>
          <w:tcPr>
            <w:tcW w:w="2541" w:type="dxa"/>
            <w:vAlign w:val="center"/>
          </w:tcPr>
          <w:p w14:paraId="1AE53555">
            <w:pPr>
              <w:spacing w:after="0" w:line="240" w:lineRule="auto"/>
            </w:pPr>
            <w:r>
              <w:rPr>
                <w:b w:val="0"/>
                <w:sz w:val="17"/>
              </w:rPr>
              <w:t>多AZ；L7路由；WAF规则；Bot防护</w:t>
            </w:r>
          </w:p>
        </w:tc>
      </w:tr>
    </w:tbl>
    <w:p w14:paraId="17A0F7C8"/>
    <w:p w14:paraId="07742C60">
      <w:pPr>
        <w:pStyle w:val="4"/>
      </w:pPr>
      <w:r>
        <w:rPr>
          <w:rFonts w:ascii="Noto Sans CJK SC" w:hAnsi="Noto Sans CJK SC" w:eastAsia="Noto Sans CJK SC"/>
        </w:rPr>
        <w:t>3.2 LLM 引擎</w:t>
      </w:r>
    </w:p>
    <w:p w14:paraId="5DEA78C9">
      <w:r>
        <w:t>LLM 引擎定位为“增强模块”，不作为凭证一致性判断的唯一依据。核心原因</w:t>
      </w:r>
      <w:r>
        <w:rPr>
          <w:rFonts w:hint="eastAsia" w:eastAsia="宋体"/>
          <w:lang w:eastAsia="zh-CN"/>
        </w:rPr>
        <w:t>是</w:t>
      </w:r>
      <w:r>
        <w:t>LLM推理成本高、延迟不稳定、结果不具备密码学可证明性。</w:t>
      </w:r>
    </w:p>
    <w:p w14:paraId="3D801A0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7589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shd w:val="clear" w:color="auto" w:fill="1F4E79"/>
            <w:vAlign w:val="center"/>
          </w:tcPr>
          <w:p w14:paraId="2142073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子模块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281E274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458AB638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是否在主链路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116837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设计建议</w:t>
            </w:r>
          </w:p>
        </w:tc>
      </w:tr>
      <w:tr w14:paraId="23A9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10CB2696">
            <w:pPr>
              <w:spacing w:after="0" w:line="240" w:lineRule="auto"/>
            </w:pPr>
            <w:r>
              <w:rPr>
                <w:b w:val="0"/>
                <w:sz w:val="17"/>
              </w:rPr>
              <w:t>Model Gateway</w:t>
            </w:r>
          </w:p>
        </w:tc>
        <w:tc>
          <w:tcPr>
            <w:tcW w:w="2541" w:type="dxa"/>
            <w:vAlign w:val="center"/>
          </w:tcPr>
          <w:p w14:paraId="6470B946">
            <w:pPr>
              <w:spacing w:after="0" w:line="240" w:lineRule="auto"/>
            </w:pPr>
            <w:r>
              <w:rPr>
                <w:b w:val="0"/>
                <w:sz w:val="17"/>
              </w:rPr>
              <w:t>统一管理模型调用、路由、限流、降级</w:t>
            </w:r>
          </w:p>
        </w:tc>
        <w:tc>
          <w:tcPr>
            <w:tcW w:w="2541" w:type="dxa"/>
            <w:vAlign w:val="center"/>
          </w:tcPr>
          <w:p w14:paraId="555180ED">
            <w:pPr>
              <w:spacing w:after="0" w:line="240" w:lineRule="auto"/>
            </w:pPr>
            <w:r>
              <w:rPr>
                <w:b w:val="0"/>
                <w:sz w:val="17"/>
              </w:rPr>
              <w:t>否</w:t>
            </w:r>
          </w:p>
        </w:tc>
        <w:tc>
          <w:tcPr>
            <w:tcW w:w="2541" w:type="dxa"/>
            <w:vAlign w:val="center"/>
          </w:tcPr>
          <w:p w14:paraId="5E4E65E2">
            <w:pPr>
              <w:spacing w:after="0" w:line="240" w:lineRule="auto"/>
            </w:pPr>
            <w:r>
              <w:rPr>
                <w:b w:val="0"/>
                <w:sz w:val="17"/>
              </w:rPr>
              <w:t>支持自部署模型与外部API的策略路由；所有请求打审计日志。</w:t>
            </w:r>
          </w:p>
        </w:tc>
      </w:tr>
      <w:tr w14:paraId="08B35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329B61F2">
            <w:pPr>
              <w:spacing w:after="0" w:line="240" w:lineRule="auto"/>
            </w:pPr>
            <w:r>
              <w:rPr>
                <w:b w:val="0"/>
                <w:sz w:val="17"/>
              </w:rPr>
              <w:t>Trust Summary Generator</w:t>
            </w:r>
          </w:p>
        </w:tc>
        <w:tc>
          <w:tcPr>
            <w:tcW w:w="2541" w:type="dxa"/>
            <w:vAlign w:val="center"/>
          </w:tcPr>
          <w:p w14:paraId="77C84E3F">
            <w:pPr>
              <w:spacing w:after="0" w:line="240" w:lineRule="auto"/>
            </w:pPr>
            <w:r>
              <w:rPr>
                <w:b w:val="0"/>
                <w:sz w:val="17"/>
              </w:rPr>
              <w:t>把规则结果翻译成用户可读摘要</w:t>
            </w:r>
          </w:p>
        </w:tc>
        <w:tc>
          <w:tcPr>
            <w:tcW w:w="2541" w:type="dxa"/>
            <w:vAlign w:val="center"/>
          </w:tcPr>
          <w:p w14:paraId="3126446D">
            <w:pPr>
              <w:spacing w:after="0" w:line="240" w:lineRule="auto"/>
            </w:pPr>
            <w:r>
              <w:rPr>
                <w:b w:val="0"/>
                <w:sz w:val="17"/>
              </w:rPr>
              <w:t>可选</w:t>
            </w:r>
          </w:p>
        </w:tc>
        <w:tc>
          <w:tcPr>
            <w:tcW w:w="2541" w:type="dxa"/>
            <w:vAlign w:val="center"/>
          </w:tcPr>
          <w:p w14:paraId="351780FB">
            <w:pPr>
              <w:spacing w:after="0" w:line="240" w:lineRule="auto"/>
            </w:pPr>
            <w:r>
              <w:rPr>
                <w:b w:val="0"/>
                <w:sz w:val="17"/>
              </w:rPr>
              <w:t>缓存摘要；同一凭证只生成一次，避免每次查询都推理。</w:t>
            </w:r>
          </w:p>
        </w:tc>
      </w:tr>
      <w:tr w14:paraId="39FC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031C67AE">
            <w:pPr>
              <w:spacing w:after="0" w:line="240" w:lineRule="auto"/>
            </w:pPr>
            <w:r>
              <w:rPr>
                <w:b w:val="0"/>
                <w:sz w:val="17"/>
              </w:rPr>
              <w:t>Risk Explanation Assistant</w:t>
            </w:r>
          </w:p>
        </w:tc>
        <w:tc>
          <w:tcPr>
            <w:tcW w:w="2541" w:type="dxa"/>
            <w:vAlign w:val="center"/>
          </w:tcPr>
          <w:p w14:paraId="3C8CD3C2">
            <w:pPr>
              <w:spacing w:after="0" w:line="240" w:lineRule="auto"/>
            </w:pPr>
            <w:r>
              <w:rPr>
                <w:b w:val="0"/>
                <w:sz w:val="17"/>
              </w:rPr>
              <w:t>给运营/审核人员解释异常原因</w:t>
            </w:r>
          </w:p>
        </w:tc>
        <w:tc>
          <w:tcPr>
            <w:tcW w:w="2541" w:type="dxa"/>
            <w:vAlign w:val="center"/>
          </w:tcPr>
          <w:p w14:paraId="56267019">
            <w:pPr>
              <w:spacing w:after="0" w:line="240" w:lineRule="auto"/>
            </w:pPr>
            <w:r>
              <w:rPr>
                <w:b w:val="0"/>
                <w:sz w:val="17"/>
              </w:rPr>
              <w:t>否</w:t>
            </w:r>
          </w:p>
        </w:tc>
        <w:tc>
          <w:tcPr>
            <w:tcW w:w="2541" w:type="dxa"/>
            <w:vAlign w:val="center"/>
          </w:tcPr>
          <w:p w14:paraId="023FED50">
            <w:pPr>
              <w:spacing w:after="0" w:line="240" w:lineRule="auto"/>
            </w:pPr>
            <w:r>
              <w:rPr>
                <w:b w:val="0"/>
                <w:sz w:val="17"/>
              </w:rPr>
              <w:t>使用RAG读取审计日志、规则命中、历史案例。</w:t>
            </w:r>
          </w:p>
        </w:tc>
      </w:tr>
      <w:tr w14:paraId="1256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46045626">
            <w:pPr>
              <w:spacing w:after="0" w:line="240" w:lineRule="auto"/>
            </w:pPr>
            <w:r>
              <w:rPr>
                <w:b w:val="0"/>
                <w:sz w:val="17"/>
              </w:rPr>
              <w:t>Support/Onboarding Bot</w:t>
            </w:r>
          </w:p>
        </w:tc>
        <w:tc>
          <w:tcPr>
            <w:tcW w:w="2541" w:type="dxa"/>
            <w:vAlign w:val="center"/>
          </w:tcPr>
          <w:p w14:paraId="4D389CD6">
            <w:pPr>
              <w:spacing w:after="0" w:line="240" w:lineRule="auto"/>
            </w:pPr>
            <w:r>
              <w:rPr>
                <w:b w:val="0"/>
                <w:sz w:val="17"/>
              </w:rPr>
              <w:t>帮助创作者理解凭证和集成流程</w:t>
            </w:r>
          </w:p>
        </w:tc>
        <w:tc>
          <w:tcPr>
            <w:tcW w:w="2541" w:type="dxa"/>
            <w:vAlign w:val="center"/>
          </w:tcPr>
          <w:p w14:paraId="2E128562">
            <w:pPr>
              <w:spacing w:after="0" w:line="240" w:lineRule="auto"/>
            </w:pPr>
            <w:r>
              <w:rPr>
                <w:b w:val="0"/>
                <w:sz w:val="17"/>
              </w:rPr>
              <w:t>否</w:t>
            </w:r>
          </w:p>
        </w:tc>
        <w:tc>
          <w:tcPr>
            <w:tcW w:w="2541" w:type="dxa"/>
            <w:vAlign w:val="center"/>
          </w:tcPr>
          <w:p w14:paraId="087C9591">
            <w:pPr>
              <w:spacing w:after="0" w:line="240" w:lineRule="auto"/>
            </w:pPr>
            <w:r>
              <w:rPr>
                <w:b w:val="0"/>
                <w:sz w:val="17"/>
              </w:rPr>
              <w:t>与核心系统隔离，避免提示注入影响验证结果。</w:t>
            </w:r>
          </w:p>
        </w:tc>
      </w:tr>
      <w:tr w14:paraId="1B13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074C2ADB">
            <w:pPr>
              <w:spacing w:after="0" w:line="240" w:lineRule="auto"/>
            </w:pPr>
            <w:r>
              <w:rPr>
                <w:b w:val="0"/>
                <w:sz w:val="17"/>
              </w:rPr>
              <w:t>RAG/Vector DB</w:t>
            </w:r>
          </w:p>
        </w:tc>
        <w:tc>
          <w:tcPr>
            <w:tcW w:w="2541" w:type="dxa"/>
            <w:vAlign w:val="center"/>
          </w:tcPr>
          <w:p w14:paraId="7E2FCDCF">
            <w:pPr>
              <w:spacing w:after="0" w:line="240" w:lineRule="auto"/>
            </w:pPr>
            <w:r>
              <w:rPr>
                <w:b w:val="0"/>
                <w:sz w:val="17"/>
              </w:rPr>
              <w:t>存储文档、规则、案例向量</w:t>
            </w:r>
          </w:p>
        </w:tc>
        <w:tc>
          <w:tcPr>
            <w:tcW w:w="2541" w:type="dxa"/>
            <w:vAlign w:val="center"/>
          </w:tcPr>
          <w:p w14:paraId="52E7053E">
            <w:pPr>
              <w:spacing w:after="0" w:line="240" w:lineRule="auto"/>
            </w:pPr>
            <w:r>
              <w:rPr>
                <w:b w:val="0"/>
                <w:sz w:val="17"/>
              </w:rPr>
              <w:t>否</w:t>
            </w:r>
          </w:p>
        </w:tc>
        <w:tc>
          <w:tcPr>
            <w:tcW w:w="2541" w:type="dxa"/>
            <w:vAlign w:val="center"/>
          </w:tcPr>
          <w:p w14:paraId="296BFB88">
            <w:pPr>
              <w:spacing w:after="0" w:line="240" w:lineRule="auto"/>
            </w:pPr>
            <w:r>
              <w:rPr>
                <w:b w:val="0"/>
                <w:sz w:val="17"/>
              </w:rPr>
              <w:t>只提供辅助检索，不保存敏感原始凭证视频。</w:t>
            </w:r>
          </w:p>
        </w:tc>
      </w:tr>
    </w:tbl>
    <w:p w14:paraId="7095981B">
      <w:pPr>
        <w:pStyle w:val="4"/>
        <w:rPr>
          <w:rFonts w:ascii="Noto Sans CJK SC" w:hAnsi="Noto Sans CJK SC" w:eastAsia="Noto Sans CJK SC"/>
        </w:rPr>
      </w:pPr>
    </w:p>
    <w:p w14:paraId="5B83F111">
      <w:pPr>
        <w:pStyle w:val="4"/>
      </w:pPr>
      <w:r>
        <w:rPr>
          <w:rFonts w:ascii="Noto Sans CJK SC" w:hAnsi="Noto Sans CJK SC" w:eastAsia="Noto Sans CJK SC"/>
        </w:rPr>
        <w:t>3.3 数据处理模块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0B5F2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shd w:val="clear" w:color="auto" w:fill="1F4E79"/>
            <w:vAlign w:val="center"/>
          </w:tcPr>
          <w:p w14:paraId="5C6F2F1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链路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488330D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处理内容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23681F6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推荐技术形态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1C5055B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关键设计</w:t>
            </w:r>
          </w:p>
        </w:tc>
      </w:tr>
      <w:tr w14:paraId="553E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6F2B9A1A">
            <w:pPr>
              <w:spacing w:after="0" w:line="240" w:lineRule="auto"/>
            </w:pPr>
            <w:r>
              <w:rPr>
                <w:b w:val="0"/>
                <w:sz w:val="17"/>
              </w:rPr>
              <w:t>上传写入链路</w:t>
            </w:r>
          </w:p>
        </w:tc>
        <w:tc>
          <w:tcPr>
            <w:tcW w:w="2541" w:type="dxa"/>
            <w:vAlign w:val="center"/>
          </w:tcPr>
          <w:p w14:paraId="6F0EEE49">
            <w:pPr>
              <w:spacing w:after="0" w:line="240" w:lineRule="auto"/>
            </w:pPr>
            <w:r>
              <w:rPr>
                <w:b w:val="0"/>
                <w:sz w:val="17"/>
              </w:rPr>
              <w:t>凭证包接收、病毒扫描、格式校验、哈希计算、去重</w:t>
            </w:r>
          </w:p>
        </w:tc>
        <w:tc>
          <w:tcPr>
            <w:tcW w:w="2541" w:type="dxa"/>
            <w:vAlign w:val="center"/>
          </w:tcPr>
          <w:p w14:paraId="375FF737">
            <w:pPr>
              <w:spacing w:after="0" w:line="240" w:lineRule="auto"/>
            </w:pPr>
            <w:r>
              <w:rPr>
                <w:b w:val="0"/>
                <w:sz w:val="17"/>
              </w:rPr>
              <w:t>Ingest Service + Kafka/Pulsar</w:t>
            </w:r>
          </w:p>
        </w:tc>
        <w:tc>
          <w:tcPr>
            <w:tcW w:w="2541" w:type="dxa"/>
            <w:vAlign w:val="center"/>
          </w:tcPr>
          <w:p w14:paraId="53FFB901">
            <w:pPr>
              <w:spacing w:after="0" w:line="240" w:lineRule="auto"/>
            </w:pPr>
            <w:r>
              <w:rPr>
                <w:b w:val="0"/>
                <w:sz w:val="17"/>
              </w:rPr>
              <w:t>前台只做必要校验；重任务入队异步执行。</w:t>
            </w:r>
          </w:p>
        </w:tc>
      </w:tr>
      <w:tr w14:paraId="5815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2FF9956E">
            <w:pPr>
              <w:spacing w:after="0" w:line="240" w:lineRule="auto"/>
            </w:pPr>
            <w:r>
              <w:rPr>
                <w:b w:val="0"/>
                <w:sz w:val="17"/>
              </w:rPr>
              <w:t>实时处理链路</w:t>
            </w:r>
          </w:p>
        </w:tc>
        <w:tc>
          <w:tcPr>
            <w:tcW w:w="2541" w:type="dxa"/>
            <w:vAlign w:val="center"/>
          </w:tcPr>
          <w:p w14:paraId="32904F45">
            <w:pPr>
              <w:spacing w:after="0" w:line="240" w:lineRule="auto"/>
            </w:pPr>
            <w:r>
              <w:rPr>
                <w:b w:val="0"/>
                <w:sz w:val="17"/>
              </w:rPr>
              <w:t>凭证特征、风险规则、异常上传识别</w:t>
            </w:r>
          </w:p>
        </w:tc>
        <w:tc>
          <w:tcPr>
            <w:tcW w:w="2541" w:type="dxa"/>
            <w:vAlign w:val="center"/>
          </w:tcPr>
          <w:p w14:paraId="2B6A03B4">
            <w:pPr>
              <w:spacing w:after="0" w:line="240" w:lineRule="auto"/>
            </w:pPr>
            <w:r>
              <w:rPr>
                <w:b w:val="0"/>
                <w:sz w:val="17"/>
              </w:rPr>
              <w:t>Flink/Spark Streaming</w:t>
            </w:r>
          </w:p>
        </w:tc>
        <w:tc>
          <w:tcPr>
            <w:tcW w:w="2541" w:type="dxa"/>
            <w:vAlign w:val="center"/>
          </w:tcPr>
          <w:p w14:paraId="086DBC1D">
            <w:pPr>
              <w:spacing w:after="0" w:line="240" w:lineRule="auto"/>
            </w:pPr>
            <w:r>
              <w:rPr>
                <w:b w:val="0"/>
                <w:sz w:val="17"/>
              </w:rPr>
              <w:t>用于风控、统计和安全监控，不阻塞核心写入。</w:t>
            </w:r>
          </w:p>
        </w:tc>
      </w:tr>
      <w:tr w14:paraId="16E3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7F2A294F">
            <w:pPr>
              <w:spacing w:after="0" w:line="240" w:lineRule="auto"/>
            </w:pPr>
            <w:r>
              <w:rPr>
                <w:b w:val="0"/>
                <w:sz w:val="17"/>
              </w:rPr>
              <w:t>离线处理链路</w:t>
            </w:r>
          </w:p>
        </w:tc>
        <w:tc>
          <w:tcPr>
            <w:tcW w:w="2541" w:type="dxa"/>
            <w:vAlign w:val="center"/>
          </w:tcPr>
          <w:p w14:paraId="7ED9AA1F">
            <w:pPr>
              <w:spacing w:after="0" w:line="240" w:lineRule="auto"/>
            </w:pPr>
            <w:r>
              <w:rPr>
                <w:b w:val="0"/>
                <w:sz w:val="17"/>
              </w:rPr>
              <w:t>模型训练、日志回放、成本分析、规则评估</w:t>
            </w:r>
          </w:p>
        </w:tc>
        <w:tc>
          <w:tcPr>
            <w:tcW w:w="2541" w:type="dxa"/>
            <w:vAlign w:val="center"/>
          </w:tcPr>
          <w:p w14:paraId="7230AE8F">
            <w:pPr>
              <w:spacing w:after="0" w:line="240" w:lineRule="auto"/>
            </w:pPr>
            <w:r>
              <w:rPr>
                <w:b w:val="0"/>
                <w:sz w:val="17"/>
              </w:rPr>
              <w:t>Airflow/Argo + Spark/Ray</w:t>
            </w:r>
          </w:p>
        </w:tc>
        <w:tc>
          <w:tcPr>
            <w:tcW w:w="2541" w:type="dxa"/>
            <w:vAlign w:val="center"/>
          </w:tcPr>
          <w:p w14:paraId="7A39B175">
            <w:pPr>
              <w:spacing w:after="0" w:line="240" w:lineRule="auto"/>
            </w:pPr>
            <w:r>
              <w:rPr>
                <w:b w:val="0"/>
                <w:sz w:val="17"/>
              </w:rPr>
              <w:t>定期生成特征、报表和规则效果评估。</w:t>
            </w:r>
          </w:p>
        </w:tc>
      </w:tr>
      <w:tr w14:paraId="091D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1CF1EC63">
            <w:pPr>
              <w:spacing w:after="0" w:line="240" w:lineRule="auto"/>
            </w:pPr>
            <w:r>
              <w:rPr>
                <w:b w:val="0"/>
                <w:sz w:val="17"/>
              </w:rPr>
              <w:t>锚定链路</w:t>
            </w:r>
          </w:p>
        </w:tc>
        <w:tc>
          <w:tcPr>
            <w:tcW w:w="2541" w:type="dxa"/>
            <w:vAlign w:val="center"/>
          </w:tcPr>
          <w:p w14:paraId="6FE0376A">
            <w:pPr>
              <w:spacing w:after="0" w:line="240" w:lineRule="auto"/>
            </w:pPr>
            <w:r>
              <w:rPr>
                <w:b w:val="0"/>
                <w:sz w:val="17"/>
              </w:rPr>
              <w:t>IPFS持久化、链上哈希锚定、重试补偿</w:t>
            </w:r>
          </w:p>
        </w:tc>
        <w:tc>
          <w:tcPr>
            <w:tcW w:w="2541" w:type="dxa"/>
            <w:vAlign w:val="center"/>
          </w:tcPr>
          <w:p w14:paraId="00689D60">
            <w:pPr>
              <w:spacing w:after="0" w:line="240" w:lineRule="auto"/>
            </w:pPr>
            <w:r>
              <w:rPr>
                <w:b w:val="0"/>
                <w:sz w:val="17"/>
              </w:rPr>
              <w:t>异步Worker + Outbox Pattern</w:t>
            </w:r>
          </w:p>
        </w:tc>
        <w:tc>
          <w:tcPr>
            <w:tcW w:w="2541" w:type="dxa"/>
            <w:vAlign w:val="center"/>
          </w:tcPr>
          <w:p w14:paraId="6650719D">
            <w:pPr>
              <w:spacing w:after="0" w:line="240" w:lineRule="auto"/>
            </w:pPr>
            <w:r>
              <w:rPr>
                <w:b w:val="0"/>
                <w:sz w:val="17"/>
              </w:rPr>
              <w:t>失败可重试；给用户展示 pending/anchored 状态。</w:t>
            </w:r>
          </w:p>
        </w:tc>
      </w:tr>
    </w:tbl>
    <w:p w14:paraId="3C1993FF"/>
    <w:p w14:paraId="3250F572">
      <w:pPr>
        <w:pStyle w:val="4"/>
      </w:pPr>
      <w:r>
        <w:rPr>
          <w:rFonts w:ascii="Noto Sans CJK SC" w:hAnsi="Noto Sans CJK SC" w:eastAsia="Noto Sans CJK SC"/>
        </w:rPr>
        <w:t>3.4 数据库与存储选型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48F1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shd w:val="clear" w:color="auto" w:fill="1F4E79"/>
            <w:vAlign w:val="center"/>
          </w:tcPr>
          <w:p w14:paraId="59A6FF1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存储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5FC71BB2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保存内容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229994B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选择理由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0D8D38A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风险</w:t>
            </w:r>
          </w:p>
        </w:tc>
      </w:tr>
      <w:tr w14:paraId="4B89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7B848B3A">
            <w:pPr>
              <w:spacing w:after="0" w:line="240" w:lineRule="auto"/>
            </w:pPr>
            <w:r>
              <w:rPr>
                <w:b w:val="0"/>
                <w:sz w:val="17"/>
              </w:rPr>
              <w:t>PostgreSQL / CockroachDB</w:t>
            </w:r>
          </w:p>
        </w:tc>
        <w:tc>
          <w:tcPr>
            <w:tcW w:w="2541" w:type="dxa"/>
            <w:vAlign w:val="center"/>
          </w:tcPr>
          <w:p w14:paraId="6875FA5C">
            <w:pPr>
              <w:spacing w:after="0" w:line="240" w:lineRule="auto"/>
            </w:pPr>
            <w:r>
              <w:rPr>
                <w:b w:val="0"/>
                <w:sz w:val="17"/>
              </w:rPr>
              <w:t>用户、租户、凭证元数据、订单、权限</w:t>
            </w:r>
          </w:p>
        </w:tc>
        <w:tc>
          <w:tcPr>
            <w:tcW w:w="2541" w:type="dxa"/>
            <w:vAlign w:val="center"/>
          </w:tcPr>
          <w:p w14:paraId="3BBA94C1">
            <w:pPr>
              <w:spacing w:after="0" w:line="240" w:lineRule="auto"/>
            </w:pPr>
            <w:r>
              <w:rPr>
                <w:b w:val="0"/>
                <w:sz w:val="17"/>
              </w:rPr>
              <w:t>强一致事务；SQL生态成熟；可分区/分片</w:t>
            </w:r>
          </w:p>
        </w:tc>
        <w:tc>
          <w:tcPr>
            <w:tcW w:w="2541" w:type="dxa"/>
            <w:vAlign w:val="center"/>
          </w:tcPr>
          <w:p w14:paraId="213B8DC2">
            <w:pPr>
              <w:spacing w:after="0" w:line="240" w:lineRule="auto"/>
            </w:pPr>
            <w:r>
              <w:rPr>
                <w:b w:val="0"/>
                <w:sz w:val="17"/>
              </w:rPr>
              <w:t>跨区域强一致成本高，需根据SLA选择。</w:t>
            </w:r>
          </w:p>
        </w:tc>
      </w:tr>
      <w:tr w14:paraId="7F6D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3205D86A">
            <w:pPr>
              <w:spacing w:after="0" w:line="240" w:lineRule="auto"/>
            </w:pPr>
            <w:r>
              <w:rPr>
                <w:b w:val="0"/>
                <w:sz w:val="17"/>
              </w:rPr>
              <w:t>Redis Cluster</w:t>
            </w:r>
          </w:p>
        </w:tc>
        <w:tc>
          <w:tcPr>
            <w:tcW w:w="2541" w:type="dxa"/>
            <w:vAlign w:val="center"/>
          </w:tcPr>
          <w:p w14:paraId="51818ECA">
            <w:pPr>
              <w:spacing w:after="0" w:line="240" w:lineRule="auto"/>
            </w:pPr>
            <w:r>
              <w:rPr>
                <w:b w:val="0"/>
                <w:sz w:val="17"/>
              </w:rPr>
              <w:t>会话、验证码、热点验证结果、限流令牌桶</w:t>
            </w:r>
          </w:p>
        </w:tc>
        <w:tc>
          <w:tcPr>
            <w:tcW w:w="2541" w:type="dxa"/>
            <w:vAlign w:val="center"/>
          </w:tcPr>
          <w:p w14:paraId="64DCACB6">
            <w:pPr>
              <w:spacing w:after="0" w:line="240" w:lineRule="auto"/>
            </w:pPr>
            <w:r>
              <w:rPr>
                <w:b w:val="0"/>
                <w:sz w:val="17"/>
              </w:rPr>
              <w:t>低延迟；适合读多写少热点场景</w:t>
            </w:r>
          </w:p>
        </w:tc>
        <w:tc>
          <w:tcPr>
            <w:tcW w:w="2541" w:type="dxa"/>
            <w:vAlign w:val="center"/>
          </w:tcPr>
          <w:p w14:paraId="23E371D6">
            <w:pPr>
              <w:spacing w:after="0" w:line="240" w:lineRule="auto"/>
            </w:pPr>
            <w:r>
              <w:rPr>
                <w:b w:val="0"/>
                <w:sz w:val="17"/>
              </w:rPr>
              <w:t>缓存穿透、热点key和内存成本需治理。</w:t>
            </w:r>
          </w:p>
        </w:tc>
      </w:tr>
      <w:tr w14:paraId="3290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112C8A5C">
            <w:pPr>
              <w:spacing w:after="0" w:line="240" w:lineRule="auto"/>
            </w:pPr>
            <w:r>
              <w:rPr>
                <w:b w:val="0"/>
                <w:sz w:val="17"/>
              </w:rPr>
              <w:t>S3 / MinIO</w:t>
            </w:r>
          </w:p>
        </w:tc>
        <w:tc>
          <w:tcPr>
            <w:tcW w:w="2541" w:type="dxa"/>
            <w:vAlign w:val="center"/>
          </w:tcPr>
          <w:p w14:paraId="0A7CA4BF">
            <w:pPr>
              <w:spacing w:after="0" w:line="240" w:lineRule="auto"/>
            </w:pPr>
            <w:r>
              <w:rPr>
                <w:b w:val="0"/>
                <w:sz w:val="17"/>
              </w:rPr>
              <w:t>凭证包、缩略片段、导出文件</w:t>
            </w:r>
          </w:p>
        </w:tc>
        <w:tc>
          <w:tcPr>
            <w:tcW w:w="2541" w:type="dxa"/>
            <w:vAlign w:val="center"/>
          </w:tcPr>
          <w:p w14:paraId="05C27721">
            <w:pPr>
              <w:spacing w:after="0" w:line="240" w:lineRule="auto"/>
            </w:pPr>
            <w:r>
              <w:rPr>
                <w:b w:val="0"/>
                <w:sz w:val="17"/>
              </w:rPr>
              <w:t>成本低；生命周期管理成熟</w:t>
            </w:r>
          </w:p>
        </w:tc>
        <w:tc>
          <w:tcPr>
            <w:tcW w:w="2541" w:type="dxa"/>
            <w:vAlign w:val="center"/>
          </w:tcPr>
          <w:p w14:paraId="00C7F102">
            <w:pPr>
              <w:spacing w:after="0" w:line="240" w:lineRule="auto"/>
            </w:pPr>
            <w:r>
              <w:rPr>
                <w:b w:val="0"/>
                <w:sz w:val="17"/>
              </w:rPr>
              <w:t>对象数量巨大时元数据和小文件成本需评估。</w:t>
            </w:r>
          </w:p>
        </w:tc>
      </w:tr>
      <w:tr w14:paraId="114BE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3DD469AB">
            <w:pPr>
              <w:spacing w:after="0" w:line="240" w:lineRule="auto"/>
            </w:pPr>
            <w:r>
              <w:rPr>
                <w:b w:val="0"/>
                <w:sz w:val="17"/>
              </w:rPr>
              <w:t>OpenSearch</w:t>
            </w:r>
          </w:p>
        </w:tc>
        <w:tc>
          <w:tcPr>
            <w:tcW w:w="2541" w:type="dxa"/>
            <w:vAlign w:val="center"/>
          </w:tcPr>
          <w:p w14:paraId="78B2D867">
            <w:pPr>
              <w:spacing w:after="0" w:line="240" w:lineRule="auto"/>
            </w:pPr>
            <w:r>
              <w:rPr>
                <w:b w:val="0"/>
                <w:sz w:val="17"/>
              </w:rPr>
              <w:t>图片指纹索引、审计检索、运营搜索</w:t>
            </w:r>
          </w:p>
        </w:tc>
        <w:tc>
          <w:tcPr>
            <w:tcW w:w="2541" w:type="dxa"/>
            <w:vAlign w:val="center"/>
          </w:tcPr>
          <w:p w14:paraId="45CBAA10">
            <w:pPr>
              <w:spacing w:after="0" w:line="240" w:lineRule="auto"/>
            </w:pPr>
            <w:r>
              <w:rPr>
                <w:b w:val="0"/>
                <w:sz w:val="17"/>
              </w:rPr>
              <w:t>支持复杂检索与日志查询</w:t>
            </w:r>
          </w:p>
        </w:tc>
        <w:tc>
          <w:tcPr>
            <w:tcW w:w="2541" w:type="dxa"/>
            <w:vAlign w:val="center"/>
          </w:tcPr>
          <w:p w14:paraId="1B80BF2E">
            <w:pPr>
              <w:spacing w:after="0" w:line="240" w:lineRule="auto"/>
            </w:pPr>
            <w:r>
              <w:rPr>
                <w:b w:val="0"/>
                <w:sz w:val="17"/>
              </w:rPr>
              <w:t>大规模写入成本高，需要索引生命周期策略。</w:t>
            </w:r>
          </w:p>
        </w:tc>
      </w:tr>
      <w:tr w14:paraId="7027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2B1A087C">
            <w:pPr>
              <w:spacing w:after="0" w:line="240" w:lineRule="auto"/>
            </w:pPr>
            <w:r>
              <w:rPr>
                <w:b w:val="0"/>
                <w:sz w:val="17"/>
              </w:rPr>
              <w:t>ClickHouse</w:t>
            </w:r>
          </w:p>
        </w:tc>
        <w:tc>
          <w:tcPr>
            <w:tcW w:w="2541" w:type="dxa"/>
            <w:vAlign w:val="center"/>
          </w:tcPr>
          <w:p w14:paraId="5F064F8F">
            <w:pPr>
              <w:spacing w:after="0" w:line="240" w:lineRule="auto"/>
            </w:pPr>
            <w:r>
              <w:rPr>
                <w:b w:val="0"/>
                <w:sz w:val="17"/>
              </w:rPr>
              <w:t>产品指标、API调用、增长漏斗、计费分析</w:t>
            </w:r>
          </w:p>
        </w:tc>
        <w:tc>
          <w:tcPr>
            <w:tcW w:w="2541" w:type="dxa"/>
            <w:vAlign w:val="center"/>
          </w:tcPr>
          <w:p w14:paraId="636263A3">
            <w:pPr>
              <w:spacing w:after="0" w:line="240" w:lineRule="auto"/>
            </w:pPr>
            <w:r>
              <w:rPr>
                <w:b w:val="0"/>
                <w:sz w:val="17"/>
              </w:rPr>
              <w:t>高吞吐列式分析</w:t>
            </w:r>
          </w:p>
        </w:tc>
        <w:tc>
          <w:tcPr>
            <w:tcW w:w="2541" w:type="dxa"/>
            <w:vAlign w:val="center"/>
          </w:tcPr>
          <w:p w14:paraId="7434D30A">
            <w:pPr>
              <w:spacing w:after="0" w:line="240" w:lineRule="auto"/>
            </w:pPr>
            <w:r>
              <w:rPr>
                <w:b w:val="0"/>
                <w:sz w:val="17"/>
              </w:rPr>
              <w:t>不适合强事务。</w:t>
            </w:r>
          </w:p>
        </w:tc>
      </w:tr>
      <w:tr w14:paraId="41A26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74855986">
            <w:pPr>
              <w:spacing w:after="0" w:line="240" w:lineRule="auto"/>
            </w:pPr>
            <w:r>
              <w:rPr>
                <w:b w:val="0"/>
                <w:sz w:val="17"/>
              </w:rPr>
              <w:t>Vector DB / pgvector</w:t>
            </w:r>
          </w:p>
        </w:tc>
        <w:tc>
          <w:tcPr>
            <w:tcW w:w="2541" w:type="dxa"/>
            <w:vAlign w:val="center"/>
          </w:tcPr>
          <w:p w14:paraId="6C321692">
            <w:pPr>
              <w:spacing w:after="0" w:line="240" w:lineRule="auto"/>
            </w:pPr>
            <w:r>
              <w:rPr>
                <w:b w:val="0"/>
                <w:sz w:val="17"/>
              </w:rPr>
              <w:t>LLM知识库、风险案例相似检索</w:t>
            </w:r>
          </w:p>
        </w:tc>
        <w:tc>
          <w:tcPr>
            <w:tcW w:w="2541" w:type="dxa"/>
            <w:vAlign w:val="center"/>
          </w:tcPr>
          <w:p w14:paraId="2A75B38F">
            <w:pPr>
              <w:spacing w:after="0" w:line="240" w:lineRule="auto"/>
            </w:pPr>
            <w:r>
              <w:rPr>
                <w:b w:val="0"/>
                <w:sz w:val="17"/>
              </w:rPr>
              <w:t>服务RAG与审核助手</w:t>
            </w:r>
          </w:p>
        </w:tc>
        <w:tc>
          <w:tcPr>
            <w:tcW w:w="2541" w:type="dxa"/>
            <w:vAlign w:val="center"/>
          </w:tcPr>
          <w:p w14:paraId="375C9E17">
            <w:pPr>
              <w:spacing w:after="0" w:line="240" w:lineRule="auto"/>
            </w:pPr>
            <w:r>
              <w:rPr>
                <w:b w:val="0"/>
                <w:sz w:val="17"/>
              </w:rPr>
              <w:t>不应承载核心真伪判断。</w:t>
            </w:r>
          </w:p>
        </w:tc>
      </w:tr>
    </w:tbl>
    <w:p w14:paraId="183A4831"/>
    <w:p w14:paraId="6FF9B519">
      <w:pPr>
        <w:pStyle w:val="3"/>
      </w:pPr>
      <w:r>
        <w:rPr>
          <w:rFonts w:ascii="Noto Sans CJK SC" w:hAnsi="Noto Sans CJK SC" w:eastAsia="Noto Sans CJK SC"/>
        </w:rPr>
        <w:t>4. 核心数据流设计</w:t>
      </w:r>
    </w:p>
    <w:p w14:paraId="0646AE52">
      <w:pPr>
        <w:jc w:val="center"/>
      </w:pPr>
      <w:r>
        <w:drawing>
          <wp:inline distT="0" distB="0" distL="114300" distR="114300">
            <wp:extent cx="6400800" cy="3388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6C92">
      <w:pPr>
        <w:jc w:val="center"/>
      </w:pPr>
      <w:r>
        <w:t>图2：上传凭证与验证查询的数据流解耦</w:t>
      </w:r>
    </w:p>
    <w:p w14:paraId="58DE19B7">
      <w:pPr>
        <w:pStyle w:val="4"/>
      </w:pPr>
      <w:r>
        <w:rPr>
          <w:rFonts w:ascii="Noto Sans CJK SC" w:hAnsi="Noto Sans CJK SC" w:eastAsia="Noto Sans CJK SC"/>
        </w:rPr>
        <w:t>4.1 上传凭证流程</w:t>
      </w:r>
    </w:p>
    <w:p w14:paraId="66391090">
      <w:pPr>
        <w:pStyle w:val="14"/>
      </w:pPr>
      <w:r>
        <w:t>Studio在本地生成凭证包：缩略片段、关键帧感知哈希、操作时间线、设备/环境指纹、用户签名。</w:t>
      </w:r>
    </w:p>
    <w:p w14:paraId="0A3FC2B5">
      <w:pPr>
        <w:pStyle w:val="14"/>
      </w:pPr>
      <w:r>
        <w:t>客户端请求上传URL并进行分片上传；API Gateway校验租户配额、Token、文件大小和幂等键。</w:t>
      </w:r>
    </w:p>
    <w:p w14:paraId="2780B742">
      <w:pPr>
        <w:pStyle w:val="14"/>
      </w:pPr>
      <w:r>
        <w:t>Ingest Service写入对象存储临时区，发送事件到Kafka/Pulsar。</w:t>
      </w:r>
    </w:p>
    <w:p w14:paraId="30152566">
      <w:pPr>
        <w:pStyle w:val="14"/>
      </w:pPr>
      <w:r>
        <w:t>异步Worker进行病毒扫描、格式校验、哈希复算、去重、风险规则检查。</w:t>
      </w:r>
    </w:p>
    <w:p w14:paraId="5B212A6F">
      <w:pPr>
        <w:pStyle w:val="14"/>
      </w:pPr>
      <w:r>
        <w:t>通过校验后写入元数据DB，生成可验证凭证ID；再异步同步IPFS并进行链上哈希锚定。</w:t>
      </w:r>
    </w:p>
    <w:p w14:paraId="11AF3A8E">
      <w:pPr>
        <w:pStyle w:val="4"/>
      </w:pPr>
      <w:r>
        <w:rPr>
          <w:rFonts w:ascii="Noto Sans CJK SC" w:hAnsi="Noto Sans CJK SC" w:eastAsia="Noto Sans CJK SC"/>
        </w:rPr>
        <w:t>4.2 验证查询流程</w:t>
      </w:r>
    </w:p>
    <w:p w14:paraId="12D3D7D6">
      <w:pPr>
        <w:pStyle w:val="14"/>
      </w:pPr>
      <w:r>
        <w:t>插件/API提交图片URL、图片文件或指纹。前端优先提取基础指纹，后端复算关键指纹。</w:t>
      </w:r>
    </w:p>
    <w:p w14:paraId="389B1EA5">
      <w:pPr>
        <w:pStyle w:val="14"/>
      </w:pPr>
      <w:r>
        <w:t>Verification Service先查Redis热点缓存；未命中时查OpenSearch/元数据DB。</w:t>
      </w:r>
    </w:p>
    <w:p w14:paraId="1192FD57">
      <w:pPr>
        <w:pStyle w:val="14"/>
      </w:pPr>
      <w:r>
        <w:t>Trust Score Service根据凭证存在性、哈希匹配度、时间戳、签名、锚定状态和风险规则生成绿/灰/红结果。</w:t>
      </w:r>
    </w:p>
    <w:p w14:paraId="3A8F559D">
      <w:pPr>
        <w:pStyle w:val="14"/>
      </w:pPr>
      <w:r>
        <w:rPr>
          <w:rFonts w:hint="eastAsia" w:eastAsia="宋体"/>
          <w:lang w:val="en-US" w:eastAsia="zh-CN"/>
        </w:rPr>
        <w:t>可以</w:t>
      </w:r>
      <w:r>
        <w:t>调用LLM生成自然语言解释，但该结果必须可缓存，且不能改变规则引擎的基础结论。</w:t>
      </w:r>
    </w:p>
    <w:p w14:paraId="264D9B1C">
      <w:pPr>
        <w:pStyle w:val="14"/>
      </w:pPr>
      <w:r>
        <w:t>结果返回插件/API，并写入审计日志与计费事件。</w:t>
      </w:r>
    </w:p>
    <w:p w14:paraId="1A4191DB">
      <w:pPr>
        <w:pStyle w:val="3"/>
      </w:pPr>
      <w:r>
        <w:rPr>
          <w:rFonts w:ascii="Noto Sans CJK SC" w:hAnsi="Noto Sans CJK SC" w:eastAsia="Noto Sans CJK SC"/>
        </w:rPr>
        <w:t>5. 支撑十万级并发的关键机制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</w:tblGrid>
      <w:tr w14:paraId="76080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shd w:val="clear" w:color="auto" w:fill="1F4E79"/>
            <w:vAlign w:val="center"/>
          </w:tcPr>
          <w:p w14:paraId="0635528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36463B0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架构手段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48002A4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落地方式</w:t>
            </w:r>
          </w:p>
        </w:tc>
      </w:tr>
      <w:tr w14:paraId="4C2D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3359AEC2">
            <w:pPr>
              <w:spacing w:after="0" w:line="240" w:lineRule="auto"/>
            </w:pPr>
            <w:r>
              <w:rPr>
                <w:b w:val="0"/>
                <w:sz w:val="17"/>
              </w:rPr>
              <w:t>瞬时流量峰值</w:t>
            </w:r>
          </w:p>
        </w:tc>
        <w:tc>
          <w:tcPr>
            <w:tcW w:w="2541" w:type="dxa"/>
            <w:vAlign w:val="center"/>
          </w:tcPr>
          <w:p w14:paraId="021EF4D3">
            <w:pPr>
              <w:spacing w:after="0" w:line="240" w:lineRule="auto"/>
            </w:pPr>
            <w:r>
              <w:rPr>
                <w:b w:val="0"/>
                <w:sz w:val="17"/>
              </w:rPr>
              <w:t>削峰填谷</w:t>
            </w:r>
          </w:p>
        </w:tc>
        <w:tc>
          <w:tcPr>
            <w:tcW w:w="2541" w:type="dxa"/>
            <w:vAlign w:val="center"/>
          </w:tcPr>
          <w:p w14:paraId="44518EB5">
            <w:pPr>
              <w:spacing w:after="0" w:line="240" w:lineRule="auto"/>
            </w:pPr>
            <w:r>
              <w:rPr>
                <w:b w:val="0"/>
                <w:sz w:val="17"/>
              </w:rPr>
              <w:t>Kafka/Pulsar；上传任务异步化；批量验证任务排队</w:t>
            </w:r>
          </w:p>
        </w:tc>
      </w:tr>
      <w:tr w14:paraId="23BF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2A4FD50F">
            <w:pPr>
              <w:spacing w:after="0" w:line="240" w:lineRule="auto"/>
            </w:pPr>
            <w:r>
              <w:rPr>
                <w:b w:val="0"/>
                <w:sz w:val="17"/>
              </w:rPr>
              <w:t>验证查询高QPS</w:t>
            </w:r>
          </w:p>
        </w:tc>
        <w:tc>
          <w:tcPr>
            <w:tcW w:w="2541" w:type="dxa"/>
            <w:vAlign w:val="center"/>
          </w:tcPr>
          <w:p w14:paraId="088F7179">
            <w:pPr>
              <w:spacing w:after="0" w:line="240" w:lineRule="auto"/>
            </w:pPr>
            <w:r>
              <w:rPr>
                <w:b w:val="0"/>
                <w:sz w:val="17"/>
              </w:rPr>
              <w:t>多级缓存</w:t>
            </w:r>
          </w:p>
        </w:tc>
        <w:tc>
          <w:tcPr>
            <w:tcW w:w="2541" w:type="dxa"/>
            <w:vAlign w:val="center"/>
          </w:tcPr>
          <w:p w14:paraId="69B39B75">
            <w:pPr>
              <w:spacing w:after="0" w:line="240" w:lineRule="auto"/>
            </w:pPr>
            <w:r>
              <w:rPr>
                <w:b w:val="0"/>
                <w:sz w:val="17"/>
              </w:rPr>
              <w:t>CDN缓存静态摘要；Redis缓存热门凭证；本地短TTL缓存</w:t>
            </w:r>
          </w:p>
        </w:tc>
      </w:tr>
      <w:tr w14:paraId="6CFB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38CBC538">
            <w:pPr>
              <w:spacing w:after="0" w:line="240" w:lineRule="auto"/>
            </w:pPr>
            <w:r>
              <w:rPr>
                <w:b w:val="0"/>
                <w:sz w:val="17"/>
              </w:rPr>
              <w:t>服务横向扩展</w:t>
            </w:r>
          </w:p>
        </w:tc>
        <w:tc>
          <w:tcPr>
            <w:tcW w:w="2541" w:type="dxa"/>
            <w:vAlign w:val="center"/>
          </w:tcPr>
          <w:p w14:paraId="5493B82B">
            <w:pPr>
              <w:spacing w:after="0" w:line="240" w:lineRule="auto"/>
            </w:pPr>
            <w:r>
              <w:rPr>
                <w:b w:val="0"/>
                <w:sz w:val="17"/>
              </w:rPr>
              <w:t>无状态微服务</w:t>
            </w:r>
          </w:p>
        </w:tc>
        <w:tc>
          <w:tcPr>
            <w:tcW w:w="2541" w:type="dxa"/>
            <w:vAlign w:val="center"/>
          </w:tcPr>
          <w:p w14:paraId="07B72B3A">
            <w:pPr>
              <w:spacing w:after="0" w:line="240" w:lineRule="auto"/>
            </w:pPr>
            <w:r>
              <w:rPr>
                <w:b w:val="0"/>
                <w:sz w:val="17"/>
              </w:rPr>
              <w:t>Kubernetes HPA；按CPU/QPS/队列长度扩容</w:t>
            </w:r>
          </w:p>
        </w:tc>
      </w:tr>
      <w:tr w14:paraId="18869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0800C4D2">
            <w:pPr>
              <w:spacing w:after="0" w:line="240" w:lineRule="auto"/>
            </w:pPr>
            <w:r>
              <w:rPr>
                <w:b w:val="0"/>
                <w:sz w:val="17"/>
              </w:rPr>
              <w:t>数据库瓶颈</w:t>
            </w:r>
          </w:p>
        </w:tc>
        <w:tc>
          <w:tcPr>
            <w:tcW w:w="2541" w:type="dxa"/>
            <w:vAlign w:val="center"/>
          </w:tcPr>
          <w:p w14:paraId="427CFF0E">
            <w:pPr>
              <w:spacing w:after="0" w:line="240" w:lineRule="auto"/>
            </w:pPr>
            <w:r>
              <w:rPr>
                <w:b w:val="0"/>
                <w:sz w:val="17"/>
              </w:rPr>
              <w:t>读写分离与分区</w:t>
            </w:r>
          </w:p>
        </w:tc>
        <w:tc>
          <w:tcPr>
            <w:tcW w:w="2541" w:type="dxa"/>
            <w:vAlign w:val="center"/>
          </w:tcPr>
          <w:p w14:paraId="32CB632B">
            <w:pPr>
              <w:spacing w:after="0" w:line="240" w:lineRule="auto"/>
            </w:pPr>
            <w:r>
              <w:rPr>
                <w:b w:val="0"/>
                <w:sz w:val="17"/>
              </w:rPr>
              <w:t>元数据按tenant_id/credential_id分区；只读副本；冷热分层</w:t>
            </w:r>
          </w:p>
        </w:tc>
      </w:tr>
      <w:tr w14:paraId="7CFF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2B7CD2E9">
            <w:pPr>
              <w:spacing w:after="0" w:line="240" w:lineRule="auto"/>
            </w:pPr>
            <w:r>
              <w:rPr>
                <w:b w:val="0"/>
                <w:sz w:val="17"/>
              </w:rPr>
              <w:t>热点租户或大客户</w:t>
            </w:r>
          </w:p>
        </w:tc>
        <w:tc>
          <w:tcPr>
            <w:tcW w:w="2541" w:type="dxa"/>
            <w:vAlign w:val="center"/>
          </w:tcPr>
          <w:p w14:paraId="56BCB2D1">
            <w:pPr>
              <w:spacing w:after="0" w:line="240" w:lineRule="auto"/>
            </w:pPr>
            <w:r>
              <w:rPr>
                <w:b w:val="0"/>
                <w:sz w:val="17"/>
              </w:rPr>
              <w:t>租户隔离</w:t>
            </w:r>
          </w:p>
        </w:tc>
        <w:tc>
          <w:tcPr>
            <w:tcW w:w="2541" w:type="dxa"/>
            <w:vAlign w:val="center"/>
          </w:tcPr>
          <w:p w14:paraId="52E32414">
            <w:pPr>
              <w:spacing w:after="0" w:line="240" w:lineRule="auto"/>
            </w:pPr>
            <w:r>
              <w:rPr>
                <w:b w:val="0"/>
                <w:sz w:val="17"/>
              </w:rPr>
              <w:t>企业客户独立限流池、独立队列、必要时独立DB schema</w:t>
            </w:r>
          </w:p>
        </w:tc>
      </w:tr>
      <w:tr w14:paraId="0380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0FC1539F">
            <w:pPr>
              <w:spacing w:after="0" w:line="240" w:lineRule="auto"/>
            </w:pPr>
            <w:r>
              <w:rPr>
                <w:b w:val="0"/>
                <w:sz w:val="17"/>
              </w:rPr>
              <w:t>下游依赖失败</w:t>
            </w:r>
          </w:p>
        </w:tc>
        <w:tc>
          <w:tcPr>
            <w:tcW w:w="2541" w:type="dxa"/>
            <w:vAlign w:val="center"/>
          </w:tcPr>
          <w:p w14:paraId="058F6E86">
            <w:pPr>
              <w:spacing w:after="0" w:line="240" w:lineRule="auto"/>
            </w:pPr>
            <w:r>
              <w:rPr>
                <w:b w:val="0"/>
                <w:sz w:val="17"/>
              </w:rPr>
              <w:t>降级与熔断</w:t>
            </w:r>
          </w:p>
        </w:tc>
        <w:tc>
          <w:tcPr>
            <w:tcW w:w="2541" w:type="dxa"/>
            <w:vAlign w:val="center"/>
          </w:tcPr>
          <w:p w14:paraId="48085CD4">
            <w:pPr>
              <w:spacing w:after="0" w:line="240" w:lineRule="auto"/>
            </w:pPr>
            <w:r>
              <w:rPr>
                <w:b w:val="0"/>
                <w:sz w:val="17"/>
              </w:rPr>
              <w:t>IPFS/链上/LLM失败不影响核心验证；返回pending或规则摘要</w:t>
            </w:r>
          </w:p>
        </w:tc>
      </w:tr>
      <w:tr w14:paraId="254B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24F15F82">
            <w:pPr>
              <w:spacing w:after="0" w:line="240" w:lineRule="auto"/>
            </w:pPr>
            <w:r>
              <w:rPr>
                <w:b w:val="0"/>
                <w:sz w:val="17"/>
              </w:rPr>
              <w:t>批量验证</w:t>
            </w:r>
          </w:p>
        </w:tc>
        <w:tc>
          <w:tcPr>
            <w:tcW w:w="2541" w:type="dxa"/>
            <w:vAlign w:val="center"/>
          </w:tcPr>
          <w:p w14:paraId="1C6BF6DC">
            <w:pPr>
              <w:spacing w:after="0" w:line="240" w:lineRule="auto"/>
            </w:pPr>
            <w:r>
              <w:rPr>
                <w:b w:val="0"/>
                <w:sz w:val="17"/>
              </w:rPr>
              <w:t>异步批处理</w:t>
            </w:r>
          </w:p>
        </w:tc>
        <w:tc>
          <w:tcPr>
            <w:tcW w:w="2541" w:type="dxa"/>
            <w:vAlign w:val="center"/>
          </w:tcPr>
          <w:p w14:paraId="7D552B65">
            <w:pPr>
              <w:spacing w:after="0" w:line="240" w:lineRule="auto"/>
            </w:pPr>
            <w:r>
              <w:rPr>
                <w:b w:val="0"/>
                <w:sz w:val="17"/>
              </w:rPr>
              <w:t>提交任务 -&gt; 队列 -&gt; 回调Webhook -&gt; 报告下载</w:t>
            </w:r>
          </w:p>
        </w:tc>
      </w:tr>
    </w:tbl>
    <w:p w14:paraId="6D6EF979"/>
    <w:p w14:paraId="57058A06">
      <w:r>
        <w:t>容量初始估算：若100,000并发中80%为插件/网页验证读请求，假设活跃请求率为0.1-0.3 req/s，则峰值约8,000-24,000 QPS。</w:t>
      </w:r>
    </w:p>
    <w:p w14:paraId="41570046">
      <w:pPr>
        <w:pStyle w:val="3"/>
      </w:pPr>
      <w:r>
        <w:rPr>
          <w:rFonts w:ascii="Noto Sans CJK SC" w:hAnsi="Noto Sans CJK SC" w:eastAsia="Noto Sans CJK SC"/>
        </w:rPr>
        <w:t>6. 监控与运维模块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679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shd w:val="clear" w:color="auto" w:fill="1F4E79"/>
            <w:vAlign w:val="center"/>
          </w:tcPr>
          <w:p w14:paraId="1142D2A8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3389" w:type="dxa"/>
            <w:shd w:val="clear" w:color="auto" w:fill="1F4E79"/>
            <w:vAlign w:val="center"/>
          </w:tcPr>
          <w:p w14:paraId="426D848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工具/机制</w:t>
            </w:r>
          </w:p>
        </w:tc>
        <w:tc>
          <w:tcPr>
            <w:tcW w:w="3389" w:type="dxa"/>
            <w:shd w:val="clear" w:color="auto" w:fill="1F4E79"/>
            <w:vAlign w:val="center"/>
          </w:tcPr>
          <w:p w14:paraId="3DD15F3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核心指标</w:t>
            </w:r>
          </w:p>
        </w:tc>
      </w:tr>
      <w:tr w14:paraId="46B7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5F2EB790">
            <w:pPr>
              <w:spacing w:after="0" w:line="240" w:lineRule="auto"/>
            </w:pPr>
            <w:r>
              <w:rPr>
                <w:b w:val="0"/>
                <w:sz w:val="17"/>
              </w:rPr>
              <w:t>可观测性</w:t>
            </w:r>
          </w:p>
        </w:tc>
        <w:tc>
          <w:tcPr>
            <w:tcW w:w="3389" w:type="dxa"/>
            <w:vAlign w:val="center"/>
          </w:tcPr>
          <w:p w14:paraId="7D915AD6">
            <w:pPr>
              <w:spacing w:after="0" w:line="240" w:lineRule="auto"/>
            </w:pPr>
            <w:r>
              <w:rPr>
                <w:b w:val="0"/>
                <w:sz w:val="17"/>
              </w:rPr>
              <w:t>OpenTelemetry + Prometheus + Grafana + Jaeger + Loki/ELK</w:t>
            </w:r>
          </w:p>
        </w:tc>
        <w:tc>
          <w:tcPr>
            <w:tcW w:w="3389" w:type="dxa"/>
            <w:vAlign w:val="center"/>
          </w:tcPr>
          <w:p w14:paraId="14A85B2B">
            <w:pPr>
              <w:spacing w:after="0" w:line="240" w:lineRule="auto"/>
            </w:pPr>
            <w:r>
              <w:rPr>
                <w:b w:val="0"/>
                <w:sz w:val="17"/>
              </w:rPr>
              <w:t>QPS、P95/P99延迟、错误率、队列积压、缓存命中率、LLM推理耗时</w:t>
            </w:r>
          </w:p>
        </w:tc>
      </w:tr>
      <w:tr w14:paraId="4BDF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5C3A7FBC">
            <w:pPr>
              <w:spacing w:after="0" w:line="240" w:lineRule="auto"/>
            </w:pPr>
            <w:r>
              <w:rPr>
                <w:b w:val="0"/>
                <w:sz w:val="17"/>
              </w:rPr>
              <w:t>告警</w:t>
            </w:r>
          </w:p>
        </w:tc>
        <w:tc>
          <w:tcPr>
            <w:tcW w:w="3389" w:type="dxa"/>
            <w:vAlign w:val="center"/>
          </w:tcPr>
          <w:p w14:paraId="79C7C110">
            <w:pPr>
              <w:spacing w:after="0" w:line="240" w:lineRule="auto"/>
            </w:pPr>
            <w:r>
              <w:rPr>
                <w:b w:val="0"/>
                <w:sz w:val="17"/>
              </w:rPr>
              <w:t>Alertmanager / PagerDuty / 飞书/Slack</w:t>
            </w:r>
          </w:p>
        </w:tc>
        <w:tc>
          <w:tcPr>
            <w:tcW w:w="3389" w:type="dxa"/>
            <w:vAlign w:val="center"/>
          </w:tcPr>
          <w:p w14:paraId="10DB1B63">
            <w:pPr>
              <w:spacing w:after="0" w:line="240" w:lineRule="auto"/>
            </w:pPr>
            <w:r>
              <w:rPr>
                <w:b w:val="0"/>
                <w:sz w:val="17"/>
              </w:rPr>
              <w:t>SLO燃尽率、5xx激增、DB连接池耗尽、对象存储失败、锚定任务积压</w:t>
            </w:r>
          </w:p>
        </w:tc>
      </w:tr>
      <w:tr w14:paraId="25C4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7B025A95">
            <w:pPr>
              <w:spacing w:after="0" w:line="240" w:lineRule="auto"/>
            </w:pPr>
            <w:r>
              <w:rPr>
                <w:b w:val="0"/>
                <w:sz w:val="17"/>
              </w:rPr>
              <w:t>CI/CD</w:t>
            </w:r>
          </w:p>
        </w:tc>
        <w:tc>
          <w:tcPr>
            <w:tcW w:w="3389" w:type="dxa"/>
            <w:vAlign w:val="center"/>
          </w:tcPr>
          <w:p w14:paraId="61245357">
            <w:pPr>
              <w:spacing w:after="0" w:line="240" w:lineRule="auto"/>
            </w:pPr>
            <w:r>
              <w:rPr>
                <w:b w:val="0"/>
                <w:sz w:val="17"/>
              </w:rPr>
              <w:t>GitHub Actions/GitLab CI + ArgoCD/Flux</w:t>
            </w:r>
          </w:p>
        </w:tc>
        <w:tc>
          <w:tcPr>
            <w:tcW w:w="3389" w:type="dxa"/>
            <w:vAlign w:val="center"/>
          </w:tcPr>
          <w:p w14:paraId="36A2CD7F">
            <w:pPr>
              <w:spacing w:after="0" w:line="240" w:lineRule="auto"/>
            </w:pPr>
            <w:r>
              <w:rPr>
                <w:b w:val="0"/>
                <w:sz w:val="17"/>
              </w:rPr>
              <w:t>单元测试、集成测试、镜像扫描、灰度发布、自动回滚</w:t>
            </w:r>
          </w:p>
        </w:tc>
      </w:tr>
      <w:tr w14:paraId="656E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72D841EE">
            <w:pPr>
              <w:spacing w:after="0" w:line="240" w:lineRule="auto"/>
            </w:pPr>
            <w:r>
              <w:rPr>
                <w:b w:val="0"/>
                <w:sz w:val="17"/>
              </w:rPr>
              <w:t>基础设施</w:t>
            </w:r>
          </w:p>
        </w:tc>
        <w:tc>
          <w:tcPr>
            <w:tcW w:w="3389" w:type="dxa"/>
            <w:vAlign w:val="center"/>
          </w:tcPr>
          <w:p w14:paraId="07A4BD71">
            <w:pPr>
              <w:spacing w:after="0" w:line="240" w:lineRule="auto"/>
            </w:pPr>
            <w:r>
              <w:rPr>
                <w:b w:val="0"/>
                <w:sz w:val="17"/>
              </w:rPr>
              <w:t>Terraform + Kubernetes + Helm</w:t>
            </w:r>
          </w:p>
        </w:tc>
        <w:tc>
          <w:tcPr>
            <w:tcW w:w="3389" w:type="dxa"/>
            <w:vAlign w:val="center"/>
          </w:tcPr>
          <w:p w14:paraId="3ACFCF11">
            <w:pPr>
              <w:spacing w:after="0" w:line="240" w:lineRule="auto"/>
            </w:pPr>
            <w:r>
              <w:rPr>
                <w:b w:val="0"/>
                <w:sz w:val="17"/>
              </w:rPr>
              <w:t>多环境隔离、版本化基础设施、可重复部署</w:t>
            </w:r>
          </w:p>
        </w:tc>
      </w:tr>
      <w:tr w14:paraId="7D2B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7455EFFE">
            <w:pPr>
              <w:spacing w:after="0" w:line="240" w:lineRule="auto"/>
            </w:pPr>
            <w:r>
              <w:rPr>
                <w:b w:val="0"/>
                <w:sz w:val="17"/>
              </w:rPr>
              <w:t>安全运维</w:t>
            </w:r>
          </w:p>
        </w:tc>
        <w:tc>
          <w:tcPr>
            <w:tcW w:w="3389" w:type="dxa"/>
            <w:vAlign w:val="center"/>
          </w:tcPr>
          <w:p w14:paraId="6EDF1CC8">
            <w:pPr>
              <w:spacing w:after="0" w:line="240" w:lineRule="auto"/>
            </w:pPr>
            <w:r>
              <w:rPr>
                <w:b w:val="0"/>
                <w:sz w:val="17"/>
              </w:rPr>
              <w:t>KMS、Secret Manager、mTLS、WAF规则、审计日志</w:t>
            </w:r>
          </w:p>
        </w:tc>
        <w:tc>
          <w:tcPr>
            <w:tcW w:w="3389" w:type="dxa"/>
            <w:vAlign w:val="center"/>
          </w:tcPr>
          <w:p w14:paraId="642AF163">
            <w:pPr>
              <w:spacing w:after="0" w:line="240" w:lineRule="auto"/>
            </w:pPr>
            <w:r>
              <w:rPr>
                <w:b w:val="0"/>
                <w:sz w:val="17"/>
              </w:rPr>
              <w:t>密钥轮换、权限最小化、异常访问检测、租户隔离</w:t>
            </w:r>
          </w:p>
        </w:tc>
      </w:tr>
      <w:tr w14:paraId="42A2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vAlign w:val="center"/>
          </w:tcPr>
          <w:p w14:paraId="563777B8">
            <w:pPr>
              <w:spacing w:after="0" w:line="240" w:lineRule="auto"/>
            </w:pPr>
            <w:r>
              <w:rPr>
                <w:b w:val="0"/>
                <w:sz w:val="17"/>
              </w:rPr>
              <w:t>备份与灾备</w:t>
            </w:r>
          </w:p>
        </w:tc>
        <w:tc>
          <w:tcPr>
            <w:tcW w:w="3389" w:type="dxa"/>
            <w:vAlign w:val="center"/>
          </w:tcPr>
          <w:p w14:paraId="0FE6365B">
            <w:pPr>
              <w:spacing w:after="0" w:line="240" w:lineRule="auto"/>
            </w:pPr>
            <w:r>
              <w:rPr>
                <w:b w:val="0"/>
                <w:sz w:val="17"/>
              </w:rPr>
              <w:t>DB PITR、对象存储版本化、跨区域复制</w:t>
            </w:r>
          </w:p>
        </w:tc>
        <w:tc>
          <w:tcPr>
            <w:tcW w:w="3389" w:type="dxa"/>
            <w:vAlign w:val="center"/>
          </w:tcPr>
          <w:p w14:paraId="67D1E60E">
            <w:pPr>
              <w:spacing w:after="0" w:line="240" w:lineRule="auto"/>
            </w:pPr>
            <w:r>
              <w:rPr>
                <w:b w:val="0"/>
                <w:sz w:val="17"/>
              </w:rPr>
              <w:t>RPO/RTO、恢复演练、数据一致性校验</w:t>
            </w:r>
          </w:p>
        </w:tc>
      </w:tr>
    </w:tbl>
    <w:p w14:paraId="2A926D85"/>
    <w:p w14:paraId="107AFC0A">
      <w:pPr>
        <w:pStyle w:val="3"/>
      </w:pPr>
      <w:r>
        <w:rPr>
          <w:rFonts w:ascii="Noto Sans CJK SC" w:hAnsi="Noto Sans CJK SC" w:eastAsia="Noto Sans CJK SC"/>
        </w:rPr>
        <w:t>7. 安全、隐私与合规设计</w:t>
      </w:r>
    </w:p>
    <w:p w14:paraId="7A728A92">
      <w:pPr>
        <w:pStyle w:val="16"/>
      </w:pPr>
      <w:r>
        <w:t>本地隐私优先：默认只录制创作窗口，不录制整个桌面；支持敏感区域模糊；上传前允许裁剪。</w:t>
      </w:r>
    </w:p>
    <w:p w14:paraId="1079450A">
      <w:pPr>
        <w:pStyle w:val="16"/>
      </w:pPr>
      <w:r>
        <w:t>凭证不可篡改：凭证包签名、服务端复算哈希、时间戳服务、对象存储版本化、IPFS/链上锚定。</w:t>
      </w:r>
    </w:p>
    <w:p w14:paraId="2109D6D0">
      <w:pPr>
        <w:pStyle w:val="16"/>
      </w:pPr>
      <w:r>
        <w:t>租户隔离：企业客户独立API Key、独立限流池、独立审计日志；高等级客户可选私有部署。</w:t>
      </w:r>
    </w:p>
    <w:p w14:paraId="1368F2A9">
      <w:pPr>
        <w:pStyle w:val="16"/>
      </w:pPr>
      <w:r>
        <w:t>数据最小化：LLM/RAG不读取原始创作视频，默认只读取规则结果、元数据和脱敏摘要。</w:t>
      </w:r>
    </w:p>
    <w:p w14:paraId="4FAB27E3">
      <w:pPr>
        <w:pStyle w:val="16"/>
      </w:pPr>
      <w:r>
        <w:t>对抗风险：高级攻击者可能模拟整个录制过程。可加入环境指纹、随机挑战、硬件安全模块或可信执行环境</w:t>
      </w:r>
      <w:r>
        <w:rPr>
          <w:rFonts w:hint="eastAsia" w:eastAsia="宋体"/>
          <w:lang w:eastAsia="zh-CN"/>
        </w:rPr>
        <w:t>。</w:t>
      </w:r>
    </w:p>
    <w:p w14:paraId="0E2EBFE5">
      <w:pPr>
        <w:pStyle w:val="3"/>
      </w:pPr>
      <w:r>
        <w:rPr>
          <w:rFonts w:ascii="Noto Sans CJK SC" w:hAnsi="Noto Sans CJK SC" w:eastAsia="Noto Sans CJK SC"/>
        </w:rPr>
        <w:t>8. 部署形态与演进路线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0928E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shd w:val="clear" w:color="auto" w:fill="1F4E79"/>
            <w:vAlign w:val="center"/>
          </w:tcPr>
          <w:p w14:paraId="7E52016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034D2E72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架构形态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35D34274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361FA5B4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取舍</w:t>
            </w:r>
          </w:p>
        </w:tc>
      </w:tr>
      <w:tr w14:paraId="0367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31DB8A4C">
            <w:pPr>
              <w:spacing w:after="0" w:line="240" w:lineRule="auto"/>
            </w:pPr>
            <w:r>
              <w:rPr>
                <w:b w:val="0"/>
                <w:sz w:val="17"/>
              </w:rPr>
              <w:t>MVP / 0-4个月</w:t>
            </w:r>
          </w:p>
        </w:tc>
        <w:tc>
          <w:tcPr>
            <w:tcW w:w="2541" w:type="dxa"/>
            <w:vAlign w:val="center"/>
          </w:tcPr>
          <w:p w14:paraId="47E55C2F">
            <w:pPr>
              <w:spacing w:after="0" w:line="240" w:lineRule="auto"/>
            </w:pPr>
            <w:r>
              <w:rPr>
                <w:b w:val="0"/>
                <w:sz w:val="17"/>
              </w:rPr>
              <w:t>单云Kubernetes + 托管PostgreSQL + Redis + S3 + 简化队列</w:t>
            </w:r>
          </w:p>
        </w:tc>
        <w:tc>
          <w:tcPr>
            <w:tcW w:w="2541" w:type="dxa"/>
            <w:vAlign w:val="center"/>
          </w:tcPr>
          <w:p w14:paraId="4B9AB0AC">
            <w:pPr>
              <w:spacing w:after="0" w:line="240" w:lineRule="auto"/>
            </w:pPr>
            <w:r>
              <w:rPr>
                <w:b w:val="0"/>
                <w:sz w:val="17"/>
              </w:rPr>
              <w:t>验证核心工作流与100-1000名种子用户</w:t>
            </w:r>
          </w:p>
        </w:tc>
        <w:tc>
          <w:tcPr>
            <w:tcW w:w="2541" w:type="dxa"/>
            <w:vAlign w:val="center"/>
          </w:tcPr>
          <w:p w14:paraId="3EF794D1">
            <w:pPr>
              <w:spacing w:after="0" w:line="240" w:lineRule="auto"/>
            </w:pPr>
            <w:r>
              <w:rPr>
                <w:b w:val="0"/>
                <w:sz w:val="17"/>
              </w:rPr>
              <w:t>暂不追求跨区域复杂高可用。</w:t>
            </w:r>
          </w:p>
        </w:tc>
      </w:tr>
      <w:tr w14:paraId="40AC1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0B1BB779">
            <w:pPr>
              <w:spacing w:after="0" w:line="240" w:lineRule="auto"/>
            </w:pPr>
            <w:r>
              <w:rPr>
                <w:b w:val="0"/>
                <w:sz w:val="17"/>
              </w:rPr>
              <w:t>Beta / 5-8个月</w:t>
            </w:r>
          </w:p>
        </w:tc>
        <w:tc>
          <w:tcPr>
            <w:tcW w:w="2541" w:type="dxa"/>
            <w:vAlign w:val="center"/>
          </w:tcPr>
          <w:p w14:paraId="4E7EF9F1">
            <w:pPr>
              <w:spacing w:after="0" w:line="240" w:lineRule="auto"/>
            </w:pPr>
            <w:r>
              <w:rPr>
                <w:b w:val="0"/>
                <w:sz w:val="17"/>
              </w:rPr>
              <w:t>引入Kafka/Pulsar、OpenSearch、ClickHouse、IPFS适配器</w:t>
            </w:r>
          </w:p>
        </w:tc>
        <w:tc>
          <w:tcPr>
            <w:tcW w:w="2541" w:type="dxa"/>
            <w:vAlign w:val="center"/>
          </w:tcPr>
          <w:p w14:paraId="2261CC1F">
            <w:pPr>
              <w:spacing w:after="0" w:line="240" w:lineRule="auto"/>
            </w:pPr>
            <w:r>
              <w:rPr>
                <w:b w:val="0"/>
                <w:sz w:val="17"/>
              </w:rPr>
              <w:t>支撑开放API和1万插件安装</w:t>
            </w:r>
          </w:p>
        </w:tc>
        <w:tc>
          <w:tcPr>
            <w:tcW w:w="2541" w:type="dxa"/>
            <w:vAlign w:val="center"/>
          </w:tcPr>
          <w:p w14:paraId="726017FB">
            <w:pPr>
              <w:spacing w:after="0" w:line="240" w:lineRule="auto"/>
            </w:pPr>
            <w:r>
              <w:rPr>
                <w:b w:val="0"/>
                <w:sz w:val="17"/>
              </w:rPr>
              <w:t>开始压测与安全审计。</w:t>
            </w:r>
          </w:p>
        </w:tc>
      </w:tr>
      <w:tr w14:paraId="58A3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205D8118">
            <w:pPr>
              <w:spacing w:after="0" w:line="240" w:lineRule="auto"/>
            </w:pPr>
            <w:r>
              <w:rPr>
                <w:b w:val="0"/>
                <w:sz w:val="17"/>
              </w:rPr>
              <w:t>V1.0 / 9-12个月</w:t>
            </w:r>
          </w:p>
        </w:tc>
        <w:tc>
          <w:tcPr>
            <w:tcW w:w="2541" w:type="dxa"/>
            <w:vAlign w:val="center"/>
          </w:tcPr>
          <w:p w14:paraId="32FBCEEE">
            <w:pPr>
              <w:spacing w:after="0" w:line="240" w:lineRule="auto"/>
            </w:pPr>
            <w:r>
              <w:rPr>
                <w:b w:val="0"/>
                <w:sz w:val="17"/>
              </w:rPr>
              <w:t>多AZ部署、企业Dashboard、独立LLM服务、完善SLO</w:t>
            </w:r>
          </w:p>
        </w:tc>
        <w:tc>
          <w:tcPr>
            <w:tcW w:w="2541" w:type="dxa"/>
            <w:vAlign w:val="center"/>
          </w:tcPr>
          <w:p w14:paraId="0D1C83F2">
            <w:pPr>
              <w:spacing w:after="0" w:line="240" w:lineRule="auto"/>
            </w:pPr>
            <w:r>
              <w:rPr>
                <w:b w:val="0"/>
                <w:sz w:val="17"/>
              </w:rPr>
              <w:t>支撑B端试点与十万级并发目标的早期版本</w:t>
            </w:r>
          </w:p>
        </w:tc>
        <w:tc>
          <w:tcPr>
            <w:tcW w:w="2541" w:type="dxa"/>
            <w:vAlign w:val="center"/>
          </w:tcPr>
          <w:p w14:paraId="4BD8187A">
            <w:pPr>
              <w:spacing w:after="0" w:line="240" w:lineRule="auto"/>
            </w:pPr>
            <w:r>
              <w:rPr>
                <w:b w:val="0"/>
                <w:sz w:val="17"/>
              </w:rPr>
              <w:t>成本、SLA和隔离策略成为重点。</w:t>
            </w:r>
          </w:p>
        </w:tc>
      </w:tr>
      <w:tr w14:paraId="1496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vAlign w:val="center"/>
          </w:tcPr>
          <w:p w14:paraId="63E1F5A7">
            <w:pPr>
              <w:spacing w:after="0" w:line="240" w:lineRule="auto"/>
            </w:pPr>
            <w:r>
              <w:rPr>
                <w:b w:val="0"/>
                <w:sz w:val="17"/>
              </w:rPr>
              <w:t>Scale / Year 2</w:t>
            </w:r>
          </w:p>
        </w:tc>
        <w:tc>
          <w:tcPr>
            <w:tcW w:w="2541" w:type="dxa"/>
            <w:vAlign w:val="center"/>
          </w:tcPr>
          <w:p w14:paraId="7E5A0DD5">
            <w:pPr>
              <w:spacing w:after="0" w:line="240" w:lineRule="auto"/>
            </w:pPr>
            <w:r>
              <w:rPr>
                <w:b w:val="0"/>
                <w:sz w:val="17"/>
              </w:rPr>
              <w:t>多区域主动-主动或主备、私有化部署选项、视频/音频扩展</w:t>
            </w:r>
          </w:p>
        </w:tc>
        <w:tc>
          <w:tcPr>
            <w:tcW w:w="2541" w:type="dxa"/>
            <w:vAlign w:val="center"/>
          </w:tcPr>
          <w:p w14:paraId="18A416FD">
            <w:pPr>
              <w:spacing w:after="0" w:line="240" w:lineRule="auto"/>
            </w:pPr>
            <w:r>
              <w:rPr>
                <w:b w:val="0"/>
                <w:sz w:val="17"/>
              </w:rPr>
              <w:t>平台级集成与更高并发</w:t>
            </w:r>
          </w:p>
        </w:tc>
        <w:tc>
          <w:tcPr>
            <w:tcW w:w="2541" w:type="dxa"/>
            <w:vAlign w:val="center"/>
          </w:tcPr>
          <w:p w14:paraId="4FA6E140">
            <w:pPr>
              <w:spacing w:after="0" w:line="240" w:lineRule="auto"/>
            </w:pPr>
            <w:r>
              <w:rPr>
                <w:b w:val="0"/>
                <w:sz w:val="17"/>
              </w:rPr>
              <w:t>复杂度显著上升，需要专职SRE和安全团队。</w:t>
            </w:r>
          </w:p>
        </w:tc>
      </w:tr>
    </w:tbl>
    <w:p w14:paraId="1216EA9C"/>
    <w:p w14:paraId="00379513">
      <w:bookmarkStart w:id="0" w:name="_GoBack"/>
      <w:bookmarkEnd w:id="0"/>
    </w:p>
    <w:sectPr>
      <w:footerReference r:id="rId5" w:type="default"/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E10002EF" w:usb1="6BDFFCFB" w:usb2="0080003E" w:usb3="00002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ゴシック">
    <w:panose1 w:val="020B0609070205080204"/>
    <w:charset w:val="86"/>
    <w:family w:val="auto"/>
    <w:pitch w:val="default"/>
    <w:sig w:usb0="E10002EF" w:usb1="6BDFFCFB" w:usb2="0080003E" w:usb3="00002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DC2E6">
    <w:pPr>
      <w:pStyle w:val="24"/>
      <w:jc w:val="center"/>
    </w:pPr>
    <w:r>
      <w:rPr>
        <w:color w:val="787878"/>
        <w:sz w:val="16"/>
      </w:rPr>
      <w:t>ProvenPixel 架构设计｜初步方案，含未验证项标注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C821CE"/>
    <w:rsid w:val="149E2B37"/>
    <w:rsid w:val="1C876C48"/>
    <w:rsid w:val="217559A8"/>
    <w:rsid w:val="37963E84"/>
    <w:rsid w:val="3C2B5C86"/>
    <w:rsid w:val="3C526A0A"/>
    <w:rsid w:val="411A4BFE"/>
    <w:rsid w:val="46B82087"/>
    <w:rsid w:val="52C65702"/>
    <w:rsid w:val="53755DED"/>
    <w:rsid w:val="54616666"/>
    <w:rsid w:val="62A74B0A"/>
    <w:rsid w:val="63B26C24"/>
    <w:rsid w:val="6E27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1148</Words>
  <Characters>1373</Characters>
  <Lines>0</Lines>
  <Paragraphs>0</Paragraphs>
  <TotalTime>24</TotalTime>
  <ScaleCrop>false</ScaleCrop>
  <LinksUpToDate>false</LinksUpToDate>
  <CharactersWithSpaces>1418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architecture design document based on provided business plan.</dc:description>
  <cp:lastModifiedBy>HaruYuu</cp:lastModifiedBy>
  <dcterms:modified xsi:type="dcterms:W3CDTF">2026-05-18T11:13:08Z</dcterms:modified>
  <dc:subject>System Architecture</dc:subject>
  <dc:title>ProvenPixel 工业级系统架构设计文档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eyJoZGlkIjoiMzMwNDljZWY2OGFlZjIzZGYwY2FlN2JjY2Y4NTYyZjUiLCJ1c2VySWQiOiIxNTE0MDcxNDQ2In0=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ECF96ED19176441B8ED828F83C4F6003_12</vt:lpwstr>
  </property>
</Properties>
</file>