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9356" w:type="dxa"/>
        <w:tblInd w:w="-28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93"/>
        <w:gridCol w:w="8363"/>
      </w:tblGrid>
      <w:tr w14:paraId="54E047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93" w:type="dxa"/>
            <w:tcBorders>
              <w:top w:val="single" w:color="auto" w:sz="4" w:space="0"/>
            </w:tcBorders>
          </w:tcPr>
          <w:p w14:paraId="2017DD67">
            <w:pPr>
              <w:spacing w:after="0" w:line="240" w:lineRule="auto"/>
              <w:rPr>
                <w:b/>
                <w:sz w:val="20"/>
                <w:szCs w:val="20"/>
              </w:rPr>
            </w:pPr>
            <w:r>
              <w:rPr>
                <w:b/>
                <w:sz w:val="20"/>
                <w:szCs w:val="20"/>
              </w:rPr>
              <w:t>To:</w:t>
            </w:r>
          </w:p>
        </w:tc>
        <w:tc>
          <w:tcPr>
            <w:tcW w:w="8363" w:type="dxa"/>
            <w:tcBorders>
              <w:top w:val="single" w:color="auto" w:sz="4" w:space="0"/>
            </w:tcBorders>
          </w:tcPr>
          <w:p w14:paraId="4E9568BF">
            <w:pPr>
              <w:spacing w:after="0" w:line="240" w:lineRule="auto"/>
              <w:rPr>
                <w:rFonts w:hint="default"/>
                <w:sz w:val="20"/>
                <w:szCs w:val="20"/>
                <w:lang w:val="en-US"/>
              </w:rPr>
            </w:pPr>
            <w:r>
              <w:rPr>
                <w:rFonts w:hint="default"/>
                <w:sz w:val="20"/>
                <w:szCs w:val="20"/>
                <w:lang w:val="en-US"/>
              </w:rPr>
              <w:t xml:space="preserve">Anna </w:t>
            </w:r>
            <w:bookmarkStart w:id="0" w:name="_GoBack"/>
            <w:bookmarkEnd w:id="0"/>
          </w:p>
        </w:tc>
      </w:tr>
      <w:tr w14:paraId="377732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93" w:type="dxa"/>
          </w:tcPr>
          <w:p w14:paraId="3B1BF544">
            <w:pPr>
              <w:spacing w:after="0" w:line="240" w:lineRule="auto"/>
              <w:rPr>
                <w:b/>
                <w:sz w:val="20"/>
                <w:szCs w:val="20"/>
              </w:rPr>
            </w:pPr>
            <w:r>
              <w:rPr>
                <w:b/>
                <w:sz w:val="20"/>
                <w:szCs w:val="20"/>
              </w:rPr>
              <w:t>From:</w:t>
            </w:r>
          </w:p>
        </w:tc>
        <w:tc>
          <w:tcPr>
            <w:tcW w:w="8363" w:type="dxa"/>
          </w:tcPr>
          <w:p w14:paraId="3A9D168F">
            <w:pPr>
              <w:spacing w:after="0" w:line="240" w:lineRule="auto"/>
              <w:rPr>
                <w:rFonts w:hint="default"/>
                <w:sz w:val="20"/>
                <w:szCs w:val="20"/>
                <w:lang w:val="en-US"/>
              </w:rPr>
            </w:pPr>
            <w:r>
              <w:rPr>
                <w:rFonts w:hint="default"/>
                <w:sz w:val="20"/>
                <w:szCs w:val="20"/>
                <w:lang w:val="en-US"/>
              </w:rPr>
              <w:t>Kiriti Aajad</w:t>
            </w:r>
          </w:p>
        </w:tc>
      </w:tr>
      <w:tr w14:paraId="376B53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0" w:hRule="atLeast"/>
        </w:trPr>
        <w:tc>
          <w:tcPr>
            <w:tcW w:w="993" w:type="dxa"/>
            <w:tcBorders>
              <w:bottom w:val="single" w:color="auto" w:sz="4" w:space="0"/>
            </w:tcBorders>
          </w:tcPr>
          <w:p w14:paraId="72CC09EF">
            <w:pPr>
              <w:spacing w:after="0" w:line="240" w:lineRule="auto"/>
              <w:rPr>
                <w:b/>
                <w:sz w:val="20"/>
                <w:szCs w:val="20"/>
              </w:rPr>
            </w:pPr>
            <w:r>
              <w:rPr>
                <w:b/>
                <w:sz w:val="20"/>
                <w:szCs w:val="20"/>
              </w:rPr>
              <w:t>Subject:</w:t>
            </w:r>
          </w:p>
        </w:tc>
        <w:tc>
          <w:tcPr>
            <w:tcW w:w="8363" w:type="dxa"/>
            <w:tcBorders>
              <w:bottom w:val="single" w:color="auto" w:sz="4" w:space="0"/>
            </w:tcBorders>
          </w:tcPr>
          <w:p w14:paraId="18A61B20">
            <w:pPr>
              <w:spacing w:after="0" w:line="240" w:lineRule="auto"/>
              <w:rPr>
                <w:sz w:val="20"/>
                <w:szCs w:val="20"/>
              </w:rPr>
            </w:pPr>
            <w:r>
              <w:rPr>
                <w:rFonts w:hint="default"/>
                <w:sz w:val="20"/>
                <w:szCs w:val="20"/>
              </w:rPr>
              <w:t>Potential M&amp;A Targets for Carlos - Summary and Recommendations</w:t>
            </w:r>
          </w:p>
        </w:tc>
      </w:tr>
      <w:tr w14:paraId="452EA0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760" w:hRule="atLeast"/>
        </w:trPr>
        <w:tc>
          <w:tcPr>
            <w:tcW w:w="9356" w:type="dxa"/>
            <w:gridSpan w:val="2"/>
            <w:tcBorders>
              <w:top w:val="single" w:color="auto" w:sz="4" w:space="0"/>
            </w:tcBorders>
          </w:tcPr>
          <w:p w14:paraId="50D61CE4">
            <w:pPr>
              <w:spacing w:after="0" w:line="240" w:lineRule="auto"/>
              <w:rPr>
                <w:sz w:val="20"/>
                <w:szCs w:val="20"/>
              </w:rPr>
            </w:pPr>
          </w:p>
          <w:p w14:paraId="0D5661BB">
            <w:pPr>
              <w:spacing w:after="0" w:line="240" w:lineRule="auto"/>
              <w:rPr>
                <w:rFonts w:hint="default"/>
                <w:sz w:val="20"/>
                <w:szCs w:val="20"/>
                <w:lang w:val="en-US"/>
              </w:rPr>
            </w:pPr>
            <w:r>
              <w:rPr>
                <w:rFonts w:hint="default"/>
                <w:sz w:val="20"/>
                <w:szCs w:val="20"/>
                <w:lang w:val="en-US"/>
              </w:rPr>
              <w:t>Dear Sir,</w:t>
            </w:r>
          </w:p>
          <w:p w14:paraId="6B8E06B7">
            <w:pPr>
              <w:spacing w:after="0" w:line="240" w:lineRule="auto"/>
              <w:rPr>
                <w:sz w:val="20"/>
                <w:szCs w:val="20"/>
              </w:rPr>
            </w:pPr>
          </w:p>
          <w:p w14:paraId="6EBA3190">
            <w:pPr>
              <w:spacing w:after="0" w:line="240" w:lineRule="auto"/>
              <w:rPr>
                <w:sz w:val="20"/>
                <w:szCs w:val="20"/>
              </w:rPr>
            </w:pPr>
          </w:p>
          <w:p w14:paraId="0D911622">
            <w:pPr>
              <w:spacing w:after="0" w:line="240" w:lineRule="auto"/>
              <w:rPr>
                <w:sz w:val="20"/>
                <w:szCs w:val="20"/>
              </w:rPr>
            </w:pPr>
            <w:r>
              <w:rPr>
                <w:sz w:val="20"/>
                <w:szCs w:val="20"/>
              </w:rPr>
              <w:t>[You may find it useful to format your email using the following table – we have given an example for one of the companies below]</w:t>
            </w:r>
          </w:p>
          <w:p w14:paraId="5D68EA3A">
            <w:pPr>
              <w:spacing w:after="0" w:line="240" w:lineRule="auto"/>
              <w:rPr>
                <w:sz w:val="20"/>
                <w:szCs w:val="20"/>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0"/>
              <w:gridCol w:w="2647"/>
              <w:gridCol w:w="2893"/>
              <w:gridCol w:w="2350"/>
            </w:tblGrid>
            <w:tr w14:paraId="421F4B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tcPr>
                <w:p w14:paraId="60517C97">
                  <w:pPr>
                    <w:spacing w:after="0" w:line="240" w:lineRule="auto"/>
                    <w:rPr>
                      <w:rFonts w:ascii="Calibri" w:hAnsi="Calibri" w:cs="Calibri"/>
                      <w:b/>
                      <w:bCs/>
                      <w:sz w:val="20"/>
                      <w:szCs w:val="20"/>
                    </w:rPr>
                  </w:pPr>
                  <w:r>
                    <w:rPr>
                      <w:rFonts w:ascii="Calibri" w:hAnsi="Calibri" w:cs="Calibri"/>
                      <w:b/>
                      <w:bCs/>
                      <w:sz w:val="20"/>
                      <w:szCs w:val="20"/>
                    </w:rPr>
                    <w:t>Company</w:t>
                  </w:r>
                </w:p>
              </w:tc>
              <w:tc>
                <w:tcPr>
                  <w:tcW w:w="2647" w:type="dxa"/>
                </w:tcPr>
                <w:p w14:paraId="3125A531">
                  <w:pPr>
                    <w:spacing w:after="0" w:line="240" w:lineRule="auto"/>
                    <w:rPr>
                      <w:rFonts w:ascii="Calibri" w:hAnsi="Calibri" w:cs="Calibri"/>
                      <w:b/>
                      <w:bCs/>
                      <w:sz w:val="20"/>
                      <w:szCs w:val="20"/>
                    </w:rPr>
                  </w:pPr>
                  <w:r>
                    <w:rPr>
                      <w:rFonts w:ascii="Calibri" w:hAnsi="Calibri" w:cs="Calibri"/>
                      <w:b/>
                      <w:bCs/>
                      <w:sz w:val="20"/>
                      <w:szCs w:val="20"/>
                    </w:rPr>
                    <w:t>Description</w:t>
                  </w:r>
                </w:p>
              </w:tc>
              <w:tc>
                <w:tcPr>
                  <w:tcW w:w="2893" w:type="dxa"/>
                </w:tcPr>
                <w:p w14:paraId="0C3F17B4">
                  <w:pPr>
                    <w:spacing w:after="0" w:line="240" w:lineRule="auto"/>
                    <w:rPr>
                      <w:rFonts w:ascii="Calibri" w:hAnsi="Calibri" w:cs="Calibri"/>
                      <w:b/>
                      <w:bCs/>
                      <w:sz w:val="20"/>
                      <w:szCs w:val="20"/>
                    </w:rPr>
                  </w:pPr>
                  <w:r>
                    <w:rPr>
                      <w:rFonts w:ascii="Calibri" w:hAnsi="Calibri" w:cs="Calibri"/>
                      <w:b/>
                      <w:bCs/>
                      <w:sz w:val="20"/>
                      <w:szCs w:val="20"/>
                    </w:rPr>
                    <w:t>Relevance to WorldWide Brewing</w:t>
                  </w:r>
                </w:p>
                <w:p w14:paraId="6B7D1221">
                  <w:pPr>
                    <w:spacing w:after="0" w:line="240" w:lineRule="auto"/>
                    <w:rPr>
                      <w:rFonts w:ascii="Calibri" w:hAnsi="Calibri" w:cs="Calibri"/>
                      <w:b/>
                      <w:bCs/>
                      <w:sz w:val="20"/>
                      <w:szCs w:val="20"/>
                    </w:rPr>
                  </w:pPr>
                </w:p>
              </w:tc>
              <w:tc>
                <w:tcPr>
                  <w:tcW w:w="2350" w:type="dxa"/>
                </w:tcPr>
                <w:p w14:paraId="382D6F9A">
                  <w:pPr>
                    <w:spacing w:after="0" w:line="240" w:lineRule="auto"/>
                    <w:rPr>
                      <w:rFonts w:ascii="Calibri" w:hAnsi="Calibri" w:cs="Calibri"/>
                      <w:b/>
                      <w:bCs/>
                      <w:sz w:val="20"/>
                      <w:szCs w:val="20"/>
                    </w:rPr>
                  </w:pPr>
                  <w:r>
                    <w:rPr>
                      <w:rFonts w:ascii="Calibri" w:hAnsi="Calibri" w:cs="Calibri"/>
                      <w:b/>
                      <w:bCs/>
                      <w:sz w:val="20"/>
                      <w:szCs w:val="20"/>
                    </w:rPr>
                    <w:t>Recommendation</w:t>
                  </w:r>
                </w:p>
              </w:tc>
            </w:tr>
            <w:tr w14:paraId="316921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tcPr>
                <w:p w14:paraId="45979E96">
                  <w:pPr>
                    <w:spacing w:after="0" w:line="240" w:lineRule="auto"/>
                    <w:rPr>
                      <w:rFonts w:ascii="Calibri" w:hAnsi="Calibri" w:cs="Calibri"/>
                      <w:b/>
                      <w:bCs/>
                      <w:sz w:val="20"/>
                      <w:szCs w:val="20"/>
                    </w:rPr>
                  </w:pPr>
                  <w:r>
                    <w:rPr>
                      <w:rFonts w:ascii="Calibri" w:hAnsi="Calibri" w:cs="Calibri"/>
                      <w:b/>
                      <w:bCs/>
                      <w:sz w:val="20"/>
                      <w:szCs w:val="20"/>
                    </w:rPr>
                    <w:t>HappyHour Co.</w:t>
                  </w:r>
                </w:p>
              </w:tc>
              <w:tc>
                <w:tcPr>
                  <w:tcW w:w="2647" w:type="dxa"/>
                </w:tcPr>
                <w:p w14:paraId="64ABB862">
                  <w:pPr>
                    <w:spacing w:after="0" w:line="240" w:lineRule="auto"/>
                    <w:rPr>
                      <w:rFonts w:ascii="Calibri" w:hAnsi="Calibri" w:cs="Calibri"/>
                      <w:sz w:val="20"/>
                      <w:szCs w:val="20"/>
                    </w:rPr>
                  </w:pPr>
                  <w:r>
                    <w:rPr>
                      <w:rFonts w:ascii="Calibri" w:hAnsi="Calibri" w:cs="Calibri"/>
                      <w:sz w:val="20"/>
                      <w:szCs w:val="20"/>
                    </w:rPr>
                    <w:t>HappyHour Co. is the largest player in Singapore and Malaysia, in the segments of beer, spirits and non-alcoholic beverages. Its operations include manufacturing facilities, distribution and direct sales and it has demonstrated strong growth in EBITDA in FY2020 which was up 20% pcp and amounted to US$300mm.</w:t>
                  </w:r>
                </w:p>
              </w:tc>
              <w:tc>
                <w:tcPr>
                  <w:tcW w:w="2893" w:type="dxa"/>
                </w:tcPr>
                <w:p w14:paraId="2ACD63EA">
                  <w:pPr>
                    <w:spacing w:after="0" w:line="240" w:lineRule="auto"/>
                    <w:rPr>
                      <w:rFonts w:ascii="Calibri" w:hAnsi="Calibri" w:cs="Calibri"/>
                      <w:sz w:val="20"/>
                      <w:szCs w:val="20"/>
                    </w:rPr>
                  </w:pPr>
                  <w:r>
                    <w:rPr>
                      <w:rFonts w:ascii="Calibri" w:hAnsi="Calibri" w:cs="Calibri"/>
                      <w:sz w:val="20"/>
                      <w:szCs w:val="20"/>
                    </w:rPr>
                    <w:t>It has similar operations to WorldWide Brewing across the same segments and is the leading player in Singapore and Malaysia, suggesting the potential for strategic benefits and synergies. It has solid financial results and an ownership structure that is owned by 3 families, rendering a potential acquisition relatively simple and feasible. HappyHour Co. would be appropriate to share.</w:t>
                  </w:r>
                </w:p>
              </w:tc>
              <w:tc>
                <w:tcPr>
                  <w:tcW w:w="2350" w:type="dxa"/>
                </w:tcPr>
                <w:p w14:paraId="247ED975">
                  <w:pPr>
                    <w:spacing w:after="0" w:line="240" w:lineRule="auto"/>
                    <w:rPr>
                      <w:rFonts w:ascii="Calibri" w:hAnsi="Calibri" w:cs="Calibri"/>
                      <w:b/>
                      <w:bCs/>
                      <w:sz w:val="20"/>
                      <w:szCs w:val="20"/>
                    </w:rPr>
                  </w:pPr>
                  <w:r>
                    <w:rPr>
                      <w:rFonts w:ascii="Calibri" w:hAnsi="Calibri" w:cs="Calibri"/>
                      <w:b/>
                      <w:bCs/>
                      <w:sz w:val="20"/>
                      <w:szCs w:val="20"/>
                    </w:rPr>
                    <w:t>Recommend</w:t>
                  </w:r>
                </w:p>
              </w:tc>
            </w:tr>
            <w:tr w14:paraId="4B9C7C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tcPr>
                <w:p w14:paraId="682DFD08">
                  <w:pPr>
                    <w:spacing w:after="0" w:line="240" w:lineRule="auto"/>
                    <w:rPr>
                      <w:rFonts w:ascii="Calibri" w:hAnsi="Calibri" w:cs="Calibri"/>
                      <w:b/>
                      <w:bCs/>
                      <w:sz w:val="20"/>
                      <w:szCs w:val="20"/>
                    </w:rPr>
                  </w:pPr>
                </w:p>
                <w:p w14:paraId="0D965103">
                  <w:pPr>
                    <w:spacing w:after="0" w:line="240" w:lineRule="auto"/>
                    <w:rPr>
                      <w:rFonts w:ascii="Calibri" w:hAnsi="Calibri" w:cs="Calibri"/>
                      <w:b/>
                      <w:bCs/>
                      <w:sz w:val="20"/>
                      <w:szCs w:val="20"/>
                    </w:rPr>
                  </w:pPr>
                </w:p>
                <w:p w14:paraId="761DD652">
                  <w:pPr>
                    <w:spacing w:after="0" w:line="240" w:lineRule="auto"/>
                    <w:rPr>
                      <w:rFonts w:ascii="Calibri" w:hAnsi="Calibri" w:cs="Calibri"/>
                      <w:b/>
                      <w:bCs/>
                      <w:sz w:val="20"/>
                      <w:szCs w:val="20"/>
                    </w:rPr>
                  </w:pPr>
                  <w:r>
                    <w:rPr>
                      <w:rFonts w:hint="default" w:ascii="Calibri" w:hAnsi="Calibri"/>
                      <w:b/>
                      <w:bCs/>
                      <w:sz w:val="20"/>
                      <w:szCs w:val="20"/>
                    </w:rPr>
                    <w:t>Spirit Bay</w:t>
                  </w:r>
                </w:p>
                <w:p w14:paraId="1F8730EC">
                  <w:pPr>
                    <w:spacing w:after="0" w:line="240" w:lineRule="auto"/>
                    <w:rPr>
                      <w:rFonts w:ascii="Calibri" w:hAnsi="Calibri" w:cs="Calibri"/>
                      <w:b/>
                      <w:bCs/>
                      <w:sz w:val="20"/>
                      <w:szCs w:val="20"/>
                    </w:rPr>
                  </w:pPr>
                </w:p>
                <w:p w14:paraId="5153DA7F">
                  <w:pPr>
                    <w:spacing w:after="0" w:line="240" w:lineRule="auto"/>
                    <w:rPr>
                      <w:rFonts w:ascii="Calibri" w:hAnsi="Calibri" w:cs="Calibri"/>
                      <w:b/>
                      <w:bCs/>
                      <w:sz w:val="20"/>
                      <w:szCs w:val="20"/>
                    </w:rPr>
                  </w:pPr>
                </w:p>
              </w:tc>
              <w:tc>
                <w:tcPr>
                  <w:tcW w:w="2647" w:type="dxa"/>
                </w:tcPr>
                <w:p w14:paraId="18F2157A">
                  <w:pPr>
                    <w:spacing w:after="0" w:line="240" w:lineRule="auto"/>
                    <w:rPr>
                      <w:rFonts w:ascii="Calibri" w:hAnsi="Calibri" w:cs="Calibri"/>
                      <w:sz w:val="20"/>
                      <w:szCs w:val="20"/>
                    </w:rPr>
                  </w:pPr>
                  <w:r>
                    <w:rPr>
                      <w:rFonts w:hint="default" w:ascii="Calibri" w:hAnsi="Calibri"/>
                      <w:sz w:val="20"/>
                      <w:szCs w:val="20"/>
                    </w:rPr>
                    <w:t>The #1 player in Indonesia and #2 in Singapore and Malaysia with US$400mm EBITDA for FY2020 (40% YoY growth). However, it is 60% owned by a Global Sponsor and undergoing aggressive cost-cutting, which may limit operational flexibility.</w:t>
                  </w:r>
                </w:p>
              </w:tc>
              <w:tc>
                <w:tcPr>
                  <w:tcW w:w="2893" w:type="dxa"/>
                </w:tcPr>
                <w:p w14:paraId="1A2EB85F">
                  <w:pPr>
                    <w:spacing w:after="0" w:line="240" w:lineRule="auto"/>
                    <w:rPr>
                      <w:rFonts w:ascii="Calibri" w:hAnsi="Calibri" w:cs="Calibri"/>
                      <w:sz w:val="20"/>
                      <w:szCs w:val="20"/>
                    </w:rPr>
                  </w:pPr>
                  <w:r>
                    <w:rPr>
                      <w:rFonts w:hint="default" w:ascii="Calibri" w:hAnsi="Calibri"/>
                      <w:sz w:val="20"/>
                      <w:szCs w:val="20"/>
                    </w:rPr>
                    <w:t>Relevant due to its market dominance in Indonesia and attractive growth metrics. However, the involvement of a Global Sponsor and cost-cutting measures may complicate integration with WorldWide Brewing’s operations.</w:t>
                  </w:r>
                </w:p>
              </w:tc>
              <w:tc>
                <w:tcPr>
                  <w:tcW w:w="2350" w:type="dxa"/>
                </w:tcPr>
                <w:p w14:paraId="0D63E031">
                  <w:pPr>
                    <w:spacing w:after="0" w:line="240" w:lineRule="auto"/>
                    <w:rPr>
                      <w:rFonts w:hint="default" w:ascii="Calibri" w:hAnsi="Calibri" w:cs="Calibri"/>
                      <w:b/>
                      <w:bCs/>
                      <w:sz w:val="20"/>
                      <w:szCs w:val="20"/>
                      <w:lang w:val="en-US"/>
                    </w:rPr>
                  </w:pPr>
                  <w:r>
                    <w:rPr>
                      <w:rFonts w:hint="default" w:ascii="Calibri" w:hAnsi="Calibri" w:cs="Calibri"/>
                      <w:b/>
                      <w:bCs/>
                      <w:sz w:val="20"/>
                      <w:szCs w:val="20"/>
                      <w:lang w:val="en-US"/>
                    </w:rPr>
                    <w:t>Recommend</w:t>
                  </w:r>
                </w:p>
              </w:tc>
            </w:tr>
            <w:tr w14:paraId="42F211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tcPr>
                <w:p w14:paraId="1D52A033">
                  <w:pPr>
                    <w:spacing w:after="0" w:line="240" w:lineRule="auto"/>
                    <w:rPr>
                      <w:rFonts w:ascii="Calibri" w:hAnsi="Calibri" w:cs="Calibri"/>
                      <w:b/>
                      <w:bCs/>
                      <w:sz w:val="20"/>
                      <w:szCs w:val="20"/>
                    </w:rPr>
                  </w:pPr>
                </w:p>
                <w:p w14:paraId="6099C0D4">
                  <w:pPr>
                    <w:spacing w:after="0" w:line="240" w:lineRule="auto"/>
                    <w:rPr>
                      <w:rFonts w:ascii="Calibri" w:hAnsi="Calibri" w:cs="Calibri"/>
                      <w:b/>
                      <w:bCs/>
                      <w:sz w:val="20"/>
                      <w:szCs w:val="20"/>
                    </w:rPr>
                  </w:pPr>
                  <w:r>
                    <w:rPr>
                      <w:rFonts w:hint="default" w:ascii="Calibri" w:hAnsi="Calibri"/>
                      <w:b/>
                      <w:bCs/>
                      <w:sz w:val="20"/>
                      <w:szCs w:val="20"/>
                    </w:rPr>
                    <w:t>Hipsters’ Ale</w:t>
                  </w:r>
                </w:p>
                <w:p w14:paraId="39C9B5A1">
                  <w:pPr>
                    <w:spacing w:after="0" w:line="240" w:lineRule="auto"/>
                    <w:rPr>
                      <w:rFonts w:ascii="Calibri" w:hAnsi="Calibri" w:cs="Calibri"/>
                      <w:b/>
                      <w:bCs/>
                      <w:sz w:val="20"/>
                      <w:szCs w:val="20"/>
                    </w:rPr>
                  </w:pPr>
                </w:p>
                <w:p w14:paraId="4A5F2EC8">
                  <w:pPr>
                    <w:spacing w:after="0" w:line="240" w:lineRule="auto"/>
                    <w:rPr>
                      <w:rFonts w:ascii="Calibri" w:hAnsi="Calibri" w:cs="Calibri"/>
                      <w:b/>
                      <w:bCs/>
                      <w:sz w:val="20"/>
                      <w:szCs w:val="20"/>
                    </w:rPr>
                  </w:pPr>
                </w:p>
                <w:p w14:paraId="08AFD947">
                  <w:pPr>
                    <w:spacing w:after="0" w:line="240" w:lineRule="auto"/>
                    <w:rPr>
                      <w:rFonts w:ascii="Calibri" w:hAnsi="Calibri" w:cs="Calibri"/>
                      <w:b/>
                      <w:bCs/>
                      <w:sz w:val="20"/>
                      <w:szCs w:val="20"/>
                    </w:rPr>
                  </w:pPr>
                </w:p>
              </w:tc>
              <w:tc>
                <w:tcPr>
                  <w:tcW w:w="2647" w:type="dxa"/>
                </w:tcPr>
                <w:p w14:paraId="5D2F20CE">
                  <w:pPr>
                    <w:spacing w:after="0" w:line="240" w:lineRule="auto"/>
                    <w:rPr>
                      <w:rFonts w:ascii="Calibri" w:hAnsi="Calibri" w:cs="Calibri"/>
                      <w:sz w:val="20"/>
                      <w:szCs w:val="20"/>
                    </w:rPr>
                  </w:pPr>
                  <w:r>
                    <w:rPr>
                      <w:rFonts w:hint="default" w:ascii="Calibri" w:hAnsi="Calibri"/>
                      <w:sz w:val="20"/>
                      <w:szCs w:val="20"/>
                    </w:rPr>
                    <w:t>A Malaysian company operating in multiple regions with US$200mm EBITDA for FY2020 (15% YoY growth). The ownership structure, comprising 30 independent breweries, could complicate the acquisition process.</w:t>
                  </w:r>
                </w:p>
              </w:tc>
              <w:tc>
                <w:tcPr>
                  <w:tcW w:w="2893" w:type="dxa"/>
                </w:tcPr>
                <w:p w14:paraId="740A5886">
                  <w:pPr>
                    <w:spacing w:after="0" w:line="240" w:lineRule="auto"/>
                    <w:rPr>
                      <w:rFonts w:ascii="Calibri" w:hAnsi="Calibri" w:cs="Calibri"/>
                      <w:sz w:val="20"/>
                      <w:szCs w:val="20"/>
                    </w:rPr>
                  </w:pPr>
                  <w:r>
                    <w:rPr>
                      <w:rFonts w:hint="default" w:ascii="Calibri" w:hAnsi="Calibri"/>
                      <w:sz w:val="20"/>
                      <w:szCs w:val="20"/>
                    </w:rPr>
                    <w:t>Moderately relevant given its regional presence and steady growth, but the complex ownership structure of 30 independent breweries could present significant integration challenges.</w:t>
                  </w:r>
                </w:p>
              </w:tc>
              <w:tc>
                <w:tcPr>
                  <w:tcW w:w="2350" w:type="dxa"/>
                </w:tcPr>
                <w:p w14:paraId="4BF2F6C7">
                  <w:pPr>
                    <w:spacing w:after="0" w:line="240" w:lineRule="auto"/>
                    <w:rPr>
                      <w:rFonts w:hint="default" w:ascii="Calibri" w:hAnsi="Calibri" w:cs="Calibri"/>
                      <w:b/>
                      <w:bCs/>
                      <w:sz w:val="20"/>
                      <w:szCs w:val="20"/>
                      <w:lang w:val="en-US"/>
                    </w:rPr>
                  </w:pPr>
                  <w:r>
                    <w:rPr>
                      <w:rFonts w:hint="default" w:ascii="Calibri" w:hAnsi="Calibri" w:cs="Calibri"/>
                      <w:b/>
                      <w:bCs/>
                      <w:sz w:val="20"/>
                      <w:szCs w:val="20"/>
                      <w:lang w:val="en-US"/>
                    </w:rPr>
                    <w:t>Recomend</w:t>
                  </w:r>
                </w:p>
              </w:tc>
            </w:tr>
            <w:tr w14:paraId="4B9B75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tcPr>
                <w:p w14:paraId="3A4FDEF2">
                  <w:pPr>
                    <w:spacing w:after="0" w:line="240" w:lineRule="auto"/>
                    <w:rPr>
                      <w:rFonts w:hint="default" w:ascii="Calibri" w:hAnsi="Calibri" w:cs="Calibri"/>
                      <w:b/>
                      <w:bCs/>
                      <w:sz w:val="20"/>
                      <w:szCs w:val="20"/>
                      <w:lang w:val="en-US"/>
                    </w:rPr>
                  </w:pPr>
                  <w:r>
                    <w:rPr>
                      <w:rFonts w:hint="default" w:ascii="Calibri" w:hAnsi="Calibri"/>
                      <w:b/>
                      <w:bCs/>
                      <w:sz w:val="20"/>
                      <w:szCs w:val="20"/>
                    </w:rPr>
                    <w:t>Brew Co</w:t>
                  </w:r>
                  <w:r>
                    <w:rPr>
                      <w:rFonts w:hint="default" w:ascii="Calibri" w:hAnsi="Calibri"/>
                      <w:b/>
                      <w:bCs/>
                      <w:sz w:val="20"/>
                      <w:szCs w:val="20"/>
                      <w:lang w:val="en-US"/>
                    </w:rPr>
                    <w:t>.</w:t>
                  </w:r>
                </w:p>
                <w:p w14:paraId="27271D95">
                  <w:pPr>
                    <w:spacing w:after="0" w:line="240" w:lineRule="auto"/>
                    <w:rPr>
                      <w:rFonts w:ascii="Calibri" w:hAnsi="Calibri" w:cs="Calibri"/>
                      <w:b/>
                      <w:bCs/>
                      <w:sz w:val="20"/>
                      <w:szCs w:val="20"/>
                    </w:rPr>
                  </w:pPr>
                </w:p>
                <w:p w14:paraId="6CB58894">
                  <w:pPr>
                    <w:spacing w:after="0" w:line="240" w:lineRule="auto"/>
                    <w:rPr>
                      <w:rFonts w:ascii="Calibri" w:hAnsi="Calibri" w:cs="Calibri"/>
                      <w:b/>
                      <w:bCs/>
                      <w:sz w:val="20"/>
                      <w:szCs w:val="20"/>
                    </w:rPr>
                  </w:pPr>
                </w:p>
                <w:p w14:paraId="06DF251F">
                  <w:pPr>
                    <w:spacing w:after="0" w:line="240" w:lineRule="auto"/>
                    <w:rPr>
                      <w:rFonts w:ascii="Calibri" w:hAnsi="Calibri" w:cs="Calibri"/>
                      <w:b/>
                      <w:bCs/>
                      <w:sz w:val="20"/>
                      <w:szCs w:val="20"/>
                    </w:rPr>
                  </w:pPr>
                </w:p>
                <w:p w14:paraId="18235D7E">
                  <w:pPr>
                    <w:spacing w:after="0" w:line="240" w:lineRule="auto"/>
                    <w:rPr>
                      <w:rFonts w:ascii="Calibri" w:hAnsi="Calibri" w:cs="Calibri"/>
                      <w:b/>
                      <w:bCs/>
                      <w:sz w:val="20"/>
                      <w:szCs w:val="20"/>
                    </w:rPr>
                  </w:pPr>
                </w:p>
              </w:tc>
              <w:tc>
                <w:tcPr>
                  <w:tcW w:w="2647" w:type="dxa"/>
                </w:tcPr>
                <w:p w14:paraId="1FC65F4D">
                  <w:pPr>
                    <w:spacing w:after="0" w:line="240" w:lineRule="auto"/>
                    <w:rPr>
                      <w:rFonts w:ascii="Calibri" w:hAnsi="Calibri" w:cs="Calibri"/>
                      <w:sz w:val="20"/>
                      <w:szCs w:val="20"/>
                    </w:rPr>
                  </w:pPr>
                  <w:r>
                    <w:rPr>
                      <w:rFonts w:hint="default" w:ascii="Calibri" w:hAnsi="Calibri"/>
                      <w:sz w:val="20"/>
                      <w:szCs w:val="20"/>
                    </w:rPr>
                    <w:t>Malaysia’s #1 alcohol manufacturing player with US$800mm EBITDA for FY2020 (5% YoY decline). While it offers scale, its non-integrated operations and public listing on Bursa Malaysia may not align with WorldWide Brewing’s preference for end-to-end production and distribution capabilities.</w:t>
                  </w:r>
                </w:p>
              </w:tc>
              <w:tc>
                <w:tcPr>
                  <w:tcW w:w="2893" w:type="dxa"/>
                </w:tcPr>
                <w:p w14:paraId="1842CD1D">
                  <w:pPr>
                    <w:spacing w:after="0" w:line="240" w:lineRule="auto"/>
                    <w:rPr>
                      <w:rFonts w:ascii="Calibri" w:hAnsi="Calibri" w:cs="Calibri"/>
                      <w:sz w:val="20"/>
                      <w:szCs w:val="20"/>
                    </w:rPr>
                  </w:pPr>
                  <w:r>
                    <w:rPr>
                      <w:rFonts w:hint="default" w:ascii="Calibri" w:hAnsi="Calibri"/>
                      <w:sz w:val="20"/>
                      <w:szCs w:val="20"/>
                    </w:rPr>
                    <w:t>Limited relevance due to its non-integrated operations and declining EBITDA. While it offers scale as Malaysia’s #1 alcohol manufacturer, its public listing adds complexity to acquisition feasibility.</w:t>
                  </w:r>
                </w:p>
              </w:tc>
              <w:tc>
                <w:tcPr>
                  <w:tcW w:w="2350" w:type="dxa"/>
                </w:tcPr>
                <w:p w14:paraId="55C39798">
                  <w:pPr>
                    <w:spacing w:after="0" w:line="240" w:lineRule="auto"/>
                    <w:rPr>
                      <w:rFonts w:hint="default" w:ascii="Calibri" w:hAnsi="Calibri" w:cs="Calibri"/>
                      <w:b/>
                      <w:bCs/>
                      <w:sz w:val="20"/>
                      <w:szCs w:val="20"/>
                      <w:lang w:val="en-US"/>
                    </w:rPr>
                  </w:pPr>
                  <w:r>
                    <w:rPr>
                      <w:rFonts w:hint="default" w:ascii="Calibri" w:hAnsi="Calibri" w:cs="Calibri"/>
                      <w:b/>
                      <w:bCs/>
                      <w:sz w:val="20"/>
                      <w:szCs w:val="20"/>
                      <w:lang w:val="en-US"/>
                    </w:rPr>
                    <w:t>Recomend</w:t>
                  </w:r>
                </w:p>
              </w:tc>
            </w:tr>
          </w:tbl>
          <w:p w14:paraId="0A5AED62">
            <w:pPr>
              <w:spacing w:after="0" w:line="240" w:lineRule="auto"/>
              <w:rPr>
                <w:sz w:val="20"/>
                <w:szCs w:val="20"/>
              </w:rPr>
            </w:pPr>
          </w:p>
          <w:p w14:paraId="1BEF0779">
            <w:pPr>
              <w:spacing w:after="0" w:line="240" w:lineRule="auto"/>
              <w:rPr>
                <w:sz w:val="20"/>
                <w:szCs w:val="20"/>
              </w:rPr>
            </w:pPr>
          </w:p>
          <w:p w14:paraId="475DD3B3">
            <w:pPr>
              <w:spacing w:after="0" w:line="240" w:lineRule="auto"/>
              <w:rPr>
                <w:rFonts w:hint="default"/>
                <w:sz w:val="20"/>
                <w:szCs w:val="20"/>
                <w:lang w:val="en-US"/>
              </w:rPr>
            </w:pPr>
            <w:r>
              <w:rPr>
                <w:rFonts w:hint="default"/>
                <w:sz w:val="20"/>
                <w:szCs w:val="20"/>
                <w:lang w:val="en-US"/>
              </w:rPr>
              <w:t>Kiriti Aajad</w:t>
            </w:r>
          </w:p>
          <w:p w14:paraId="16C6237F">
            <w:pPr>
              <w:spacing w:after="0" w:line="240" w:lineRule="auto"/>
              <w:rPr>
                <w:rFonts w:hint="default"/>
                <w:sz w:val="20"/>
                <w:szCs w:val="20"/>
                <w:lang w:val="en-US"/>
              </w:rPr>
            </w:pPr>
            <w:r>
              <w:rPr>
                <w:rFonts w:hint="default"/>
                <w:sz w:val="20"/>
                <w:szCs w:val="20"/>
                <w:lang w:val="en-US"/>
              </w:rPr>
              <w:t>Kiriti.aajad@gmail.com</w:t>
            </w:r>
          </w:p>
          <w:p w14:paraId="29AC49A7">
            <w:pPr>
              <w:spacing w:after="0" w:line="240" w:lineRule="auto"/>
              <w:rPr>
                <w:sz w:val="20"/>
                <w:szCs w:val="20"/>
              </w:rPr>
            </w:pPr>
          </w:p>
          <w:p w14:paraId="5CF1D96A">
            <w:pPr>
              <w:spacing w:after="0" w:line="240" w:lineRule="auto"/>
              <w:rPr>
                <w:b/>
                <w:i/>
                <w:sz w:val="20"/>
                <w:szCs w:val="20"/>
              </w:rPr>
            </w:pPr>
          </w:p>
        </w:tc>
      </w:tr>
    </w:tbl>
    <w:p w14:paraId="28D81A7E">
      <w:pPr>
        <w:rPr>
          <w:sz w:val="20"/>
          <w:szCs w:val="20"/>
        </w:rPr>
      </w:pP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965"/>
    <w:rsid w:val="000D64E1"/>
    <w:rsid w:val="001931C6"/>
    <w:rsid w:val="0039065E"/>
    <w:rsid w:val="004F2ECF"/>
    <w:rsid w:val="006624F4"/>
    <w:rsid w:val="006776F6"/>
    <w:rsid w:val="00861BD9"/>
    <w:rsid w:val="008E07B5"/>
    <w:rsid w:val="00990745"/>
    <w:rsid w:val="009B6A6C"/>
    <w:rsid w:val="00AF0A56"/>
    <w:rsid w:val="00AF616A"/>
    <w:rsid w:val="00DC3063"/>
    <w:rsid w:val="00DC50E8"/>
    <w:rsid w:val="00DD42CB"/>
    <w:rsid w:val="00E2685D"/>
    <w:rsid w:val="00EC7B2A"/>
    <w:rsid w:val="00F24965"/>
    <w:rsid w:val="60CC396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AU"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161</Words>
  <Characters>920</Characters>
  <Lines>7</Lines>
  <Paragraphs>2</Paragraphs>
  <TotalTime>12</TotalTime>
  <ScaleCrop>false</ScaleCrop>
  <LinksUpToDate>false</LinksUpToDate>
  <CharactersWithSpaces>1079</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2020-04-30T07:35:00Z</dcterms:created>
  <dc:creator>Dylan Jensen</dc:creator>
  <cp:lastModifiedBy>kirit</cp:lastModifiedBy>
  <cp:lastPrinted>2018-09-03T23:29:00Z</cp:lastPrinted>
  <dcterms:modified xsi:type="dcterms:W3CDTF">2025-01-15T13:45:12Z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AD10A2BD3DFA464197C99DE5661A357D_12</vt:lpwstr>
  </property>
</Properties>
</file>