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</w:pPr>
      <w:r>
        <w:rPr>
          <w:rFonts w:ascii="Calibri" w:cs="Calibri" w:eastAsia="Calibri" w:hAnsi="Calibri"/>
          <w:b/>
          <w:bCs/>
          <w:color w:val="0E5A4C"/>
          <w:spacing w:val="26"/>
          <w:sz w:val="16"/>
          <w:szCs w:val="16"/>
        </w:rPr>
        <w:t xml:space="preserve">SMART INDIA HACKATHON  ·  SIH26046  ·  PRODUCT REQUIREMENTS DOCUMENT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4211B"/>
          <w:sz w:val="52"/>
          <w:szCs w:val="52"/>
        </w:rPr>
        <w:t xml:space="preserve">Clinical Trials Dashboard</w:t>
      </w:r>
    </w:p>
    <w:p>
      <w:pPr>
        <w:pBdr>
          <w:bottom w:val="single" w:color="0E5A4C" w:sz="12"/>
        </w:pBdr>
        <w:spacing w:after="220"/>
      </w:pPr>
      <w:r>
        <w:rPr>
          <w:rFonts w:ascii="Calibri" w:cs="Calibri" w:eastAsia="Calibri" w:hAnsi="Calibri"/>
          <w:color w:val="48584F"/>
          <w:sz w:val="22"/>
          <w:szCs w:val="22"/>
        </w:rPr>
        <w:t xml:space="preserve">A monitor-facing prototype that turns five mock trial tables into one screen answering the three questions a trial coordinator asks every morning: who's behind on enrollment, what's unresolved and serious, and what's due next.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FIELD</w:t>
            </w:r>
          </w:p>
        </w:tc>
        <w:tc>
          <w:tcPr>
            <w:tcW w:type="dxa" w:w="65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SIH reference</w:t>
            </w:r>
          </w:p>
        </w:tc>
        <w:tc>
          <w:tcPr>
            <w:tcW w:type="dxa" w:w="65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SIH26046</w:t>
            </w:r>
          </w:p>
        </w:tc>
      </w:tr>
      <w:tr>
        <w:tc>
          <w:tcPr>
            <w:tcW w:type="dxa" w:w="3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Track</w:t>
            </w:r>
          </w:p>
        </w:tc>
        <w:tc>
          <w:tcPr>
            <w:tcW w:type="dxa" w:w="65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Governance &amp; monitoring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Suggested stack</w:t>
            </w:r>
          </w:p>
        </w:tc>
        <w:tc>
          <w:tcPr>
            <w:tcW w:type="dxa" w:w="65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Dashboard + mock dataset</w:t>
            </w:r>
          </w:p>
        </w:tc>
      </w:tr>
      <w:tr>
        <w:tc>
          <w:tcPr>
            <w:tcW w:type="dxa" w:w="3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Build window</w:t>
            </w:r>
          </w:p>
        </w:tc>
        <w:tc>
          <w:tcPr>
            <w:tcW w:type="dxa" w:w="65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3 hours (single-slice MVP)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Draft for team build — v1</w:t>
            </w:r>
          </w:p>
        </w:tc>
      </w:tr>
      <w:tr>
        <w:tc>
          <w:tcPr>
            <w:tcW w:type="dxa" w:w="3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Author</w:t>
            </w:r>
          </w:p>
        </w:tc>
        <w:tc>
          <w:tcPr>
            <w:tcW w:type="dxa" w:w="65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Team, from the SIH26046 problem statement</w:t>
            </w:r>
          </w:p>
        </w:tc>
      </w:tr>
    </w:tbl>
    <w:p>
      <w:pPr>
        <w:spacing w:after="20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/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WHAT "WINNING" MEANS FOR THIS DOCUMENT</w:t>
      </w:r>
    </w:p>
    <w:p>
      <w:pPr>
        <w:spacing w:after="10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This PRD is written against how a 3-hour SIH prototype actually gets judged: does the demo prove the concept end to end, is the concept genuinely useful rather than decorative, and can the team explain every number on screen when a judge asks "where does that come from?" Every requirement below is sized to be either built or explicitly deferred inside the window — there is no requirement here that assumes a fourth hour.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1.  Problem &amp; Context</w:t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PROBLEM STATEMENT (AS GIVEN)</w:t>
      </w:r>
    </w:p>
    <w:p>
      <w:pPr>
        <w:pBdr>
          <w:left w:val="single" w:color="C8D0C4" w:sz="10" w:space="10"/>
        </w:pBdr>
        <w:spacing w:after="100" w:line="280"/>
        <w:ind w:left="280"/>
      </w:pPr>
      <w:r>
        <w:rPr>
          <w:rFonts w:ascii="Calibri" w:cs="Calibri" w:eastAsia="Calibri" w:hAnsi="Calibri"/>
          <w:b/>
          <w:bCs/>
          <w:color w:val="127864"/>
          <w:spacing w:val="14"/>
          <w:sz w:val="18"/>
          <w:szCs w:val="18"/>
        </w:rPr>
        <w:t xml:space="preserve">SIH26046 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Takes mock trial-phase data and builds a dashboard tracking enrollment numbers, adverse events, and upcoming milestones for each trial.</w:t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WHY THIS IS WORTH A DASHBOARD</w:t>
      </w:r>
    </w:p>
    <w:p>
      <w:pPr>
        <w:spacing w:after="10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A multi-site trial produces three streams that are normally read from three different places: a CTMS enrollment report, a safety database for adverse events, and a project plan for milestones. A coordinator or sponsor reviewing trial health has to open all three and reconcile them by hand. The prototype's thesis is narrow and testable: put all three streams against the same trial_id and time axis, apply a small set of named rules, and the person reviewing the portfolio can go from "which trials need my attention today" to "why" in two clicks instead of three spreadsheets.</w:t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EXPLICIT BOUNDARY</w:t>
      </w:r>
    </w:p>
    <w:p>
      <w:pPr>
        <w:pBdr>
          <w:left w:val="single" w:color="C8D0C4" w:sz="10" w:space="10"/>
        </w:pBdr>
        <w:spacing w:after="100" w:line="280"/>
        <w:ind w:left="280"/>
      </w:pPr>
      <w:r>
        <w:rPr>
          <w:rFonts w:ascii="Calibri" w:cs="Calibri" w:eastAsia="Calibri" w:hAnsi="Calibri"/>
          <w:b/>
          <w:bCs/>
          <w:color w:val="8C6210"/>
          <w:spacing w:val="14"/>
          <w:sz w:val="18"/>
          <w:szCs w:val="18"/>
        </w:rPr>
        <w:t xml:space="preserve">Not a clinical tool. 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All data is synthetic. No threshold in this system (AE rate, escalation window, enrollment shortfall) is a clinical, statistical, or regulatory standard — each is a labelled, editable demo constant. The dashboard is a monitoring-workflow prototype, not a pharmacovigilance or safety-signal system, and the interface says so on screen. This boundary is a requirement, not a caveat — see NFR-3.</w:t>
      </w:r>
    </w:p>
    <w:p>
      <w:pPr>
        <w:spacing w:after="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/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REUSED SOURCE MATERIAL</w:t>
      </w:r>
    </w:p>
    <w:p>
      <w:pPr>
        <w:spacing w:after="10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The data model, decision rules and flowchart in this PRD carry over from the SIH26046 blueprint already produced for this build (trials / sites / enrollment / adverse_events / milestones, five tables). This document reframes that blueprint as build-ready requirements: who it's for, what's in and out of the 3-hour cut, and what "done" looks like for a judge.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2.  Users &amp; Jobs To Be Done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700"/>
        <w:gridCol w:w="2100"/>
        <w:gridCol w:w="2700"/>
        <w:gridCol w:w="3246"/>
      </w:tblGrid>
      <w:tr>
        <w:trPr>
          <w:tblHeader/>
        </w:trPr>
        <w:tc>
          <w:tcPr>
            <w:tcW w:type="dxa" w:w="1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PERSONA</w:t>
            </w:r>
          </w:p>
        </w:tc>
        <w:tc>
          <w:tcPr>
            <w:tcW w:type="dxa" w:w="21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CONTEXT</w:t>
            </w:r>
          </w:p>
        </w:tc>
        <w:tc>
          <w:tcPr>
            <w:tcW w:type="dxa" w:w="2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CORE QUESTION</w:t>
            </w:r>
          </w:p>
        </w:tc>
        <w:tc>
          <w:tcPr>
            <w:tcW w:type="dxa" w:w="32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WHAT THE MVP GIVES THEM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 coordinator / CRA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Runs day-to-day monitoring for one or a few trials.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“Which of my sites are behind, and by how many subjects?”</w:t>
            </w:r>
          </w:p>
        </w:tc>
        <w:tc>
          <w:tcPr>
            <w:tcW w:type="dxa" w:w="3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 enrollment table, behind-plan flag with the shortfall stated in subjects.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Sponsor / portfolio lead</w:t>
            </w:r>
          </w:p>
        </w:tc>
        <w:tc>
          <w:tcPr>
            <w:tcW w:type="dxa" w:w="21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Owns a slate of trials, reviews weekly.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“Which trials need me this week, and why?”</w:t>
            </w:r>
          </w:p>
        </w:tc>
        <w:tc>
          <w:tcPr>
            <w:tcW w:type="dxa" w:w="32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Risk-ordered trial cards with a reason string per flag.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Safety reviewer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Tracks adverse events across a trial.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“What's serious and still open?”</w:t>
            </w:r>
          </w:p>
        </w:tc>
        <w:tc>
          <w:tcPr>
            <w:tcW w:type="dxa" w:w="3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Serious-event list with age, escalation flag past the review window.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Hackathon judge</w:t>
            </w:r>
          </w:p>
        </w:tc>
        <w:tc>
          <w:tcPr>
            <w:tcW w:type="dxa" w:w="21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Evaluates the prototype in a 3–5 minute walkthrough.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“Does this actually work, and do they understand what they built?”</w:t>
            </w:r>
          </w:p>
        </w:tc>
        <w:tc>
          <w:tcPr>
            <w:tcW w:type="dxa" w:w="32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scripted flow: portfolio view → flagged card → drill-down → the exact row behind the flag.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3.  Goals &amp; Success Metrics</w:t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PRODUCT GOALS (WHAT THE PROTOTYPE MUST PROVE)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G1 — Unify: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One screen shows enrollment, adverse events and milestones for every trial without switching data sources.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G2 — Explain, not just alert: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Every flag on screen names the record that caused it; nothing is red without a reason.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G3 — Compare fairly: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Adverse-event counts are normalised by exposure (patient-months), so a large old trial is never read against a small new one on raw counts.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G4 — Stay honest under a demo question: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Every number traces back to a visible source row, live, in front of a judge.</w:t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DEMO-DAY SUCCESS METRICS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2200"/>
        <w:gridCol w:w="3900"/>
        <w:gridCol w:w="2646"/>
      </w:tblGrid>
      <w:tr>
        <w:trPr>
          <w:tblHeader/>
        </w:trPr>
        <w:tc>
          <w:tcPr>
            <w:tcW w:type="dxa" w:w="22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METRIC</w:t>
            </w:r>
          </w:p>
        </w:tc>
        <w:tc>
          <w:tcPr>
            <w:tcW w:type="dxa" w:w="39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TARGET</w:t>
            </w:r>
          </w:p>
        </w:tc>
        <w:tc>
          <w:tcPr>
            <w:tcW w:type="dxa" w:w="26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HOW IT'S CHECKED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Time to first insight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 judge can name the worst-performing trial and why within 15 seconds of the dashboard loading.</w:t>
            </w:r>
          </w:p>
        </w:tc>
        <w:tc>
          <w:tcPr>
            <w:tcW w:type="dxa" w:w="26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Cold load → verbal answer, timed in rehearsal.</w:t>
            </w:r>
          </w:p>
        </w:tc>
      </w:tr>
      <w:tr>
        <w:tc>
          <w:tcPr>
            <w:tcW w:type="dxa" w:w="2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Traceability</w:t>
            </w:r>
          </w:p>
        </w:tc>
        <w:tc>
          <w:tcPr>
            <w:tcW w:type="dxa" w:w="3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Every flag shown in the demo can be clicked through to its source row in under 3 clicks.</w:t>
            </w:r>
          </w:p>
        </w:tc>
        <w:tc>
          <w:tcPr>
            <w:tcW w:type="dxa" w:w="26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Card → drill-down → highlighted row.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Internal consistency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Filtering by phase or region never produces a number in one panel that disagrees with another.</w:t>
            </w:r>
          </w:p>
        </w:tc>
        <w:tc>
          <w:tcPr>
            <w:tcW w:type="dxa" w:w="26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Manual cross-check: tile counts vs. table row counts, filtered.</w:t>
            </w:r>
          </w:p>
        </w:tc>
      </w:tr>
      <w:tr>
        <w:tc>
          <w:tcPr>
            <w:tcW w:type="dxa" w:w="2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Recovers from a bad question</w:t>
            </w:r>
          </w:p>
        </w:tc>
        <w:tc>
          <w:tcPr>
            <w:tcW w:type="dxa" w:w="3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Team can answer “what if this trial has zero enrolled subjects?” or “what if a milestone has no actual date?” live, without the app breaking.</w:t>
            </w:r>
          </w:p>
        </w:tc>
        <w:tc>
          <w:tcPr>
            <w:tcW w:type="dxa" w:w="26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Live edge-case walkthrough using seeded rows (see §6).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4.  Scope for the 3-Hour Build</w:t>
      </w:r>
    </w:p>
    <w:p>
      <w:pPr>
        <w:spacing w:after="18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Scored MoSCoW against the clock, not against an ideal product. “Must” is the vertical slice that has to be true for the demo to work at all; everything below it is what makes the demo persuasive rather than merely functional.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400"/>
        <w:gridCol w:w="7146"/>
        <w:gridCol w:w="1200"/>
      </w:tblGrid>
      <w:tr>
        <w:trPr>
          <w:tblHeader/>
        </w:trPr>
        <w:tc>
          <w:tcPr>
            <w:tcW w:type="dxa" w:w="14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TIER</w:t>
            </w:r>
          </w:p>
        </w:tc>
        <w:tc>
          <w:tcPr>
            <w:tcW w:type="dxa" w:w="71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ITEM</w:t>
            </w:r>
          </w:p>
        </w:tc>
        <w:tc>
          <w:tcPr>
            <w:tcW w:type="dxa" w:w="12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  <w:tc>
          <w:tcPr>
            <w:tcW w:type="dxa" w:w="7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Load 5 mock CSVs → one trial card computing enrollment progress, AE summary and next milestone correctly, end to end.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  <w:tc>
          <w:tcPr>
            <w:tcW w:type="dxa" w:w="7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Behind-plan, AE-rate, serious-unresolved and non-enrolling-site flag rules, each carrying a human-readable reason.</w:t>
            </w:r>
          </w:p>
        </w:tc>
        <w:tc>
          <w:tcPr>
            <w:tcW w:type="dxa" w:w="1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  <w:tc>
          <w:tcPr>
            <w:tcW w:type="dxa" w:w="7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Portfolio view (all trial cards) → click-through to a per-trial drill-down (sites, AE table, milestone timeline).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  <w:tc>
          <w:tcPr>
            <w:tcW w:type="dxa" w:w="7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Filters by phase, trial and region that recompute every panel from one filtered frame.</w:t>
            </w:r>
          </w:p>
        </w:tc>
        <w:tc>
          <w:tcPr>
            <w:tcW w:type="dxa" w:w="1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  <w:tc>
          <w:tcPr>
            <w:tcW w:type="dxa" w:w="7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Cumulative-enrollment-vs-plan chart and a milestone horizon chart.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  <w:tc>
          <w:tcPr>
            <w:tcW w:type="dxa" w:w="7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CSV export of flagged trials with reasons.</w:t>
            </w:r>
          </w:p>
        </w:tc>
        <w:tc>
          <w:tcPr>
            <w:tcW w:type="dxa" w:w="1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8C6210"/>
                <w:sz w:val="19"/>
                <w:szCs w:val="19"/>
              </w:rPr>
              <w:t xml:space="preserve">COULD</w:t>
            </w:r>
          </w:p>
        </w:tc>
        <w:tc>
          <w:tcPr>
            <w:tcW w:type="dxa" w:w="7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Config panel exposing the flag thresholds live, so a judge can move a slider and watch a flag change state.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8C6210"/>
                <w:sz w:val="19"/>
                <w:szCs w:val="19"/>
              </w:rPr>
              <w:t xml:space="preserve">COULD</w:t>
            </w:r>
          </w:p>
        </w:tc>
        <w:tc>
          <w:tcPr>
            <w:tcW w:type="dxa" w:w="7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Site-level compliance sub-score alongside the trial-level flags.</w:t>
            </w:r>
          </w:p>
        </w:tc>
        <w:tc>
          <w:tcPr>
            <w:tcW w:type="dxa" w:w="1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9E4632"/>
                <w:sz w:val="19"/>
                <w:szCs w:val="19"/>
              </w:rPr>
              <w:t xml:space="preserve">WON'T (this build)</w:t>
            </w:r>
          </w:p>
        </w:tc>
        <w:tc>
          <w:tcPr>
            <w:tcW w:type="dxa" w:w="7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Any real-patient data source, EDC/CTMS integration, authentication, or multi-user editing.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9E4632"/>
                <w:sz w:val="19"/>
                <w:szCs w:val="19"/>
              </w:rPr>
              <w:t xml:space="preserve">WON'T (this build)</w:t>
            </w:r>
          </w:p>
        </w:tc>
        <w:tc>
          <w:tcPr>
            <w:tcW w:type="dxa" w:w="7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Statistical significance testing on AE rates, or any claim of a safety signal.</w:t>
            </w:r>
          </w:p>
        </w:tc>
        <w:tc>
          <w:tcPr>
            <w:tcW w:type="dxa" w:w="1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5.  Data Model (Mock Dataset)</w:t>
      </w:r>
    </w:p>
    <w:p>
      <w:pPr>
        <w:spacing w:after="18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Five CSVs, joined on trial_id and site_id. This is the minimum shape that can express all three things the problem statement names — enrollment, adverse events, milestones — declared up front rather than improvised mid-build.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700"/>
        <w:gridCol w:w="3900"/>
        <w:gridCol w:w="4146"/>
      </w:tblGrid>
      <w:tr>
        <w:trPr>
          <w:tblHeader/>
        </w:trPr>
        <w:tc>
          <w:tcPr>
            <w:tcW w:type="dxa" w:w="1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FILE</w:t>
            </w:r>
          </w:p>
        </w:tc>
        <w:tc>
          <w:tcPr>
            <w:tcW w:type="dxa" w:w="39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KEY COLUMNS</w:t>
            </w:r>
          </w:p>
        </w:tc>
        <w:tc>
          <w:tcPr>
            <w:tcW w:type="dxa" w:w="41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trials.csv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trial_id, title, phase, status, target_enrollment, planned_start, planned_end</w:t>
            </w:r>
          </w:p>
        </w:tc>
        <w:tc>
          <w:tcPr>
            <w:tcW w:type="dxa" w:w="4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row per trial. phase and status drive the portfolio badges.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sites.csv</w:t>
            </w:r>
          </w:p>
        </w:tc>
        <w:tc>
          <w:tcPr>
            <w:tcW w:type="dxa" w:w="3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site_id, trial_id, site_name, region, target_enrollment, activation_date</w:t>
            </w:r>
          </w:p>
        </w:tc>
        <w:tc>
          <w:tcPr>
            <w:tcW w:type="dxa" w:w="4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row per site. Feeds the non-enrolling-site flag and regional filters.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enrollment.csv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subject_id, trial_id, site_id, screened_date, enrolled_date*, screen_fail_reason, withdrawn_date*</w:t>
            </w:r>
          </w:p>
        </w:tc>
        <w:tc>
          <w:tcPr>
            <w:tcW w:type="dxa" w:w="4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row per subject. *nullable — drives the screened → enrolled → active → withdrawn funnel.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adverse_events.csv</w:t>
            </w:r>
          </w:p>
        </w:tc>
        <w:tc>
          <w:tcPr>
            <w:tcW w:type="dxa" w:w="3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ae_id, trial_id, site_id, subject_id, onset_date, term, severity_grade, serious_flag, outcome, resolved_date*</w:t>
            </w:r>
          </w:p>
        </w:tc>
        <w:tc>
          <w:tcPr>
            <w:tcW w:type="dxa" w:w="41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row per event. *nullable resolved_date drives the unresolved / escalation logic.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milestones.csv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milestone_id, trial_id, type, planned_date, actual_date*</w:t>
            </w:r>
          </w:p>
        </w:tc>
        <w:tc>
          <w:tcPr>
            <w:tcW w:type="dxa" w:w="41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row per milestone. *nullable actual_date drives done / overdue / due-soon.</w:t>
            </w:r>
          </w:p>
        </w:tc>
      </w:tr>
    </w:tbl>
    <w:p>
      <w:pPr>
        <w:spacing w:after="10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/>
      </w:r>
    </w:p>
    <w:p>
      <w:pPr>
        <w:pStyle w:val="Heading2"/>
        <w:pBdr>
          <w:bottom w:val="single" w:color="C8D0C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5A6B62"/>
          <w:spacing w:val="24"/>
          <w:sz w:val="16"/>
          <w:szCs w:val="16"/>
        </w:rPr>
        <w:t xml:space="preserve">CONFIG CONSTANTS (ALL EDITABLE, ALL LABELLED AS DEMO VALUES)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as_of_date — pinned rather than the machine clock, so the demo reproduces identically on judging day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milestone_horizon_days — how far ahead a milestone counts as “due soon” rather than “future”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enrollment_shortfall_threshold — how far behind the expected fraction of elapsed timeline trips the behind-plan flag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min_exposure_patient_months — below this, an AE rate is suppressed as statistically unstable and only the raw count is shown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ae_rate_alert — the per-100-patient-months rate that trips the AE flag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serious_event_review_window_days — how long a serious event can stay unresolved before it escalates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6.  Functional Requirements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720"/>
        <w:gridCol w:w="1900"/>
        <w:gridCol w:w="5326"/>
        <w:gridCol w:w="1800"/>
      </w:tblGrid>
      <w:tr>
        <w:trPr>
          <w:tblHeader/>
        </w:trPr>
        <w:tc>
          <w:tcPr>
            <w:tcW w:type="dxa" w:w="72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532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DEFINITION</w:t>
            </w:r>
          </w:p>
        </w:tc>
        <w:tc>
          <w:tcPr>
            <w:tcW w:type="dxa" w:w="18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Enrollment funnel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Compute screened, enrolled, active (enrolled and not withdrawn), and withdrawn counts per trial and per site.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FR-2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Enrollment progress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progress = active ÷ target_enrollment, shown as a bar on the trial card and the site table.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Behind-plan flag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Flag a trial when progress trails the expected fraction of elapsed timeline by more than the configured threshold; the reason names the shortfall in subjects.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FR-4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Exposure calculation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Sum each subject's days on study (enrolled to withdrawal or as-of date) into patient-months, per trial.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AE aggregation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Total events, count by severity grade, serious count, unresolved count and age, and rate per 100 patient-months, per trial.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FR-6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Rate suppression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Below the minimum exposure, show the raw AE count only and label the rate “not yet stable” instead of computing it.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Serious-event escalation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Flag a serious, unresolved event once its age passes the review window; the reason names the event and its age.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FR-8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Milestone resolution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Classify each milestone as done (with days early/late), overdue (with days late), due within horizon, or future, against the as-of date.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FR-9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Non-enrolling-site flag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Flag a site that has been active longer than a configured grace period with zero enrolled subjects.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FR-10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 card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One card per trial: phase badge, enrollment bar, AE summary with severity split, next milestone with days remaining, and the flag list with reasons.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FR-11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Drill-down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Per-trial detail: site enrollment table, AE table by grade with unresolved rows highlighted, milestone timeline (planned vs. actual).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FR-12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Traceable flags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Clicking any flag opens the drill-down scrolled and highlighted to the record that caused it.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FR-13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Filters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Phase, trial and region filters recompute every panel — cards, charts, tables — from one filtered frame.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FR-14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Charts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Cumulative enrollment vs. planned curve; AE by severity grade; milestone horizon.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Export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CSV export of every flagged trial with the reason behind each flag.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27864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72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FR-16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Data-quality guard</w:t>
            </w:r>
          </w:p>
        </w:tc>
        <w:tc>
          <w:tcPr>
            <w:tcW w:type="dxa" w:w="532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 subject, event or milestone that references an unknown trial_id or site_id is quarantined, not silently dropped or crashed on, and counted in a visible data-quality line.</w:t>
            </w:r>
          </w:p>
        </w:tc>
        <w:tc>
          <w:tcPr>
            <w:tcW w:type="dxa" w:w="18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FR-17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Empty / edge states</w:t>
            </w:r>
          </w:p>
        </w:tc>
        <w:tc>
          <w:tcPr>
            <w:tcW w:type="dxa" w:w="53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 trial with zero inspections, a site with zero subjects, and a filter with zero matches each render a named empty state, never a blank panel.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E5A4C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7.  Non-Functional Requirements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NFR-1 — Determinism: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Given the same five CSVs and the same as_of_date, every number on screen must reproduce exactly. No random sampling, no live wall-clock dependency.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NFR-2 — Performance: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Full recompute from a filter change renders in under 1 second against the mock dataset size (tens of trials, hundreds of subjects and events).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NFR-3 — Honesty banner: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A persistent, visible label states that all data is synthetic and all thresholds are demo constants, not clinical or regulatory standards. This is a requirement, checked in the demo script, not a footnote.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NFR-4 — Legibility under flag color: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Every flagged state pairs color with a text label or icon — never color alone — since a judge may be reading a shared screen or a photo of it.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Calibri" w:cs="Calibri" w:eastAsia="Calibri" w:hAnsi="Calibri"/>
          <w:b/>
          <w:bCs/>
          <w:color w:val="1A2620"/>
          <w:sz w:val="21"/>
          <w:szCs w:val="21"/>
        </w:rPr>
        <w:t xml:space="preserve">NFR-5 — Config visibility: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Every threshold used in a rule is visible somewhere in the UI (a config panel, or at minimum a tooltip), not buried only in source code.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8.  Screen Inventory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700"/>
        <w:gridCol w:w="2700"/>
        <w:gridCol w:w="2646"/>
        <w:gridCol w:w="2700"/>
      </w:tblGrid>
      <w:tr>
        <w:trPr>
          <w:tblHeader/>
        </w:trPr>
        <w:tc>
          <w:tcPr>
            <w:tcW w:type="dxa" w:w="1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SCREEN</w:t>
            </w:r>
          </w:p>
        </w:tc>
        <w:tc>
          <w:tcPr>
            <w:tcW w:type="dxa" w:w="2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CONTENTS</w:t>
            </w:r>
          </w:p>
        </w:tc>
        <w:tc>
          <w:tcPr>
            <w:tcW w:type="dxa" w:w="26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INTERACTION</w:t>
            </w:r>
          </w:p>
        </w:tc>
        <w:tc>
          <w:tcPr>
            <w:tcW w:type="dxa" w:w="2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Portfolio view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Grid of trial cards, sorted risk-first (most flags / most severe flag on top).</w:t>
            </w:r>
          </w:p>
        </w:tc>
        <w:tc>
          <w:tcPr>
            <w:tcW w:type="dxa" w:w="26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Phase, trial, region filters; a global flag-reason legend.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This is the screen a judge sees first — it must answer “what needs attention” without a click.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 card (component)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Phase badge, enrollment bar with active/withdrawn split, AE summary, next milestone countdown, flag chips.</w:t>
            </w:r>
          </w:p>
        </w:tc>
        <w:tc>
          <w:tcPr>
            <w:tcW w:type="dxa" w:w="26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Click → opens drill-down; hover on a flag chip → shows its reason string.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Reused identically in the portfolio grid and at the top of the drill-down, so the transition feels continuous.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 drill-down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 enrollment table, AE table by severity grade (unresolved rows highlighted), milestone timeline (planned vs. actual).</w:t>
            </w:r>
          </w:p>
        </w:tc>
        <w:tc>
          <w:tcPr>
            <w:tcW w:type="dxa" w:w="26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Click a flag on the card above → scrolls to and highlights the causing row.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This is where “where does that number come from” gets answered live.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Charts panel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Cumulative enrollment vs. plan; AE by severity; milestone horizon.</w:t>
            </w:r>
          </w:p>
        </w:tc>
        <w:tc>
          <w:tcPr>
            <w:tcW w:type="dxa" w:w="26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Responds to the active filters.</w:t>
            </w:r>
          </w:p>
        </w:tc>
        <w:tc>
          <w:tcPr>
            <w:tcW w:type="dxa" w:w="2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Optional if time is short — cut before the drill-down, never before it.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Config / legend panel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Every threshold constant, labelled, with its current value.</w:t>
            </w:r>
          </w:p>
        </w:tc>
        <w:tc>
          <w:tcPr>
            <w:tcW w:type="dxa" w:w="26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Read-only is enough; editable is a stretch (see §4, COULD).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Doubles as the on-screen disclaimer required by NFR-3.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9.  Flag Rule Reference</w:t>
      </w:r>
    </w:p>
    <w:p>
      <w:pPr>
        <w:spacing w:after="16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Carried over from the SIH26046 workflow blueprint, restated here as the exact logic each requirement above must implement.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700"/>
        <w:gridCol w:w="3200"/>
        <w:gridCol w:w="4846"/>
      </w:tblGrid>
      <w:tr>
        <w:trPr>
          <w:tblHeader/>
        </w:trPr>
        <w:tc>
          <w:tcPr>
            <w:tcW w:type="dxa" w:w="1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FLAG</w:t>
            </w:r>
          </w:p>
        </w:tc>
        <w:tc>
          <w:tcPr>
            <w:tcW w:type="dxa" w:w="32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CONDITION</w:t>
            </w:r>
          </w:p>
        </w:tc>
        <w:tc>
          <w:tcPr>
            <w:tcW w:type="dxa" w:w="48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REASON STRING (TEMPLATE)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Behind-plan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progress &lt; expected_fraction(elapsed_time) − shortfall_threshold</w:t>
            </w:r>
          </w:p>
        </w:tc>
        <w:tc>
          <w:tcPr>
            <w:tcW w:type="dxa" w:w="48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“{trial} is N subjects behind the expected pace at this point in enrollment.”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Enrollment stalled</w:t>
            </w:r>
          </w:p>
        </w:tc>
        <w:tc>
          <w:tcPr>
            <w:tcW w:type="dxa" w:w="3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trailing-window enrollment velocity = 0</w:t>
            </w:r>
          </w:p>
        </w:tc>
        <w:tc>
          <w:tcPr>
            <w:tcW w:type="dxa" w:w="48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“No subjects enrolled at {trial} in the last {window}.” No projected completion date is shown.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AE rate alert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AE rate per 100 patient-months &gt; ae_rate_alert, AND exposure ≥ min_exposure</w:t>
            </w:r>
          </w:p>
        </w:tc>
        <w:tc>
          <w:tcPr>
            <w:tcW w:type="dxa" w:w="48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“{trial} AE rate is N per 100 patient-months, above the {ae_rate_alert} alert level.”</w:t>
            </w:r>
          </w:p>
        </w:tc>
      </w:tr>
      <w:tr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Serious-event escalation</w:t>
            </w:r>
          </w:p>
        </w:tc>
        <w:tc>
          <w:tcPr>
            <w:tcW w:type="dxa" w:w="3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serious_flag = true AND resolved_date is null AND age &gt; review_window</w:t>
            </w:r>
          </w:p>
        </w:tc>
        <w:tc>
          <w:tcPr>
            <w:tcW w:type="dxa" w:w="48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“Serious event {ae_id} at {trial} has been open {N} days, past the {window}-day review window.”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Non-enrolling site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site active &gt; grace_period AND enrolled subjects at that site = 0</w:t>
            </w:r>
          </w:p>
        </w:tc>
        <w:tc>
          <w:tcPr>
            <w:tcW w:type="dxa" w:w="48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“{site} has been active {N} days with zero subjects enrolled.”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10.  3-Hour Build Plan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1400"/>
        <w:gridCol w:w="1900"/>
        <w:gridCol w:w="4746"/>
        <w:gridCol w:w="1700"/>
      </w:tblGrid>
      <w:tr>
        <w:trPr>
          <w:tblHeader/>
        </w:trPr>
        <w:tc>
          <w:tcPr>
            <w:tcW w:type="dxa" w:w="14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WINDOW</w:t>
            </w:r>
          </w:p>
        </w:tc>
        <w:tc>
          <w:tcPr>
            <w:tcW w:type="dxa" w:w="19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FOCUS</w:t>
            </w:r>
          </w:p>
        </w:tc>
        <w:tc>
          <w:tcPr>
            <w:tcW w:type="dxa" w:w="47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WHAT “DONE” LOOKS LIKE</w:t>
            </w:r>
          </w:p>
        </w:tc>
        <w:tc>
          <w:tcPr>
            <w:tcW w:type="dxa" w:w="17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MAPS TO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0–30 min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Data + one card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Load the 5 CSVs; get the enrollment funnel and progress bar correct for one hand-picked trial. No UI polish yet — print the numbers.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FR-1, FR-2</w:t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30–90 min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Full aggregation</w:t>
            </w:r>
          </w:p>
        </w:tc>
        <w:tc>
          <w:tcPr>
            <w:tcW w:type="dxa" w:w="47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Exposure calculation, AE aggregation with severity split, milestone resolution, and all four flag rules with their reason strings, computed for every trial.</w:t>
            </w:r>
          </w:p>
        </w:tc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FR-3–FR-9, §9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90–150 min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Portfolio + drill-down UI</w:t>
            </w:r>
          </w:p>
        </w:tc>
        <w:tc>
          <w:tcPr>
            <w:tcW w:type="dxa" w:w="47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Trial card component, portfolio grid sorted risk-first, and the drill-down with the click-through-to-source-row interaction.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FR-10–FR-12</w:t>
            </w:r>
          </w:p>
        </w:tc>
      </w:tr>
      <w:tr>
        <w:tc>
          <w:tcPr>
            <w:tcW w:type="dxa" w:w="14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150–180 min</w:t>
            </w:r>
          </w:p>
        </w:tc>
        <w:tc>
          <w:tcPr>
            <w:tcW w:type="dxa" w:w="19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Filters, charts, rehearsal</w:t>
            </w:r>
          </w:p>
        </w:tc>
        <w:tc>
          <w:tcPr>
            <w:tcW w:type="dxa" w:w="47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Filters, the two charts if time allows, the config/legend panel, then a full run-through of the demo script (§11) twice.</w:t>
            </w:r>
          </w:p>
        </w:tc>
        <w:tc>
          <w:tcPr>
            <w:tcW w:type="dxa" w:w="17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FR-13–FR-15, NFR-3</w:t>
            </w:r>
          </w:p>
        </w:tc>
      </w:tr>
    </w:tbl>
    <w:p>
      <w:pPr>
        <w:spacing w:after="8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/>
      </w:r>
    </w:p>
    <w:p>
      <w:pPr>
        <w:pBdr>
          <w:left w:val="single" w:color="C8D0C4" w:sz="10" w:space="10"/>
        </w:pBdr>
        <w:spacing w:after="100" w:line="280"/>
        <w:ind w:left="280"/>
      </w:pPr>
      <w:r>
        <w:rPr>
          <w:rFonts w:ascii="Calibri" w:cs="Calibri" w:eastAsia="Calibri" w:hAnsi="Calibri"/>
          <w:b/>
          <w:bCs/>
          <w:color w:val="8C6210"/>
          <w:spacing w:val="14"/>
          <w:sz w:val="18"/>
          <w:szCs w:val="18"/>
        </w:rPr>
        <w:t xml:space="preserve">Cut order if behind schedule:  </w:t>
      </w:r>
      <w:r>
        <w:rPr>
          <w:rFonts w:ascii="Calibri" w:cs="Calibri" w:eastAsia="Calibri" w:hAnsi="Calibri"/>
          <w:color w:val="22302A"/>
          <w:sz w:val="21"/>
          <w:szCs w:val="21"/>
        </w:rPr>
        <w:t xml:space="preserve">drop charts first, then filters, then the config panel — never the click-through from a flag to its source row. Traceability is what separates this from a static mockup, and it is the cheapest thing to lose without anyone noticing until a judge asks.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11.  Demo Script (3–5 Minutes)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Open on the portfolio view. State the honesty banner out loud before anything else: “all data here is synthetic, every threshold is a configurable demo constant.”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Point at the top card — the worst-flagged trial. Read its flags aloud without opening anything: this proves the summary is legible at a glance.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Click into that trial's drill-down. Click the behind-plan flag → it scrolls to and highlights the site rows behind the shortfall.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Switch to the AE table. Point at one unresolved, serious event past the review window → show its age and the escalation flag it caused.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Show the milestone timeline: one done-early, one overdue, one due-soon — name the difference in how each renders.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Apply a region filter live. Show that the portfolio tiles, the chart and the table all move together — nothing disagrees.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Close on the config panel: name one threshold, say what happens if it moves, and why that number is a demo constant and not a clinical claim.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12.  Risks &amp; Mitigations</w:t>
      </w:r>
    </w:p>
    <w:tbl>
      <w:tblPr>
        <w:tblW w:type="dxa" w:w="9746"/>
        <w:tblBorders>
          <w:top w:val="single" w:color="C8D0C4" w:sz="4"/>
          <w:left w:val="single" w:color="C8D0C4" w:sz="4"/>
          <w:bottom w:val="single" w:color="C8D0C4" w:sz="4"/>
          <w:right w:val="single" w:color="C8D0C4" w:sz="4"/>
          <w:insideH w:val="single" w:color="C8D0C4" w:sz="4"/>
          <w:insideV w:val="single" w:color="C8D0C4" w:sz="4"/>
        </w:tblBorders>
      </w:tblPr>
      <w:tblGrid>
        <w:gridCol w:w="2600"/>
        <w:gridCol w:w="2200"/>
        <w:gridCol w:w="4946"/>
      </w:tblGrid>
      <w:tr>
        <w:trPr>
          <w:tblHeader/>
        </w:trPr>
        <w:tc>
          <w:tcPr>
            <w:tcW w:type="dxa" w:w="26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RISK</w:t>
            </w:r>
          </w:p>
        </w:tc>
        <w:tc>
          <w:tcPr>
            <w:tcW w:type="dxa" w:w="2200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IMPACT</w:t>
            </w:r>
          </w:p>
        </w:tc>
        <w:tc>
          <w:tcPr>
            <w:tcW w:type="dxa" w:w="4946"/>
            <w:shd w:fill="EDF1E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5A6B62"/>
                <w:sz w:val="15"/>
                <w:szCs w:val="15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Mock data reads as a real clinical claim in front of judges.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Reputational / scope risk for the pitch.</w:t>
            </w:r>
          </w:p>
        </w:tc>
        <w:tc>
          <w:tcPr>
            <w:tcW w:type="dxa" w:w="49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NFR-3 banner is on screen from the first frame, and item 1 of the demo script says it out loud before anything else.</w:t>
            </w:r>
          </w:p>
        </w:tc>
      </w:tr>
      <w:tr>
        <w:tc>
          <w:tcPr>
            <w:tcW w:type="dxa" w:w="26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Team spends the first hour on chart polish instead of the aggregation logic.</w:t>
            </w:r>
          </w:p>
        </w:tc>
        <w:tc>
          <w:tcPr>
            <w:tcW w:type="dxa" w:w="2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Runs out of time before the drill-down (the part that proves the concept) exists.</w:t>
            </w:r>
          </w:p>
        </w:tc>
        <w:tc>
          <w:tcPr>
            <w:tcW w:type="dxa" w:w="49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Build plan orders charts after FR-10–FR-12 explicitly; the cut order names charts as the first thing to drop.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A trial with no inspections, or a subject with no enrolled_date, breaks the UI live.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Demo stalls on an edge case in front of judges.</w:t>
            </w:r>
          </w:p>
        </w:tc>
        <w:tc>
          <w:tcPr>
            <w:tcW w:type="dxa" w:w="49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FR-16 and FR-17 require named empty/quarantine states; the demo script's edge-case check in §3 rehearses this before judging.</w:t>
            </w:r>
          </w:p>
        </w:tc>
      </w:tr>
      <w:tr>
        <w:tc>
          <w:tcPr>
            <w:tcW w:type="dxa" w:w="26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Filtering shows a chart, table and tile count that disagree.</w:t>
            </w:r>
          </w:p>
        </w:tc>
        <w:tc>
          <w:tcPr>
            <w:tcW w:type="dxa" w:w="2200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Undermines trust in the whole dashboard in one glance.</w:t>
            </w:r>
          </w:p>
        </w:tc>
        <w:tc>
          <w:tcPr>
            <w:tcW w:type="dxa" w:w="4946"/>
            <w:shd w:fill="F7F9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2302A"/>
                <w:sz w:val="19"/>
                <w:szCs w:val="19"/>
              </w:rPr>
              <w:t xml:space="preserve">FR-13 requires every panel to recompute from the same filtered frame, not three separate queries.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E5A4C"/>
          <w:sz w:val="27"/>
          <w:szCs w:val="27"/>
        </w:rPr>
        <w:t xml:space="preserve">13.  Open Questions / Assumptions</w:t>
      </w:r>
    </w:p>
    <w:p>
      <w:pPr>
        <w:spacing w:after="16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Carried from the source blueprint and restated as build-time decisions the team should make explicitly, not by default.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Severity grading and the serious/non-serious split are taken as fields already present in the mock data — the dashboard reports them, it does not adjudicate causality or reclassify events.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The AE rate alert level, the review window, the enrollment shortfall threshold, and the milestone horizon are demo constants with no clinical or regulatory backing; a placeholder value should be picked and labelled before the demo, not left as a TODO.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“Upcoming” milestones are measured against a configurable as_of_date, not the machine clock, so the demo reproduces identically regardless of when it's actually run.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Calibri" w:cs="Calibri" w:eastAsia="Calibri" w:hAnsi="Calibri"/>
          <w:color w:val="22302A"/>
          <w:sz w:val="21"/>
          <w:szCs w:val="21"/>
        </w:rPr>
        <w:t xml:space="preserve">The suggested stack ("dashboard + mock dataset") does not name a framework; pick whatever the team is fastest in — the requirements above are framework-agnostic.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C4" w:sz="4"/>
      </w:pBdr>
      <w:spacing w:before="120"/>
      <w:jc w:val="right"/>
    </w:pPr>
    <w:r>
      <w:rPr>
        <w:rFonts w:ascii="Calibri" w:cs="Calibri" w:eastAsia="Calibri" w:hAnsi="Calibri"/>
        <w:color w:val="5A6B62"/>
        <w:sz w:val="16"/>
        <w:szCs w:val="16"/>
      </w:rPr>
      <w:t xml:space="preserve">Clinical Trials Dashboard — PRD    </w:t>
    </w:r>
    <w:r>
      <w:rPr>
        <w:rFonts w:ascii="Calibri" w:cs="Calibri" w:eastAsia="Calibri" w:hAnsi="Calibri"/>
        <w:b/>
        <w:bCs/>
        <w:color w:val="0E5A4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0E5A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0E5A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Trials Dashboard — PRD (SIH26046)</dc:title>
  <dc:creator>Jayesh</dc:creator>
  <cp:lastModifiedBy>Un-named</cp:lastModifiedBy>
  <cp:revision>1</cp:revision>
  <dcterms:created xsi:type="dcterms:W3CDTF">2026-09-02T07:57:55.024Z</dcterms:created>
  <dcterms:modified xsi:type="dcterms:W3CDTF">2026-09-02T07:57:55.082Z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