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400" w:after="160" w:line="264" w:lineRule="auto"/>
        <w:jc w:val="center"/>
      </w:pPr>
      <w:r>
        <w:rPr>
          <w:rFonts w:ascii="Noto Sans CJK SC" w:hAnsi="Noto Sans CJK SC" w:eastAsia="Noto Sans CJK SC"/>
          <w:b/>
          <w:i w:val="0"/>
          <w:color w:val="1F4E79"/>
          <w:sz w:val="48"/>
        </w:rPr>
        <w:t>物业管理系统生产实施与上线交付文档</w:t>
      </w:r>
    </w:p>
    <w:p>
      <w:pPr>
        <w:keepNext w:val="0"/>
        <w:spacing w:before="0" w:after="360" w:line="341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B7280"/>
          <w:sz w:val="23"/>
        </w:rPr>
        <w:t>V1.1 - 依据 V2 开发文档并按最新业务规则收敛的真实上线版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4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1F6B75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2"/>
              </w:rPr>
              <w:t>本次修订的三个硬变化</w:t>
            </w:r>
          </w:p>
        </w:tc>
      </w:tr>
      <w:tr>
        <w:tc>
          <w:tcPr>
            <w:tcW w:type="dxa" w:w="94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CF8F1"/>
          </w:tcPr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20"/>
              </w:rPr>
              <w:t>1) 物业费改为按年开单、按年缴纳；2) 水费改为按月抄表，录入后立即生成当月账单；3) 前端实施基线统一为 React + Tailwind，用于管理后台/运营端真实上线交付。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143"/>
      </w:tblGrid>
      <w:tr>
        <w:tc>
          <w:tcPr>
            <w:tcW w:type="dxa" w:w="47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控制项</w:t>
            </w:r>
          </w:p>
        </w:tc>
        <w:tc>
          <w:tcPr>
            <w:tcW w:type="dxa" w:w="47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内容</w:t>
            </w:r>
          </w:p>
        </w:tc>
      </w:tr>
      <w:tr>
        <w:tc>
          <w:tcPr>
            <w:tcW w:type="dxa" w:w="1814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文档版本</w:t>
            </w:r>
          </w:p>
        </w:tc>
        <w:tc>
          <w:tcPr>
            <w:tcW w:type="dxa" w:w="7143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V1.1</w:t>
            </w:r>
          </w:p>
        </w:tc>
      </w:tr>
      <w:tr>
        <w:tc>
          <w:tcPr>
            <w:tcW w:type="dxa" w:w="1814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当前状态</w:t>
            </w:r>
          </w:p>
        </w:tc>
        <w:tc>
          <w:tcPr>
            <w:tcW w:type="dxa" w:w="7143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已按最新业务规则修订</w:t>
            </w:r>
          </w:p>
        </w:tc>
      </w:tr>
      <w:tr>
        <w:tc>
          <w:tcPr>
            <w:tcW w:type="dxa" w:w="1814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来源基线</w:t>
            </w:r>
          </w:p>
        </w:tc>
        <w:tc>
          <w:tcPr>
            <w:tcW w:type="dxa" w:w="7143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《物业管理系统从零开发文档（V2）》</w:t>
            </w:r>
          </w:p>
        </w:tc>
      </w:tr>
      <w:tr>
        <w:tc>
          <w:tcPr>
            <w:tcW w:type="dxa" w:w="1814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适用范围</w:t>
            </w:r>
          </w:p>
        </w:tc>
        <w:tc>
          <w:tcPr>
            <w:tcW w:type="dxa" w:w="7143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后端、React 前端、测试、运维、项目负责人、财务/运营</w:t>
            </w:r>
          </w:p>
        </w:tc>
      </w:tr>
      <w:tr>
        <w:tc>
          <w:tcPr>
            <w:tcW w:type="dxa" w:w="1814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关键业务口径</w:t>
            </w:r>
          </w:p>
        </w:tc>
        <w:tc>
          <w:tcPr>
            <w:tcW w:type="dxa" w:w="7143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物业费按年；水费按月抄表后生成账单；账单主体始终是房间</w:t>
            </w:r>
          </w:p>
        </w:tc>
      </w:tr>
      <w:tr>
        <w:tc>
          <w:tcPr>
            <w:tcW w:type="dxa" w:w="1814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替换要求</w:t>
            </w:r>
          </w:p>
        </w:tc>
        <w:tc>
          <w:tcPr>
            <w:tcW w:type="dxa" w:w="7143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文中所有 &lt;PLACEHOLDER&gt;、域名、证书编号、商户号、密钥名称均需替换为真实环境值</w:t>
            </w:r>
          </w:p>
        </w:tc>
      </w:tr>
    </w:tbl>
    <w:p/>
    <w:p>
      <w:pPr>
        <w:keepNext w:val="0"/>
        <w:spacing w:before="0" w:after="80" w:line="341" w:lineRule="auto"/>
        <w:jc w:val="left"/>
      </w:pPr>
      <w:r>
        <w:rPr>
          <w:rFonts w:ascii="Noto Sans CJK SC" w:hAnsi="Noto Sans CJK SC" w:eastAsia="Noto Sans CJK SC"/>
          <w:b/>
          <w:i w:val="0"/>
          <w:color w:val="1F6B75"/>
          <w:sz w:val="23"/>
        </w:rPr>
        <w:t>使用说明</w:t>
      </w:r>
    </w:p>
    <w:p>
      <w:pPr>
        <w:keepNext w:val="0"/>
        <w:spacing w:before="0" w:after="60" w:line="341" w:lineRule="auto"/>
        <w:ind w:left="312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• 本文不是宣传稿，而是把开发文档收敛成真实上线可执行的“生产实施与交付基线”。</w:t>
      </w:r>
    </w:p>
    <w:p>
      <w:pPr>
        <w:keepNext w:val="0"/>
        <w:spacing w:before="0" w:after="60" w:line="341" w:lineRule="auto"/>
        <w:ind w:left="312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• 凡是涉及账单唯一约束、支付幂等、抄表后生成账单、发布回滚、对账和审计的内容，均视为上线前不可省略项。</w:t>
      </w:r>
    </w:p>
    <w:p>
      <w:pPr>
        <w:keepNext w:val="0"/>
        <w:spacing w:before="0" w:after="60" w:line="341" w:lineRule="auto"/>
        <w:ind w:left="312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• 前端实现基线已从“可选框架”收敛为 React + Tailwind，页面、权限和构建发布都按该方案落地。</w:t>
      </w:r>
    </w:p>
    <w:p>
      <w:r>
        <w:br w:type="page"/>
      </w:r>
    </w:p>
    <w:p>
      <w:pPr>
        <w:keepNext/>
        <w:spacing w:before="280" w:after="120" w:line="269" w:lineRule="auto"/>
      </w:pPr>
      <w:r>
        <w:rPr>
          <w:rFonts w:ascii="Noto Sans CJK SC" w:hAnsi="Noto Sans CJK SC" w:eastAsia="Noto Sans CJK SC"/>
          <w:b/>
          <w:i w:val="0"/>
          <w:color w:val="1F4E79"/>
          <w:sz w:val="30"/>
        </w:rPr>
        <w:t>目录</w:t>
      </w:r>
    </w:p>
    <w:p>
      <w:pPr>
        <w:keepNext w:val="0"/>
        <w:spacing w:before="0" w:after="60" w:line="341" w:lineRule="auto"/>
        <w:ind w:left="312" w:hanging="227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1. 文档定位与本次业务冻结项</w:t>
      </w:r>
    </w:p>
    <w:p>
      <w:pPr>
        <w:keepNext w:val="0"/>
        <w:spacing w:before="0" w:after="60" w:line="341" w:lineRule="auto"/>
        <w:ind w:left="312" w:hanging="227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2. 计费规则、账单模型与关键业务闭环</w:t>
      </w:r>
    </w:p>
    <w:p>
      <w:pPr>
        <w:keepNext w:val="0"/>
        <w:spacing w:before="0" w:after="60" w:line="341" w:lineRule="auto"/>
        <w:ind w:left="312" w:hanging="227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3. 生产架构与前端实施基线</w:t>
      </w:r>
    </w:p>
    <w:p>
      <w:pPr>
        <w:keepNext w:val="0"/>
        <w:spacing w:before="0" w:after="60" w:line="341" w:lineRule="auto"/>
        <w:ind w:left="312" w:hanging="227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4. 数据库模型、唯一约束与迁移规范</w:t>
      </w:r>
    </w:p>
    <w:p>
      <w:pPr>
        <w:keepNext w:val="0"/>
        <w:spacing w:before="0" w:after="60" w:line="341" w:lineRule="auto"/>
        <w:ind w:left="312" w:hanging="227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5. 接口、流程与权限口径</w:t>
      </w:r>
    </w:p>
    <w:p>
      <w:pPr>
        <w:keepNext w:val="0"/>
        <w:spacing w:before="0" w:after="60" w:line="341" w:lineRule="auto"/>
        <w:ind w:left="312" w:hanging="227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6. React + Tailwind 前端落地方案</w:t>
      </w:r>
    </w:p>
    <w:p>
      <w:pPr>
        <w:keepNext w:val="0"/>
        <w:spacing w:before="0" w:after="60" w:line="341" w:lineRule="auto"/>
        <w:ind w:left="312" w:hanging="227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7. 配置、构建与部署要求</w:t>
      </w:r>
    </w:p>
    <w:p>
      <w:pPr>
        <w:keepNext w:val="0"/>
        <w:spacing w:before="0" w:after="60" w:line="341" w:lineRule="auto"/>
        <w:ind w:left="312" w:hanging="227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8. 发布、回滚与上线时序</w:t>
      </w:r>
    </w:p>
    <w:p>
      <w:pPr>
        <w:keepNext w:val="0"/>
        <w:spacing w:before="0" w:after="60" w:line="341" w:lineRule="auto"/>
        <w:ind w:left="312" w:hanging="227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9. 监控、对账、备份与恢复</w:t>
      </w:r>
    </w:p>
    <w:p>
      <w:pPr>
        <w:keepNext w:val="0"/>
        <w:spacing w:before="0" w:after="60" w:line="341" w:lineRule="auto"/>
        <w:ind w:left="312" w:hanging="227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10. 测试、冒烟与验收标准</w:t>
      </w:r>
    </w:p>
    <w:p>
      <w:pPr>
        <w:keepNext w:val="0"/>
        <w:spacing w:before="0" w:after="60" w:line="341" w:lineRule="auto"/>
        <w:ind w:left="312" w:hanging="227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11. 应急预案与交接件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4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1F6B75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2"/>
              </w:rPr>
              <w:t>阅读建议</w:t>
            </w:r>
          </w:p>
        </w:tc>
      </w:tr>
      <w:tr>
        <w:tc>
          <w:tcPr>
            <w:tcW w:type="dxa" w:w="94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20"/>
              </w:rPr>
              <w:t>项目负责人重点看第 1、8、10、11 章；后端重点看第 2、4、5、7、8、9 章；前端重点看第 3、5、6、7、10 章；测试重点看第 9、10 章。</w:t>
            </w:r>
          </w:p>
        </w:tc>
      </w:tr>
    </w:tbl>
    <w:p/>
    <w:p>
      <w:pPr>
        <w:keepNext/>
        <w:spacing w:before="280" w:after="120" w:line="269" w:lineRule="auto"/>
      </w:pPr>
      <w:r>
        <w:rPr>
          <w:rFonts w:ascii="Noto Sans CJK SC" w:hAnsi="Noto Sans CJK SC" w:eastAsia="Noto Sans CJK SC"/>
          <w:b/>
          <w:i w:val="0"/>
          <w:color w:val="1F4E79"/>
          <w:sz w:val="30"/>
        </w:rPr>
        <w:t>1. 文档定位与本次业务冻结项</w:t>
      </w:r>
    </w:p>
    <w:p>
      <w:pPr>
        <w:keepNext w:val="0"/>
        <w:spacing w:before="0" w:after="120" w:line="341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本文基于你提供的 V2 开发文档重新收敛，但不再沿用其中“物业费默认按月”的实施口径，而是改为更符合当前业务的“物业费一年一交、水费按月抄表后生成账单、前端统一使用 React + Tailwind”的真实上线方案。文档的核心目标，是让研发、测试、运维、业务和财务在同一份基线上协作，不再出现计费周期、页面栈和上线口径各写各的情况。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701"/>
        <w:gridCol w:w="5669"/>
      </w:tblGrid>
      <w:tr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冻结项</w:t>
            </w:r>
          </w:p>
        </w:tc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本次采用</w:t>
            </w:r>
          </w:p>
        </w:tc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落地解释</w:t>
            </w:r>
          </w:p>
        </w:tc>
      </w:tr>
      <w:tr>
        <w:tc>
          <w:tcPr>
            <w:tcW w:type="dxa" w:w="158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账单主体</w:t>
            </w:r>
          </w:p>
        </w:tc>
        <w:tc>
          <w:tcPr>
            <w:tcW w:type="dxa" w:w="170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房间</w:t>
            </w:r>
          </w:p>
        </w:tc>
        <w:tc>
          <w:tcPr>
            <w:tcW w:type="dxa" w:w="5669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账单永远属于 room，不属于某个账号；多个账号共享同一房间账单状态</w:t>
            </w:r>
          </w:p>
        </w:tc>
      </w:tr>
      <w:tr>
        <w:tc>
          <w:tcPr>
            <w:tcW w:type="dxa" w:w="158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物业费周期</w:t>
            </w:r>
          </w:p>
        </w:tc>
        <w:tc>
          <w:tcPr>
            <w:tcW w:type="dxa" w:w="1701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YEAR</w:t>
            </w:r>
          </w:p>
        </w:tc>
        <w:tc>
          <w:tcPr>
            <w:tcW w:type="dxa" w:w="5669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每个房间每年只生成一张物业费账单，金额按年度单价计算</w:t>
            </w:r>
          </w:p>
        </w:tc>
      </w:tr>
      <w:tr>
        <w:tc>
          <w:tcPr>
            <w:tcW w:type="dxa" w:w="158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水费周期</w:t>
            </w:r>
          </w:p>
        </w:tc>
        <w:tc>
          <w:tcPr>
            <w:tcW w:type="dxa" w:w="1701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MONTH</w:t>
            </w:r>
          </w:p>
        </w:tc>
        <w:tc>
          <w:tcPr>
            <w:tcW w:type="dxa" w:w="5669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每月抄表，抄表数据提交成功后立即生成当月水费账单</w:t>
            </w:r>
          </w:p>
        </w:tc>
      </w:tr>
      <w:tr>
        <w:tc>
          <w:tcPr>
            <w:tcW w:type="dxa" w:w="158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前端栈</w:t>
            </w:r>
          </w:p>
        </w:tc>
        <w:tc>
          <w:tcPr>
            <w:tcW w:type="dxa" w:w="170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React + Tailwind</w:t>
            </w:r>
          </w:p>
        </w:tc>
        <w:tc>
          <w:tcPr>
            <w:tcW w:type="dxa" w:w="5669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管理后台和运营端按 React 组件化与 Tailwind 原子样式落地</w:t>
            </w:r>
          </w:p>
        </w:tc>
      </w:tr>
      <w:tr>
        <w:tc>
          <w:tcPr>
            <w:tcW w:type="dxa" w:w="158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部署基线</w:t>
            </w:r>
          </w:p>
        </w:tc>
        <w:tc>
          <w:tcPr>
            <w:tcW w:type="dxa" w:w="170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容器化 + 双应用实例</w:t>
            </w:r>
          </w:p>
        </w:tc>
        <w:tc>
          <w:tcPr>
            <w:tcW w:type="dxa" w:w="5669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支持滚动发布、回滚和健康检查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4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1F4E79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2"/>
              </w:rPr>
              <w:t>一个必须说清的设计决策</w:t>
            </w:r>
          </w:p>
        </w:tc>
      </w:tr>
      <w:tr>
        <w:tc>
          <w:tcPr>
            <w:tcW w:type="dxa" w:w="94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FFF6DB"/>
          </w:tcPr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20"/>
              </w:rPr>
              <w:t>为了同时支持“物业费按年”和“水费按月”，账单模型增加 cycle_type、service_period_start、service_period_end 三个生产字段。这样前端展示、统计和对账都能准确解释账单覆盖周期，而不是用 period_month 硬凑年费账单。</w:t>
            </w:r>
          </w:p>
        </w:tc>
      </w:tr>
    </w:tbl>
    <w:p/>
    <w:p>
      <w:pPr>
        <w:keepNext/>
        <w:spacing w:before="280" w:after="120" w:line="269" w:lineRule="auto"/>
      </w:pPr>
      <w:r>
        <w:rPr>
          <w:rFonts w:ascii="Noto Sans CJK SC" w:hAnsi="Noto Sans CJK SC" w:eastAsia="Noto Sans CJK SC"/>
          <w:b/>
          <w:i w:val="0"/>
          <w:color w:val="1F4E79"/>
          <w:sz w:val="30"/>
        </w:rPr>
        <w:t>2. 计费规则、账单模型与关键业务闭环</w:t>
      </w:r>
    </w:p>
    <w:p>
      <w:pPr>
        <w:keepNext/>
        <w:spacing w:before="200" w:after="80" w:line="269" w:lineRule="auto"/>
      </w:pPr>
      <w:r>
        <w:rPr>
          <w:rFonts w:ascii="Noto Sans CJK SC" w:hAnsi="Noto Sans CJK SC" w:eastAsia="Noto Sans CJK SC"/>
          <w:b/>
          <w:i w:val="0"/>
          <w:color w:val="1F6B75"/>
          <w:sz w:val="25"/>
        </w:rPr>
        <w:t>2.1 物业费：按年开单、按年缴纳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257"/>
      </w:tblGrid>
      <w:tr>
        <w:tc>
          <w:tcPr>
            <w:tcW w:type="dxa" w:w="47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主题</w:t>
            </w:r>
          </w:p>
        </w:tc>
        <w:tc>
          <w:tcPr>
            <w:tcW w:type="dxa" w:w="47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生产规则</w:t>
            </w:r>
          </w:p>
        </w:tc>
      </w:tr>
      <w:tr>
        <w:tc>
          <w:tcPr>
            <w:tcW w:type="dxa" w:w="170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计费方式</w:t>
            </w:r>
          </w:p>
        </w:tc>
        <w:tc>
          <w:tcPr>
            <w:tcW w:type="dxa" w:w="725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年度物业费 = 房间面积 × 年度单价；单价解释为“元/平方米/年”</w:t>
            </w:r>
          </w:p>
        </w:tc>
      </w:tr>
      <w:tr>
        <w:tc>
          <w:tcPr>
            <w:tcW w:type="dxa" w:w="170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生成时点</w:t>
            </w:r>
          </w:p>
        </w:tc>
        <w:tc>
          <w:tcPr>
            <w:tcW w:type="dxa" w:w="725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由 Admin 在每年年初或指定批次发起年度开单；每房间每年只能生成一次</w:t>
            </w:r>
          </w:p>
        </w:tc>
      </w:tr>
      <w:tr>
        <w:tc>
          <w:tcPr>
            <w:tcW w:type="dxa" w:w="170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账单覆盖期</w:t>
            </w:r>
          </w:p>
        </w:tc>
        <w:tc>
          <w:tcPr>
            <w:tcW w:type="dxa" w:w="725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service_period_start=YYYY-01-01，service_period_end=YYYY-12-31</w:t>
            </w:r>
          </w:p>
        </w:tc>
      </w:tr>
      <w:tr>
        <w:tc>
          <w:tcPr>
            <w:tcW w:type="dxa" w:w="170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数据约束</w:t>
            </w:r>
          </w:p>
        </w:tc>
        <w:tc>
          <w:tcPr>
            <w:tcW w:type="dxa" w:w="725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同房间同年度只能有一张物业费账单；已支付年费不得直接改金额</w:t>
            </w:r>
          </w:p>
        </w:tc>
      </w:tr>
      <w:tr>
        <w:tc>
          <w:tcPr>
            <w:tcW w:type="dxa" w:w="170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修正策略</w:t>
            </w:r>
          </w:p>
        </w:tc>
        <w:tc>
          <w:tcPr>
            <w:tcW w:type="dxa" w:w="725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如年费金额配置错误，未支付账单可作废重开；已支付账单走补差或冲正单</w:t>
            </w:r>
          </w:p>
        </w:tc>
      </w:tr>
    </w:tbl>
    <w:p/>
    <w:p>
      <w:pPr>
        <w:keepNext/>
        <w:spacing w:before="200" w:after="80" w:line="269" w:lineRule="auto"/>
      </w:pPr>
      <w:r>
        <w:rPr>
          <w:rFonts w:ascii="Noto Sans CJK SC" w:hAnsi="Noto Sans CJK SC" w:eastAsia="Noto Sans CJK SC"/>
          <w:b/>
          <w:i w:val="0"/>
          <w:color w:val="1F6B75"/>
          <w:sz w:val="25"/>
        </w:rPr>
        <w:t>2.2 水费：按月抄表，录入后立即生成账单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257"/>
      </w:tblGrid>
      <w:tr>
        <w:tc>
          <w:tcPr>
            <w:tcW w:type="dxa" w:w="47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主题</w:t>
            </w:r>
          </w:p>
        </w:tc>
        <w:tc>
          <w:tcPr>
            <w:tcW w:type="dxa" w:w="47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生产规则</w:t>
            </w:r>
          </w:p>
        </w:tc>
      </w:tr>
      <w:tr>
        <w:tc>
          <w:tcPr>
            <w:tcW w:type="dxa" w:w="170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录入动作</w:t>
            </w:r>
          </w:p>
        </w:tc>
        <w:tc>
          <w:tcPr>
            <w:tcW w:type="dxa" w:w="725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Admin 在当月录入房间水表读数，提交后即触发账单生成逻辑</w:t>
            </w:r>
          </w:p>
        </w:tc>
      </w:tr>
      <w:tr>
        <w:tc>
          <w:tcPr>
            <w:tcW w:type="dxa" w:w="170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计算方式</w:t>
            </w:r>
          </w:p>
        </w:tc>
        <w:tc>
          <w:tcPr>
            <w:tcW w:type="dxa" w:w="725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usage = curr_reading - prev_reading；水费 = usage × 当月有效单价</w:t>
            </w:r>
          </w:p>
        </w:tc>
      </w:tr>
      <w:tr>
        <w:tc>
          <w:tcPr>
            <w:tcW w:type="dxa" w:w="170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事务边界</w:t>
            </w:r>
          </w:p>
        </w:tc>
        <w:tc>
          <w:tcPr>
            <w:tcW w:type="dxa" w:w="725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保存 water_meter_reading 与生成/更新当月 water bill 必须在同一事务内完成</w:t>
            </w:r>
          </w:p>
        </w:tc>
      </w:tr>
      <w:tr>
        <w:tc>
          <w:tcPr>
            <w:tcW w:type="dxa" w:w="170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修改边界</w:t>
            </w:r>
          </w:p>
        </w:tc>
        <w:tc>
          <w:tcPr>
            <w:tcW w:type="dxa" w:w="725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未支付账单允许在删除或修正读数后重算；已支付账单禁止直接重算，只能补差/冲正</w:t>
            </w:r>
          </w:p>
        </w:tc>
      </w:tr>
      <w:tr>
        <w:tc>
          <w:tcPr>
            <w:tcW w:type="dxa" w:w="170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照片与备注</w:t>
            </w:r>
          </w:p>
        </w:tc>
        <w:tc>
          <w:tcPr>
            <w:tcW w:type="dxa" w:w="725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抄表人、抄表时间、备注、照片 URL 建议一起留存，满足追溯</w:t>
            </w:r>
          </w:p>
        </w:tc>
      </w:tr>
    </w:tbl>
    <w:p/>
    <w:p>
      <w:pPr>
        <w:keepNext/>
        <w:spacing w:before="200" w:after="80" w:line="269" w:lineRule="auto"/>
      </w:pPr>
      <w:r>
        <w:rPr>
          <w:rFonts w:ascii="Noto Sans CJK SC" w:hAnsi="Noto Sans CJK SC" w:eastAsia="Noto Sans CJK SC"/>
          <w:b/>
          <w:i w:val="0"/>
          <w:color w:val="1F6B75"/>
          <w:sz w:val="25"/>
        </w:rPr>
        <w:t>2.3 统一账单模型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6917"/>
      </w:tblGrid>
      <w:tr>
        <w:tc>
          <w:tcPr>
            <w:tcW w:type="dxa" w:w="47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字段/概念</w:t>
            </w:r>
          </w:p>
        </w:tc>
        <w:tc>
          <w:tcPr>
            <w:tcW w:type="dxa" w:w="47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生产要求</w:t>
            </w:r>
          </w:p>
        </w:tc>
      </w:tr>
      <w:tr>
        <w:tc>
          <w:tcPr>
            <w:tcW w:type="dxa" w:w="204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cycle_type</w:t>
            </w:r>
          </w:p>
        </w:tc>
        <w:tc>
          <w:tcPr>
            <w:tcW w:type="dxa" w:w="691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YEAR / MONTH。物业费固定 YEAR，水费固定 MONTH</w:t>
            </w:r>
          </w:p>
        </w:tc>
      </w:tr>
      <w:tr>
        <w:tc>
          <w:tcPr>
            <w:tcW w:type="dxa" w:w="204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service_period_start/end</w:t>
            </w:r>
          </w:p>
        </w:tc>
        <w:tc>
          <w:tcPr>
            <w:tcW w:type="dxa" w:w="691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明确账单覆盖区间，前端账单详情和报表展示统一使用该字段</w:t>
            </w:r>
          </w:p>
        </w:tc>
      </w:tr>
      <w:tr>
        <w:tc>
          <w:tcPr>
            <w:tcW w:type="dxa" w:w="204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fee_type</w:t>
            </w:r>
          </w:p>
        </w:tc>
        <w:tc>
          <w:tcPr>
            <w:tcW w:type="dxa" w:w="691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PROPERTY / WATER；不把物业费和水费混成一张总账单</w:t>
            </w:r>
          </w:p>
        </w:tc>
      </w:tr>
      <w:tr>
        <w:tc>
          <w:tcPr>
            <w:tcW w:type="dxa" w:w="204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paid_at</w:t>
            </w:r>
          </w:p>
        </w:tc>
        <w:tc>
          <w:tcPr>
            <w:tcW w:type="dxa" w:w="691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表示实际支付时间；月报按支付月统计时优先看 paid_at</w:t>
            </w:r>
          </w:p>
        </w:tc>
      </w:tr>
      <w:tr>
        <w:tc>
          <w:tcPr>
            <w:tcW w:type="dxa" w:w="204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amount_due / amount_paid</w:t>
            </w:r>
          </w:p>
        </w:tc>
        <w:tc>
          <w:tcPr>
            <w:tcW w:type="dxa" w:w="691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应收与实收分离；支付成功后再回写实收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4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1F6B75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2"/>
              </w:rPr>
              <w:t>闭环定义</w:t>
            </w:r>
          </w:p>
        </w:tc>
      </w:tr>
      <w:tr>
        <w:tc>
          <w:tcPr>
            <w:tcW w:type="dxa" w:w="94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CF8F1"/>
          </w:tcPr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20"/>
              </w:rPr>
              <w:t>物业费闭环 = 年度规则配置 -&gt; 年度开单 -&gt; 住户/管理员查看账单 -&gt; 支付 -&gt; 对账 -&gt; 年度报表。水费闭环 = 当月录入读数 -&gt; 自动生成账单 -&gt; 查看账单明细 -&gt; 支付 -&gt; 对账 -&gt; 月报。</w:t>
            </w:r>
          </w:p>
        </w:tc>
      </w:tr>
    </w:tbl>
    <w:p/>
    <w:p>
      <w:pPr>
        <w:keepNext/>
        <w:spacing w:before="280" w:after="120" w:line="269" w:lineRule="auto"/>
      </w:pPr>
      <w:r>
        <w:rPr>
          <w:rFonts w:ascii="Noto Sans CJK SC" w:hAnsi="Noto Sans CJK SC" w:eastAsia="Noto Sans CJK SC"/>
          <w:b/>
          <w:i w:val="0"/>
          <w:color w:val="1F4E79"/>
          <w:sz w:val="30"/>
        </w:rPr>
        <w:t>3. 生产架构与前端实施基线</w:t>
      </w:r>
    </w:p>
    <w:p>
      <w:pPr>
        <w:keepNext w:val="0"/>
        <w:spacing w:before="0" w:after="120" w:line="341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生产环境建议采用“React 管理前端 + Nginx/SLB + Java API 双实例 + MySQL/Redis/RabbitMQ/对象存储”的标准分层。前端构建产物经 Nginx 发布，API 统一走 HTTPS 域名，账务真源仍然只认 MySQL。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814"/>
        <w:gridCol w:w="2948"/>
        <w:gridCol w:w="2835"/>
      </w:tblGrid>
      <w:tr>
        <w:tc>
          <w:tcPr>
            <w:tcW w:type="dxa" w:w="23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层级</w:t>
            </w:r>
          </w:p>
        </w:tc>
        <w:tc>
          <w:tcPr>
            <w:tcW w:type="dxa" w:w="23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组件</w:t>
            </w:r>
          </w:p>
        </w:tc>
        <w:tc>
          <w:tcPr>
            <w:tcW w:type="dxa" w:w="23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职责</w:t>
            </w:r>
          </w:p>
        </w:tc>
        <w:tc>
          <w:tcPr>
            <w:tcW w:type="dxa" w:w="23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上线要求</w:t>
            </w:r>
          </w:p>
        </w:tc>
      </w:tr>
      <w:tr>
        <w:tc>
          <w:tcPr>
            <w:tcW w:type="dxa" w:w="136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前端层</w:t>
            </w:r>
          </w:p>
        </w:tc>
        <w:tc>
          <w:tcPr>
            <w:tcW w:type="dxa" w:w="1814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React + Tailwind</w:t>
            </w:r>
          </w:p>
        </w:tc>
        <w:tc>
          <w:tcPr>
            <w:tcW w:type="dxa" w:w="294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管理后台、运营端、导入导出页面、报表页面</w:t>
            </w:r>
          </w:p>
        </w:tc>
        <w:tc>
          <w:tcPr>
            <w:tcW w:type="dxa" w:w="283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构建产物可独立发布；路由权限与按钮权限受控</w:t>
            </w:r>
          </w:p>
        </w:tc>
      </w:tr>
      <w:tr>
        <w:tc>
          <w:tcPr>
            <w:tcW w:type="dxa" w:w="136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入口层</w:t>
            </w:r>
          </w:p>
        </w:tc>
        <w:tc>
          <w:tcPr>
            <w:tcW w:type="dxa" w:w="1814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Nginx / SLB</w:t>
            </w:r>
          </w:p>
        </w:tc>
        <w:tc>
          <w:tcPr>
            <w:tcW w:type="dxa" w:w="294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静态资源发布、TLS 终止、反向代理</w:t>
            </w:r>
          </w:p>
        </w:tc>
        <w:tc>
          <w:tcPr>
            <w:tcW w:type="dxa" w:w="283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证书有效、健康检查可用</w:t>
            </w:r>
          </w:p>
        </w:tc>
      </w:tr>
      <w:tr>
        <w:tc>
          <w:tcPr>
            <w:tcW w:type="dxa" w:w="136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应用层</w:t>
            </w:r>
          </w:p>
        </w:tc>
        <w:tc>
          <w:tcPr>
            <w:tcW w:type="dxa" w:w="1814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wuye-api x2</w:t>
            </w:r>
          </w:p>
        </w:tc>
        <w:tc>
          <w:tcPr>
            <w:tcW w:type="dxa" w:w="294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认证、房间、账单、支付、报表、导入导出</w:t>
            </w:r>
          </w:p>
        </w:tc>
        <w:tc>
          <w:tcPr>
            <w:tcW w:type="dxa" w:w="283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双实例滚动发布</w:t>
            </w:r>
          </w:p>
        </w:tc>
      </w:tr>
      <w:tr>
        <w:tc>
          <w:tcPr>
            <w:tcW w:type="dxa" w:w="136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数据层</w:t>
            </w:r>
          </w:p>
        </w:tc>
        <w:tc>
          <w:tcPr>
            <w:tcW w:type="dxa" w:w="1814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MySQL 8</w:t>
            </w:r>
          </w:p>
        </w:tc>
        <w:tc>
          <w:tcPr>
            <w:tcW w:type="dxa" w:w="294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账单、支付、抄表、券、审计</w:t>
            </w:r>
          </w:p>
        </w:tc>
        <w:tc>
          <w:tcPr>
            <w:tcW w:type="dxa" w:w="283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备份、binlog、恢复演练</w:t>
            </w:r>
          </w:p>
        </w:tc>
      </w:tr>
      <w:tr>
        <w:tc>
          <w:tcPr>
            <w:tcW w:type="dxa" w:w="136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缓存/异步</w:t>
            </w:r>
          </w:p>
        </w:tc>
        <w:tc>
          <w:tcPr>
            <w:tcW w:type="dxa" w:w="1814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Redis + RabbitMQ</w:t>
            </w:r>
          </w:p>
        </w:tc>
        <w:tc>
          <w:tcPr>
            <w:tcW w:type="dxa" w:w="294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缓存、幂等键、异步任务、对账任务</w:t>
            </w:r>
          </w:p>
        </w:tc>
        <w:tc>
          <w:tcPr>
            <w:tcW w:type="dxa" w:w="283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监控积压与连接数</w:t>
            </w:r>
          </w:p>
        </w:tc>
      </w:tr>
    </w:tbl>
    <w:p/>
    <w:p>
      <w:pPr>
        <w:keepNext/>
        <w:spacing w:before="200" w:after="80" w:line="269" w:lineRule="auto"/>
      </w:pPr>
      <w:r>
        <w:rPr>
          <w:rFonts w:ascii="Noto Sans CJK SC" w:hAnsi="Noto Sans CJK SC" w:eastAsia="Noto Sans CJK SC"/>
          <w:b/>
          <w:i w:val="0"/>
          <w:color w:val="1F6B75"/>
          <w:sz w:val="25"/>
        </w:rPr>
        <w:t>3.1 前端页面边界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535"/>
        <w:gridCol w:w="2268"/>
      </w:tblGrid>
      <w:tr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页面</w:t>
            </w:r>
          </w:p>
        </w:tc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主要能力</w:t>
            </w:r>
          </w:p>
        </w:tc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权限</w:t>
            </w:r>
          </w:p>
        </w:tc>
      </w:tr>
      <w:tr>
        <w:tc>
          <w:tcPr>
            <w:tcW w:type="dxa" w:w="158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登录页</w:t>
            </w:r>
          </w:p>
        </w:tc>
        <w:tc>
          <w:tcPr>
            <w:tcW w:type="dxa" w:w="453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账号登录、验证码/企业内认证、Token 初始化</w:t>
            </w:r>
          </w:p>
        </w:tc>
        <w:tc>
          <w:tcPr>
            <w:tcW w:type="dxa" w:w="226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匿名</w:t>
            </w:r>
          </w:p>
        </w:tc>
      </w:tr>
      <w:tr>
        <w:tc>
          <w:tcPr>
            <w:tcW w:type="dxa" w:w="158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房间与住户</w:t>
            </w:r>
          </w:p>
        </w:tc>
        <w:tc>
          <w:tcPr>
            <w:tcW w:type="dxa" w:w="453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房间列表、绑定关系、住户查询</w:t>
            </w:r>
          </w:p>
        </w:tc>
        <w:tc>
          <w:tcPr>
            <w:tcW w:type="dxa" w:w="226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Admin / Agent(只读受限)</w:t>
            </w:r>
          </w:p>
        </w:tc>
      </w:tr>
      <w:tr>
        <w:tc>
          <w:tcPr>
            <w:tcW w:type="dxa" w:w="158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年度物业费</w:t>
            </w:r>
          </w:p>
        </w:tc>
        <w:tc>
          <w:tcPr>
            <w:tcW w:type="dxa" w:w="453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年度规则配置、按年开单、年费账单列表、作废/补差</w:t>
            </w:r>
          </w:p>
        </w:tc>
        <w:tc>
          <w:tcPr>
            <w:tcW w:type="dxa" w:w="226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Admin</w:t>
            </w:r>
          </w:p>
        </w:tc>
      </w:tr>
      <w:tr>
        <w:tc>
          <w:tcPr>
            <w:tcW w:type="dxa" w:w="158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月度水费</w:t>
            </w:r>
          </w:p>
        </w:tc>
        <w:tc>
          <w:tcPr>
            <w:tcW w:type="dxa" w:w="453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抄表录入、照片上传、自动出账、异常读数提示</w:t>
            </w:r>
          </w:p>
        </w:tc>
        <w:tc>
          <w:tcPr>
            <w:tcW w:type="dxa" w:w="226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Admin</w:t>
            </w:r>
          </w:p>
        </w:tc>
      </w:tr>
      <w:tr>
        <w:tc>
          <w:tcPr>
            <w:tcW w:type="dxa" w:w="158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账单与支付</w:t>
            </w:r>
          </w:p>
        </w:tc>
        <w:tc>
          <w:tcPr>
            <w:tcW w:type="dxa" w:w="453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账单详情、支付单、对账状态、支付回调追踪</w:t>
            </w:r>
          </w:p>
        </w:tc>
        <w:tc>
          <w:tcPr>
            <w:tcW w:type="dxa" w:w="226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Admin / Finance</w:t>
            </w:r>
          </w:p>
        </w:tc>
      </w:tr>
      <w:tr>
        <w:tc>
          <w:tcPr>
            <w:tcW w:type="dxa" w:w="158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报表中心</w:t>
            </w:r>
          </w:p>
        </w:tc>
        <w:tc>
          <w:tcPr>
            <w:tcW w:type="dxa" w:w="453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年度物业费收缴、月度水费收缴、按组/按楼栋统计</w:t>
            </w:r>
          </w:p>
        </w:tc>
        <w:tc>
          <w:tcPr>
            <w:tcW w:type="dxa" w:w="226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Admin / Agent / Finance</w:t>
            </w:r>
          </w:p>
        </w:tc>
      </w:tr>
      <w:tr>
        <w:tc>
          <w:tcPr>
            <w:tcW w:type="dxa" w:w="158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导入导出</w:t>
            </w:r>
          </w:p>
        </w:tc>
        <w:tc>
          <w:tcPr>
            <w:tcW w:type="dxa" w:w="453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导入批次、错误行、导出任务、下载地址</w:t>
            </w:r>
          </w:p>
        </w:tc>
        <w:tc>
          <w:tcPr>
            <w:tcW w:type="dxa" w:w="226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Admin</w:t>
            </w:r>
          </w:p>
        </w:tc>
      </w:tr>
      <w:tr>
        <w:tc>
          <w:tcPr>
            <w:tcW w:type="dxa" w:w="158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审计与运维</w:t>
            </w:r>
          </w:p>
        </w:tc>
        <w:tc>
          <w:tcPr>
            <w:tcW w:type="dxa" w:w="453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操作日志、发布记录、关键配置核验结果</w:t>
            </w:r>
          </w:p>
        </w:tc>
        <w:tc>
          <w:tcPr>
            <w:tcW w:type="dxa" w:w="226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Admin / 运维</w:t>
            </w:r>
          </w:p>
        </w:tc>
      </w:tr>
    </w:tbl>
    <w:p/>
    <w:p>
      <w:pPr>
        <w:keepNext/>
        <w:spacing w:before="200" w:after="80" w:line="269" w:lineRule="auto"/>
      </w:pPr>
      <w:r>
        <w:rPr>
          <w:rFonts w:ascii="Noto Sans CJK SC" w:hAnsi="Noto Sans CJK SC" w:eastAsia="Noto Sans CJK SC"/>
          <w:b/>
          <w:i w:val="0"/>
          <w:color w:val="1F6B75"/>
          <w:sz w:val="25"/>
        </w:rPr>
        <w:t>3.2 首发环境建议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2041"/>
        <w:gridCol w:w="4762"/>
      </w:tblGrid>
      <w:tr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节点</w:t>
            </w:r>
          </w:p>
        </w:tc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建议规格</w:t>
            </w:r>
          </w:p>
        </w:tc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说明</w:t>
            </w:r>
          </w:p>
        </w:tc>
      </w:tr>
      <w:tr>
        <w:tc>
          <w:tcPr>
            <w:tcW w:type="dxa" w:w="2154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prod-web / lb</w:t>
            </w:r>
          </w:p>
        </w:tc>
        <w:tc>
          <w:tcPr>
            <w:tcW w:type="dxa" w:w="204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2C4G 或托管负载</w:t>
            </w:r>
          </w:p>
        </w:tc>
        <w:tc>
          <w:tcPr>
            <w:tcW w:type="dxa" w:w="4762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托管静态资源和 API 入口</w:t>
            </w:r>
          </w:p>
        </w:tc>
      </w:tr>
      <w:tr>
        <w:tc>
          <w:tcPr>
            <w:tcW w:type="dxa" w:w="2154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prod-api-01</w:t>
            </w:r>
          </w:p>
        </w:tc>
        <w:tc>
          <w:tcPr>
            <w:tcW w:type="dxa" w:w="2041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4C8G</w:t>
            </w:r>
          </w:p>
        </w:tc>
        <w:tc>
          <w:tcPr>
            <w:tcW w:type="dxa" w:w="4762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Java 实例 1</w:t>
            </w:r>
          </w:p>
        </w:tc>
      </w:tr>
      <w:tr>
        <w:tc>
          <w:tcPr>
            <w:tcW w:type="dxa" w:w="2154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prod-api-02</w:t>
            </w:r>
          </w:p>
        </w:tc>
        <w:tc>
          <w:tcPr>
            <w:tcW w:type="dxa" w:w="2041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4C8G</w:t>
            </w:r>
          </w:p>
        </w:tc>
        <w:tc>
          <w:tcPr>
            <w:tcW w:type="dxa" w:w="4762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Java 实例 2</w:t>
            </w:r>
          </w:p>
        </w:tc>
      </w:tr>
      <w:tr>
        <w:tc>
          <w:tcPr>
            <w:tcW w:type="dxa" w:w="2154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prod-mysql-01</w:t>
            </w:r>
          </w:p>
        </w:tc>
        <w:tc>
          <w:tcPr>
            <w:tcW w:type="dxa" w:w="204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8C16G SSD</w:t>
            </w:r>
          </w:p>
        </w:tc>
        <w:tc>
          <w:tcPr>
            <w:tcW w:type="dxa" w:w="4762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账务真源</w:t>
            </w:r>
          </w:p>
        </w:tc>
      </w:tr>
      <w:tr>
        <w:tc>
          <w:tcPr>
            <w:tcW w:type="dxa" w:w="2154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prod-redis-01</w:t>
            </w:r>
          </w:p>
        </w:tc>
        <w:tc>
          <w:tcPr>
            <w:tcW w:type="dxa" w:w="2041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4C8G</w:t>
            </w:r>
          </w:p>
        </w:tc>
        <w:tc>
          <w:tcPr>
            <w:tcW w:type="dxa" w:w="4762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缓存与幂等</w:t>
            </w:r>
          </w:p>
        </w:tc>
      </w:tr>
      <w:tr>
        <w:tc>
          <w:tcPr>
            <w:tcW w:type="dxa" w:w="2154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prod-rabbitmq-01</w:t>
            </w:r>
          </w:p>
        </w:tc>
        <w:tc>
          <w:tcPr>
            <w:tcW w:type="dxa" w:w="2041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4C8G</w:t>
            </w:r>
          </w:p>
        </w:tc>
        <w:tc>
          <w:tcPr>
            <w:tcW w:type="dxa" w:w="4762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异步处理</w:t>
            </w:r>
          </w:p>
        </w:tc>
      </w:tr>
    </w:tbl>
    <w:p/>
    <w:p>
      <w:pPr>
        <w:keepNext/>
        <w:spacing w:before="280" w:after="120" w:line="269" w:lineRule="auto"/>
      </w:pPr>
      <w:r>
        <w:rPr>
          <w:rFonts w:ascii="Noto Sans CJK SC" w:hAnsi="Noto Sans CJK SC" w:eastAsia="Noto Sans CJK SC"/>
          <w:b/>
          <w:i w:val="0"/>
          <w:color w:val="1F4E79"/>
          <w:sz w:val="30"/>
        </w:rPr>
        <w:t>4. 数据库模型、唯一约束与迁移规范</w:t>
      </w:r>
    </w:p>
    <w:p>
      <w:pPr>
        <w:keepNext w:val="0"/>
        <w:spacing w:before="0" w:after="120" w:line="341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由于物业费和水费的周期不再一致，建议在 bill 表和相关查询模型中显式增加周期维度，而不是仅靠 period_year/period_month 猜测账单覆盖期。生产上线前，数据库与前端展示必须一起完成这一口径收敛。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402"/>
        <w:gridCol w:w="4082"/>
      </w:tblGrid>
      <w:tr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对象</w:t>
            </w:r>
          </w:p>
        </w:tc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新增/调整字段</w:t>
            </w:r>
          </w:p>
        </w:tc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原因</w:t>
            </w:r>
          </w:p>
        </w:tc>
      </w:tr>
      <w:tr>
        <w:tc>
          <w:tcPr>
            <w:tcW w:type="dxa" w:w="158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fee_rule</w:t>
            </w:r>
          </w:p>
        </w:tc>
        <w:tc>
          <w:tcPr>
            <w:tcW w:type="dxa" w:w="3402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cycle_type 固定区分 YEAR / MONTH</w:t>
            </w:r>
          </w:p>
        </w:tc>
        <w:tc>
          <w:tcPr>
            <w:tcW w:type="dxa" w:w="4082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物业费年费、水费月费规则来源不同</w:t>
            </w:r>
          </w:p>
        </w:tc>
      </w:tr>
      <w:tr>
        <w:tc>
          <w:tcPr>
            <w:tcW w:type="dxa" w:w="158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bill</w:t>
            </w:r>
          </w:p>
        </w:tc>
        <w:tc>
          <w:tcPr>
            <w:tcW w:type="dxa" w:w="3402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cycle_type, service_period_start, service_period_end</w:t>
            </w:r>
          </w:p>
        </w:tc>
        <w:tc>
          <w:tcPr>
            <w:tcW w:type="dxa" w:w="4082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准确表示账单周期，便于前端与报表解释</w:t>
            </w:r>
          </w:p>
        </w:tc>
      </w:tr>
      <w:tr>
        <w:tc>
          <w:tcPr>
            <w:tcW w:type="dxa" w:w="158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bill_line</w:t>
            </w:r>
          </w:p>
        </w:tc>
        <w:tc>
          <w:tcPr>
            <w:tcW w:type="dxa" w:w="3402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ext_json 保留面积来源或读数依据</w:t>
            </w:r>
          </w:p>
        </w:tc>
        <w:tc>
          <w:tcPr>
            <w:tcW w:type="dxa" w:w="4082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账单详情需要可解释</w:t>
            </w:r>
          </w:p>
        </w:tc>
      </w:tr>
      <w:tr>
        <w:tc>
          <w:tcPr>
            <w:tcW w:type="dxa" w:w="158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water_meter_reading</w:t>
            </w:r>
          </w:p>
        </w:tc>
        <w:tc>
          <w:tcPr>
            <w:tcW w:type="dxa" w:w="3402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保留 read_by_admin_id/read_at/photo_url</w:t>
            </w:r>
          </w:p>
        </w:tc>
        <w:tc>
          <w:tcPr>
            <w:tcW w:type="dxa" w:w="4082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满足抄表追溯</w:t>
            </w:r>
          </w:p>
        </w:tc>
      </w:tr>
    </w:tbl>
    <w:p/>
    <w:p>
      <w:pPr>
        <w:keepNext/>
        <w:spacing w:before="200" w:after="80" w:line="269" w:lineRule="auto"/>
      </w:pPr>
      <w:r>
        <w:rPr>
          <w:rFonts w:ascii="Noto Sans CJK SC" w:hAnsi="Noto Sans CJK SC" w:eastAsia="Noto Sans CJK SC"/>
          <w:b/>
          <w:i w:val="0"/>
          <w:color w:val="1F6B75"/>
          <w:sz w:val="25"/>
        </w:rPr>
        <w:t>4.1 关键唯一约束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855"/>
      </w:tblGrid>
      <w:tr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表</w:t>
            </w:r>
          </w:p>
        </w:tc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约束</w:t>
            </w:r>
          </w:p>
        </w:tc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room</w:t>
            </w:r>
          </w:p>
        </w:tc>
        <w:tc>
          <w:tcPr>
            <w:tcW w:type="dxa" w:w="3402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UNIQUE(community_id, building_no, unit_no, room_no)</w:t>
            </w:r>
          </w:p>
        </w:tc>
        <w:tc>
          <w:tcPr>
            <w:tcW w:type="dxa" w:w="385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房间自然键唯一</w:t>
            </w:r>
          </w:p>
        </w:tc>
      </w:tr>
      <w:tr>
        <w:tc>
          <w:tcPr>
            <w:tcW w:type="dxa" w:w="1814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account_room</w:t>
            </w:r>
          </w:p>
        </w:tc>
        <w:tc>
          <w:tcPr>
            <w:tcW w:type="dxa" w:w="3402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UNIQUE(account_id, room_id)</w:t>
            </w:r>
          </w:p>
        </w:tc>
        <w:tc>
          <w:tcPr>
            <w:tcW w:type="dxa" w:w="385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同账号与房间只保留一条绑定</w:t>
            </w:r>
          </w:p>
        </w:tc>
      </w:tr>
      <w:tr>
        <w:tc>
          <w:tcPr>
            <w:tcW w:type="dxa" w:w="1814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bill(PROPERTY)</w:t>
            </w:r>
          </w:p>
        </w:tc>
        <w:tc>
          <w:tcPr>
            <w:tcW w:type="dxa" w:w="3402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UNIQUE(room_id, fee_type, period_year)</w:t>
            </w:r>
          </w:p>
        </w:tc>
        <w:tc>
          <w:tcPr>
            <w:tcW w:type="dxa" w:w="385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同房间同年度只允许一张物业费账单</w:t>
            </w:r>
          </w:p>
        </w:tc>
      </w:tr>
      <w:tr>
        <w:tc>
          <w:tcPr>
            <w:tcW w:type="dxa" w:w="1814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water_meter_reading</w:t>
            </w:r>
          </w:p>
        </w:tc>
        <w:tc>
          <w:tcPr>
            <w:tcW w:type="dxa" w:w="3402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UNIQUE(room_id, period_year, period_month)</w:t>
            </w:r>
          </w:p>
        </w:tc>
        <w:tc>
          <w:tcPr>
            <w:tcW w:type="dxa" w:w="385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同房间同月只允许一条抄表</w:t>
            </w:r>
          </w:p>
        </w:tc>
      </w:tr>
      <w:tr>
        <w:tc>
          <w:tcPr>
            <w:tcW w:type="dxa" w:w="1814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bill(WATER)</w:t>
            </w:r>
          </w:p>
        </w:tc>
        <w:tc>
          <w:tcPr>
            <w:tcW w:type="dxa" w:w="3402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UNIQUE(room_id, fee_type, period_year, period_month)</w:t>
            </w:r>
          </w:p>
        </w:tc>
        <w:tc>
          <w:tcPr>
            <w:tcW w:type="dxa" w:w="385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同房间同月只允许一张水费账单</w:t>
            </w:r>
          </w:p>
        </w:tc>
      </w:tr>
      <w:tr>
        <w:tc>
          <w:tcPr>
            <w:tcW w:type="dxa" w:w="1814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pay_order</w:t>
            </w:r>
          </w:p>
        </w:tc>
        <w:tc>
          <w:tcPr>
            <w:tcW w:type="dxa" w:w="3402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UNIQUE(pay_order_no), UNIQUE(idempotency_key)</w:t>
            </w:r>
          </w:p>
        </w:tc>
        <w:tc>
          <w:tcPr>
            <w:tcW w:type="dxa" w:w="385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防重复下单</w:t>
            </w:r>
          </w:p>
        </w:tc>
      </w:tr>
    </w:tbl>
    <w:p/>
    <w:p>
      <w:pPr>
        <w:keepNext/>
        <w:spacing w:before="200" w:after="80" w:line="269" w:lineRule="auto"/>
      </w:pPr>
      <w:r>
        <w:rPr>
          <w:rFonts w:ascii="Noto Sans CJK SC" w:hAnsi="Noto Sans CJK SC" w:eastAsia="Noto Sans CJK SC"/>
          <w:b/>
          <w:i w:val="0"/>
          <w:color w:val="1F6B75"/>
          <w:sz w:val="25"/>
        </w:rPr>
        <w:t>4.2 迁移策略</w:t>
      </w:r>
    </w:p>
    <w:p>
      <w:pPr>
        <w:keepNext w:val="0"/>
        <w:spacing w:before="0" w:after="60" w:line="341" w:lineRule="auto"/>
        <w:ind w:left="312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• 所有表结构变更必须通过 Flyway 迁移脚本执行，禁止直接改生产表结构。</w:t>
      </w:r>
    </w:p>
    <w:p>
      <w:pPr>
        <w:keepNext w:val="0"/>
        <w:spacing w:before="0" w:after="60" w:line="341" w:lineRule="auto"/>
        <w:ind w:left="312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• 涉及 bill 新增字段和唯一约束调整的脚本，必须先在 Staging 用真实样本数据演练。</w:t>
      </w:r>
    </w:p>
    <w:p>
      <w:pPr>
        <w:keepNext w:val="0"/>
        <w:spacing w:before="0" w:after="60" w:line="341" w:lineRule="auto"/>
        <w:ind w:left="312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• 如果历史数据中已有物业费按月账单，需要先做数据清洗再切换到按年口径，避免年费与月费口径混杂。</w:t>
      </w:r>
    </w:p>
    <w:p>
      <w:pPr>
        <w:keepNext/>
        <w:spacing w:before="200" w:after="80" w:line="269" w:lineRule="auto"/>
      </w:pPr>
      <w:r>
        <w:rPr>
          <w:rFonts w:ascii="Noto Sans CJK SC" w:hAnsi="Noto Sans CJK SC" w:eastAsia="Noto Sans CJK SC"/>
          <w:b/>
          <w:i w:val="0"/>
          <w:color w:val="1F6B75"/>
          <w:sz w:val="25"/>
        </w:rPr>
        <w:t>4.3 上线前校验 SQL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4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F6FAFD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-- 检查年度物业费是否重复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SELECT room_id, period_year, COUNT(*)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FROM bill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WHERE fee_type = 'PROPERTY'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GROUP BY room_id, period_year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HAVING COUNT(*) &gt; 1;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-- 检查月度水费是否重复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SELECT room_id, period_year, period_month, COUNT(*)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FROM bill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WHERE fee_type = 'WATER'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GROUP BY room_id, period_year, period_month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HAVING COUNT(*) &gt; 1;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-- 检查抄表异常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SELECT id, room_id, period_year, period_month, prev_reading, curr_reading, usage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FROM water_meter_reading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WHERE usage &lt; 0 OR curr_reading &lt; prev_reading;</w:t>
            </w:r>
          </w:p>
        </w:tc>
      </w:tr>
    </w:tbl>
    <w:p/>
    <w:p>
      <w:pPr>
        <w:keepNext/>
        <w:spacing w:before="280" w:after="120" w:line="269" w:lineRule="auto"/>
      </w:pPr>
      <w:r>
        <w:rPr>
          <w:rFonts w:ascii="Noto Sans CJK SC" w:hAnsi="Noto Sans CJK SC" w:eastAsia="Noto Sans CJK SC"/>
          <w:b/>
          <w:i w:val="0"/>
          <w:color w:val="1F4E79"/>
          <w:sz w:val="30"/>
        </w:rPr>
        <w:t>5. 接口、流程与权限口径</w:t>
      </w:r>
    </w:p>
    <w:p>
      <w:pPr>
        <w:keepNext/>
        <w:spacing w:before="200" w:after="80" w:line="269" w:lineRule="auto"/>
      </w:pPr>
      <w:r>
        <w:rPr>
          <w:rFonts w:ascii="Noto Sans CJK SC" w:hAnsi="Noto Sans CJK SC" w:eastAsia="Noto Sans CJK SC"/>
          <w:b/>
          <w:i w:val="0"/>
          <w:color w:val="1F6B75"/>
          <w:sz w:val="25"/>
        </w:rPr>
        <w:t>5.1 Admin 关键接口调整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3969"/>
        <w:gridCol w:w="3969"/>
      </w:tblGrid>
      <w:tr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方法</w:t>
            </w:r>
          </w:p>
        </w:tc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路径</w:t>
            </w:r>
          </w:p>
        </w:tc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说明</w:t>
            </w:r>
          </w:p>
        </w:tc>
      </w:tr>
      <w:tr>
        <w:tc>
          <w:tcPr>
            <w:tcW w:type="dxa" w:w="1020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POST</w:t>
            </w:r>
          </w:p>
        </w:tc>
        <w:tc>
          <w:tcPr>
            <w:tcW w:type="dxa" w:w="3969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/api/v1/admin/bills/generate/property-yearly</w:t>
            </w:r>
          </w:p>
        </w:tc>
        <w:tc>
          <w:tcPr>
            <w:tcW w:type="dxa" w:w="3969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按年度生成物业费账单</w:t>
            </w:r>
          </w:p>
        </w:tc>
      </w:tr>
      <w:tr>
        <w:tc>
          <w:tcPr>
            <w:tcW w:type="dxa" w:w="1020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POST</w:t>
            </w:r>
          </w:p>
        </w:tc>
        <w:tc>
          <w:tcPr>
            <w:tcW w:type="dxa" w:w="3969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/api/v1/admin/water-readings</w:t>
            </w:r>
          </w:p>
        </w:tc>
        <w:tc>
          <w:tcPr>
            <w:tcW w:type="dxa" w:w="3969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录入抄表并在同一事务内生成/更新当月水费账单</w:t>
            </w:r>
          </w:p>
        </w:tc>
      </w:tr>
      <w:tr>
        <w:tc>
          <w:tcPr>
            <w:tcW w:type="dxa" w:w="1020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GET</w:t>
            </w:r>
          </w:p>
        </w:tc>
        <w:tc>
          <w:tcPr>
            <w:tcW w:type="dxa" w:w="3969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/api/v1/admin/bills?feeType=PROPERTY&amp;periodYear=2026</w:t>
            </w:r>
          </w:p>
        </w:tc>
        <w:tc>
          <w:tcPr>
            <w:tcW w:type="dxa" w:w="3969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查询年度物业费账单</w:t>
            </w:r>
          </w:p>
        </w:tc>
      </w:tr>
      <w:tr>
        <w:tc>
          <w:tcPr>
            <w:tcW w:type="dxa" w:w="1020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GET</w:t>
            </w:r>
          </w:p>
        </w:tc>
        <w:tc>
          <w:tcPr>
            <w:tcW w:type="dxa" w:w="3969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/api/v1/admin/bills?feeType=WATER&amp;periodYear=2026&amp;periodMonth=3</w:t>
            </w:r>
          </w:p>
        </w:tc>
        <w:tc>
          <w:tcPr>
            <w:tcW w:type="dxa" w:w="3969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查询月度水费账单</w:t>
            </w:r>
          </w:p>
        </w:tc>
      </w:tr>
      <w:tr>
        <w:tc>
          <w:tcPr>
            <w:tcW w:type="dxa" w:w="1020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GET</w:t>
            </w:r>
          </w:p>
        </w:tc>
        <w:tc>
          <w:tcPr>
            <w:tcW w:type="dxa" w:w="3969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/api/v1/admin/reports/property-yearly</w:t>
            </w:r>
          </w:p>
        </w:tc>
        <w:tc>
          <w:tcPr>
            <w:tcW w:type="dxa" w:w="3969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查看年度物业费报表</w:t>
            </w:r>
          </w:p>
        </w:tc>
      </w:tr>
      <w:tr>
        <w:tc>
          <w:tcPr>
            <w:tcW w:type="dxa" w:w="1020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GET</w:t>
            </w:r>
          </w:p>
        </w:tc>
        <w:tc>
          <w:tcPr>
            <w:tcW w:type="dxa" w:w="3969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/api/v1/admin/reports/water-monthly</w:t>
            </w:r>
          </w:p>
        </w:tc>
        <w:tc>
          <w:tcPr>
            <w:tcW w:type="dxa" w:w="3969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查看月度水费报表</w:t>
            </w:r>
          </w:p>
        </w:tc>
      </w:tr>
    </w:tbl>
    <w:p/>
    <w:p>
      <w:pPr>
        <w:keepNext/>
        <w:spacing w:before="200" w:after="80" w:line="269" w:lineRule="auto"/>
      </w:pPr>
      <w:r>
        <w:rPr>
          <w:rFonts w:ascii="Noto Sans CJK SC" w:hAnsi="Noto Sans CJK SC" w:eastAsia="Noto Sans CJK SC"/>
          <w:b/>
          <w:i w:val="0"/>
          <w:color w:val="1F6B75"/>
          <w:sz w:val="25"/>
        </w:rPr>
        <w:t>5.2 核心事务边界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082"/>
        <w:gridCol w:w="3175"/>
      </w:tblGrid>
      <w:tr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场景</w:t>
            </w:r>
          </w:p>
        </w:tc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事务内动作</w:t>
            </w:r>
          </w:p>
        </w:tc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幂等/锁</w:t>
            </w:r>
          </w:p>
        </w:tc>
      </w:tr>
      <w:tr>
        <w:tc>
          <w:tcPr>
            <w:tcW w:type="dxa" w:w="170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年度物业费开单</w:t>
            </w:r>
          </w:p>
        </w:tc>
        <w:tc>
          <w:tcPr>
            <w:tcW w:type="dxa" w:w="4082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写 bill + bill_line + 审计日志</w:t>
            </w:r>
          </w:p>
        </w:tc>
        <w:tc>
          <w:tcPr>
            <w:tcW w:type="dxa" w:w="317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按 room + year 防重复</w:t>
            </w:r>
          </w:p>
        </w:tc>
      </w:tr>
      <w:tr>
        <w:tc>
          <w:tcPr>
            <w:tcW w:type="dxa" w:w="170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水费抄表录入</w:t>
            </w:r>
          </w:p>
        </w:tc>
        <w:tc>
          <w:tcPr>
            <w:tcW w:type="dxa" w:w="4082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写 water_meter_reading + 写/更 water bill + bill_line</w:t>
            </w:r>
          </w:p>
        </w:tc>
        <w:tc>
          <w:tcPr>
            <w:tcW w:type="dxa" w:w="317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按 room + year + month 加唯一约束</w:t>
            </w:r>
          </w:p>
        </w:tc>
      </w:tr>
      <w:tr>
        <w:tc>
          <w:tcPr>
            <w:tcW w:type="dxa" w:w="170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创建支付单</w:t>
            </w:r>
          </w:p>
        </w:tc>
        <w:tc>
          <w:tcPr>
            <w:tcW w:type="dxa" w:w="4082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锁 bill、锁 coupon、写 pay_order</w:t>
            </w:r>
          </w:p>
        </w:tc>
        <w:tc>
          <w:tcPr>
            <w:tcW w:type="dxa" w:w="317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idempotency_key + Redis 幂等键</w:t>
            </w:r>
          </w:p>
        </w:tc>
      </w:tr>
      <w:tr>
        <w:tc>
          <w:tcPr>
            <w:tcW w:type="dxa" w:w="170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支付回调</w:t>
            </w:r>
          </w:p>
        </w:tc>
        <w:tc>
          <w:tcPr>
            <w:tcW w:type="dxa" w:w="4082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锁 pay_order，更新 pay_order/bill/coupon</w:t>
            </w:r>
          </w:p>
        </w:tc>
        <w:tc>
          <w:tcPr>
            <w:tcW w:type="dxa" w:w="317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回调通知号与状态双重幂等</w:t>
            </w:r>
          </w:p>
        </w:tc>
      </w:tr>
    </w:tbl>
    <w:p/>
    <w:p>
      <w:pPr>
        <w:keepNext/>
        <w:spacing w:before="200" w:after="80" w:line="269" w:lineRule="auto"/>
      </w:pPr>
      <w:r>
        <w:rPr>
          <w:rFonts w:ascii="Noto Sans CJK SC" w:hAnsi="Noto Sans CJK SC" w:eastAsia="Noto Sans CJK SC"/>
          <w:b/>
          <w:i w:val="0"/>
          <w:color w:val="1F6B75"/>
          <w:sz w:val="25"/>
        </w:rPr>
        <w:t>5.3 权限口径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535"/>
        <w:gridCol w:w="2494"/>
      </w:tblGrid>
      <w:tr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角色</w:t>
            </w:r>
          </w:p>
        </w:tc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接口权限</w:t>
            </w:r>
          </w:p>
        </w:tc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数据范围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Resident</w:t>
            </w:r>
          </w:p>
        </w:tc>
        <w:tc>
          <w:tcPr>
            <w:tcW w:type="dxa" w:w="453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只能查看自己绑定房间的账单与支付结果</w:t>
            </w:r>
          </w:p>
        </w:tc>
        <w:tc>
          <w:tcPr>
            <w:tcW w:type="dxa" w:w="2494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Self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Agent</w:t>
            </w:r>
          </w:p>
        </w:tc>
        <w:tc>
          <w:tcPr>
            <w:tcW w:type="dxa" w:w="453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只能查看被授权组的报表和房间缴费状态</w:t>
            </w:r>
          </w:p>
        </w:tc>
        <w:tc>
          <w:tcPr>
            <w:tcW w:type="dxa" w:w="2494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Group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Admin</w:t>
            </w:r>
          </w:p>
        </w:tc>
        <w:tc>
          <w:tcPr>
            <w:tcW w:type="dxa" w:w="453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可配置规则、开单、抄表、导入导出、查看全局报表</w:t>
            </w:r>
          </w:p>
        </w:tc>
        <w:tc>
          <w:tcPr>
            <w:tcW w:type="dxa" w:w="2494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All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Finance</w:t>
            </w:r>
          </w:p>
        </w:tc>
        <w:tc>
          <w:tcPr>
            <w:tcW w:type="dxa" w:w="453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以对账和财务核查为主，不直接改业务规则</w:t>
            </w:r>
          </w:p>
        </w:tc>
        <w:tc>
          <w:tcPr>
            <w:tcW w:type="dxa" w:w="2494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All / Org</w:t>
            </w:r>
          </w:p>
        </w:tc>
      </w:tr>
    </w:tbl>
    <w:p/>
    <w:p>
      <w:pPr>
        <w:keepNext/>
        <w:spacing w:before="280" w:after="120" w:line="269" w:lineRule="auto"/>
      </w:pPr>
      <w:r>
        <w:rPr>
          <w:rFonts w:ascii="Noto Sans CJK SC" w:hAnsi="Noto Sans CJK SC" w:eastAsia="Noto Sans CJK SC"/>
          <w:b/>
          <w:i w:val="0"/>
          <w:color w:val="1F4E79"/>
          <w:sz w:val="30"/>
        </w:rPr>
        <w:t>6. React + Tailwind 前端落地方案</w:t>
      </w:r>
    </w:p>
    <w:p>
      <w:pPr>
        <w:keepNext w:val="0"/>
        <w:spacing w:before="0" w:after="120" w:line="341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前端的职责不是“把接口调通”就结束，而是要把年度物业费、月度水费、权限范围、异常状态、对账追溯和发布可回滚这些生产要点落到页面行为中。以下为建议的落地基线。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257"/>
      </w:tblGrid>
      <w:tr>
        <w:tc>
          <w:tcPr>
            <w:tcW w:type="dxa" w:w="47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主题</w:t>
            </w:r>
          </w:p>
        </w:tc>
        <w:tc>
          <w:tcPr>
            <w:tcW w:type="dxa" w:w="47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建议基线</w:t>
            </w:r>
          </w:p>
        </w:tc>
      </w:tr>
      <w:tr>
        <w:tc>
          <w:tcPr>
            <w:tcW w:type="dxa" w:w="170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工程骨架</w:t>
            </w:r>
          </w:p>
        </w:tc>
        <w:tc>
          <w:tcPr>
            <w:tcW w:type="dxa" w:w="725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Vite + React + TypeScript + Tailwind CSS</w:t>
            </w:r>
          </w:p>
        </w:tc>
      </w:tr>
      <w:tr>
        <w:tc>
          <w:tcPr>
            <w:tcW w:type="dxa" w:w="170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路由</w:t>
            </w:r>
          </w:p>
        </w:tc>
        <w:tc>
          <w:tcPr>
            <w:tcW w:type="dxa" w:w="725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React Router；页面级鉴权 + 菜单级鉴权</w:t>
            </w:r>
          </w:p>
        </w:tc>
      </w:tr>
      <w:tr>
        <w:tc>
          <w:tcPr>
            <w:tcW w:type="dxa" w:w="170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数据请求</w:t>
            </w:r>
          </w:p>
        </w:tc>
        <w:tc>
          <w:tcPr>
            <w:tcW w:type="dxa" w:w="725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统一 API Client；建议按页面维度封装查询与突变</w:t>
            </w:r>
          </w:p>
        </w:tc>
      </w:tr>
      <w:tr>
        <w:tc>
          <w:tcPr>
            <w:tcW w:type="dxa" w:w="170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状态管理</w:t>
            </w:r>
          </w:p>
        </w:tc>
        <w:tc>
          <w:tcPr>
            <w:tcW w:type="dxa" w:w="725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页面局部状态优先；跨页筛选/用户信息可放轻量状态容器</w:t>
            </w:r>
          </w:p>
        </w:tc>
      </w:tr>
      <w:tr>
        <w:tc>
          <w:tcPr>
            <w:tcW w:type="dxa" w:w="170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表格与表单</w:t>
            </w:r>
          </w:p>
        </w:tc>
        <w:tc>
          <w:tcPr>
            <w:tcW w:type="dxa" w:w="725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Tailwind + 自研业务组件；金额/日期/状态统一格式化</w:t>
            </w:r>
          </w:p>
        </w:tc>
      </w:tr>
      <w:tr>
        <w:tc>
          <w:tcPr>
            <w:tcW w:type="dxa" w:w="170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构建产物</w:t>
            </w:r>
          </w:p>
        </w:tc>
        <w:tc>
          <w:tcPr>
            <w:tcW w:type="dxa" w:w="725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dist/ 静态资源交付给 Nginx；API 基地址走环境变量</w:t>
            </w:r>
          </w:p>
        </w:tc>
      </w:tr>
    </w:tbl>
    <w:p/>
    <w:p>
      <w:pPr>
        <w:keepNext/>
        <w:spacing w:before="200" w:after="80" w:line="269" w:lineRule="auto"/>
      </w:pPr>
      <w:r>
        <w:rPr>
          <w:rFonts w:ascii="Noto Sans CJK SC" w:hAnsi="Noto Sans CJK SC" w:eastAsia="Noto Sans CJK SC"/>
          <w:b/>
          <w:i w:val="0"/>
          <w:color w:val="1F6B75"/>
          <w:sz w:val="25"/>
        </w:rPr>
        <w:t>6.1 推荐目录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4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F6FAFD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admin-web/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├── src/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│   ├── app/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│   ├── api/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│   ├── pages/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│   │   ├── property-yearly/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│   │   ├── water-monthly/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│   │   ├── bills/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│   │   ├── payments/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│   │   ├── reports/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│   │   └── audit/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│   ├── components/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│   ├── hooks/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│   ├── utils/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│   └── types/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├── public/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└── tailwind.config.*</w:t>
            </w:r>
          </w:p>
        </w:tc>
      </w:tr>
    </w:tbl>
    <w:p/>
    <w:p>
      <w:pPr>
        <w:keepNext/>
        <w:spacing w:before="200" w:after="80" w:line="269" w:lineRule="auto"/>
      </w:pPr>
      <w:r>
        <w:rPr>
          <w:rFonts w:ascii="Noto Sans CJK SC" w:hAnsi="Noto Sans CJK SC" w:eastAsia="Noto Sans CJK SC"/>
          <w:b/>
          <w:i w:val="0"/>
          <w:color w:val="1F6B75"/>
          <w:sz w:val="25"/>
        </w:rPr>
        <w:t>6.2 页面实现要求</w:t>
      </w:r>
    </w:p>
    <w:p>
      <w:pPr>
        <w:keepNext w:val="0"/>
        <w:spacing w:before="0" w:after="60" w:line="341" w:lineRule="auto"/>
        <w:ind w:left="312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• 年度物业费页面必须能明确展示“收费年度、面积来源、年度单价、覆盖区间、到期日”。</w:t>
      </w:r>
    </w:p>
    <w:p>
      <w:pPr>
        <w:keepNext w:val="0"/>
        <w:spacing w:before="0" w:after="60" w:line="341" w:lineRule="auto"/>
        <w:ind w:left="312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• 月度水费页面必须能展示“上期读数、本期读数、用量、单价、抄表人、抄表时间、照片”。</w:t>
      </w:r>
    </w:p>
    <w:p>
      <w:pPr>
        <w:keepNext w:val="0"/>
        <w:spacing w:before="0" w:after="60" w:line="341" w:lineRule="auto"/>
        <w:ind w:left="312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• 账单详情页必须能解释计算依据；不能只给一个金额。</w:t>
      </w:r>
    </w:p>
    <w:p>
      <w:pPr>
        <w:keepNext w:val="0"/>
        <w:spacing w:before="0" w:after="60" w:line="341" w:lineRule="auto"/>
        <w:ind w:left="312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• 所有列表页默认带状态筛选、时间筛选、导出入口和权限内数据过滤。</w:t>
      </w:r>
    </w:p>
    <w:p>
      <w:pPr>
        <w:keepNext w:val="0"/>
        <w:spacing w:before="0" w:after="60" w:line="341" w:lineRule="auto"/>
        <w:ind w:left="312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• 按钮权限要跟后端角色保持一致，例如年度开单、抄表录入、作废、补差不能对 Agent 暴露。</w:t>
      </w:r>
    </w:p>
    <w:p>
      <w:pPr>
        <w:keepNext/>
        <w:spacing w:before="200" w:after="80" w:line="269" w:lineRule="auto"/>
      </w:pPr>
      <w:r>
        <w:rPr>
          <w:rFonts w:ascii="Noto Sans CJK SC" w:hAnsi="Noto Sans CJK SC" w:eastAsia="Noto Sans CJK SC"/>
          <w:b/>
          <w:i w:val="0"/>
          <w:color w:val="1F6B75"/>
          <w:sz w:val="25"/>
        </w:rPr>
        <w:t>6.3 前端环境变量示例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4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F6FAFD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VITE_API_BASE_URL=https://api.&lt;domain&gt;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VITE_APP_ENV=prod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VITE_ENABLE_ALIPAY=false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VITE_SENTRY_DSN=&lt;PLACEHOLDER&gt;</w:t>
            </w:r>
          </w:p>
        </w:tc>
      </w:tr>
    </w:tbl>
    <w:p/>
    <w:p>
      <w:pPr>
        <w:keepNext/>
        <w:spacing w:before="280" w:after="120" w:line="269" w:lineRule="auto"/>
      </w:pPr>
      <w:r>
        <w:rPr>
          <w:rFonts w:ascii="Noto Sans CJK SC" w:hAnsi="Noto Sans CJK SC" w:eastAsia="Noto Sans CJK SC"/>
          <w:b/>
          <w:i w:val="0"/>
          <w:color w:val="1F4E79"/>
          <w:sz w:val="30"/>
        </w:rPr>
        <w:t>7. 配置、构建与部署要求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175"/>
        <w:gridCol w:w="4195"/>
      </w:tblGrid>
      <w:tr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分类</w:t>
            </w:r>
          </w:p>
        </w:tc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关键项</w:t>
            </w:r>
          </w:p>
        </w:tc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要求</w:t>
            </w:r>
          </w:p>
        </w:tc>
      </w:tr>
      <w:tr>
        <w:tc>
          <w:tcPr>
            <w:tcW w:type="dxa" w:w="158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后端配置</w:t>
            </w:r>
          </w:p>
        </w:tc>
        <w:tc>
          <w:tcPr>
            <w:tcW w:type="dxa" w:w="317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MYSQL_* / REDIS_* / RABBITMQ_* / JWT_* / PAY_*</w:t>
            </w:r>
          </w:p>
        </w:tc>
        <w:tc>
          <w:tcPr>
            <w:tcW w:type="dxa" w:w="419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按环境隔离，敏感项不入仓</w:t>
            </w:r>
          </w:p>
        </w:tc>
      </w:tr>
      <w:tr>
        <w:tc>
          <w:tcPr>
            <w:tcW w:type="dxa" w:w="158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前端配置</w:t>
            </w:r>
          </w:p>
        </w:tc>
        <w:tc>
          <w:tcPr>
            <w:tcW w:type="dxa" w:w="317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VITE_API_BASE_URL / VITE_APP_ENV / 功能开关</w:t>
            </w:r>
          </w:p>
        </w:tc>
        <w:tc>
          <w:tcPr>
            <w:tcW w:type="dxa" w:w="419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通过构建环境注入</w:t>
            </w:r>
          </w:p>
        </w:tc>
      </w:tr>
      <w:tr>
        <w:tc>
          <w:tcPr>
            <w:tcW w:type="dxa" w:w="158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Nginx</w:t>
            </w:r>
          </w:p>
        </w:tc>
        <w:tc>
          <w:tcPr>
            <w:tcW w:type="dxa" w:w="317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静态资源缓存、API 反代、HTTPS</w:t>
            </w:r>
          </w:p>
        </w:tc>
        <w:tc>
          <w:tcPr>
            <w:tcW w:type="dxa" w:w="419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前后端可同域或跨域规范化</w:t>
            </w:r>
          </w:p>
        </w:tc>
      </w:tr>
      <w:tr>
        <w:tc>
          <w:tcPr>
            <w:tcW w:type="dxa" w:w="158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对象存储</w:t>
            </w:r>
          </w:p>
        </w:tc>
        <w:tc>
          <w:tcPr>
            <w:tcW w:type="dxa" w:w="317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抄表照片、导出文件</w:t>
            </w:r>
          </w:p>
        </w:tc>
        <w:tc>
          <w:tcPr>
            <w:tcW w:type="dxa" w:w="419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路径权限最小化，下载链接可过期</w:t>
            </w:r>
          </w:p>
        </w:tc>
      </w:tr>
    </w:tbl>
    <w:p/>
    <w:p>
      <w:pPr>
        <w:keepNext/>
        <w:spacing w:before="200" w:after="80" w:line="269" w:lineRule="auto"/>
      </w:pPr>
      <w:r>
        <w:rPr>
          <w:rFonts w:ascii="Noto Sans CJK SC" w:hAnsi="Noto Sans CJK SC" w:eastAsia="Noto Sans CJK SC"/>
          <w:b/>
          <w:i w:val="0"/>
          <w:color w:val="1F6B75"/>
          <w:sz w:val="25"/>
        </w:rPr>
        <w:t>7.1 构建发布示例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4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F6FAFD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# 前端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pnpm install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pnpm build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# 后端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mvn clean package -DskipTests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docker build -t registry.&lt;domain&gt;/wuye/wuye-api:&lt;RELEASE_TAG&gt; backend/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4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F6FAFD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server {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 xml:space="preserve">    listen 443 ssl http2;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 xml:space="preserve">    server_name admin.&lt;domain&gt;;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 xml:space="preserve">    root /srv/wuye/admin-web/dist;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 xml:space="preserve">    index index.html;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 xml:space="preserve">    location / {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 xml:space="preserve">        try_files $uri $uri/ /index.html;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 xml:space="preserve">    }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 xml:space="preserve">    location /api/ {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 xml:space="preserve">        proxy_pass http://wuye_api_upstream;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 xml:space="preserve">        proxy_set_header Host $host;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 xml:space="preserve">        proxy_set_header X-Forwarded-Proto https;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 xml:space="preserve">        proxy_set_header X-Forwarded-For $proxy_add_x_forwarded_for;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 xml:space="preserve">    }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34155"/>
                <w:sz w:val="18"/>
              </w:rPr>
              <w:t>}</w:t>
            </w:r>
          </w:p>
        </w:tc>
      </w:tr>
    </w:tbl>
    <w:p/>
    <w:p>
      <w:pPr>
        <w:keepNext w:val="0"/>
        <w:spacing w:before="0" w:after="60" w:line="341" w:lineRule="auto"/>
        <w:ind w:left="312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• 支付私钥、商户证书、JWT 密钥不得写入镜像。</w:t>
      </w:r>
    </w:p>
    <w:p>
      <w:pPr>
        <w:keepNext w:val="0"/>
        <w:spacing w:before="0" w:after="60" w:line="341" w:lineRule="auto"/>
        <w:ind w:left="312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• 前端静态资源构建与后端镜像构建建议分开版本，但上线单要记录对应关系。</w:t>
      </w:r>
    </w:p>
    <w:p>
      <w:pPr>
        <w:keepNext w:val="0"/>
        <w:spacing w:before="0" w:after="60" w:line="341" w:lineRule="auto"/>
        <w:ind w:left="312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• 生产配置变更必须留痕，至少记录操作者、生效时间和回滚方法。</w:t>
      </w:r>
    </w:p>
    <w:p>
      <w:pPr>
        <w:keepNext/>
        <w:spacing w:before="280" w:after="120" w:line="269" w:lineRule="auto"/>
      </w:pPr>
      <w:r>
        <w:rPr>
          <w:rFonts w:ascii="Noto Sans CJK SC" w:hAnsi="Noto Sans CJK SC" w:eastAsia="Noto Sans CJK SC"/>
          <w:b/>
          <w:i w:val="0"/>
          <w:color w:val="1F4E79"/>
          <w:sz w:val="30"/>
        </w:rPr>
        <w:t>8. 发布、回滚与上线时序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3969"/>
        <w:gridCol w:w="1587"/>
        <w:gridCol w:w="2608"/>
      </w:tblGrid>
      <w:tr>
        <w:tc>
          <w:tcPr>
            <w:tcW w:type="dxa" w:w="23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阶段</w:t>
            </w:r>
          </w:p>
        </w:tc>
        <w:tc>
          <w:tcPr>
            <w:tcW w:type="dxa" w:w="23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动作</w:t>
            </w:r>
          </w:p>
        </w:tc>
        <w:tc>
          <w:tcPr>
            <w:tcW w:type="dxa" w:w="23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责任人</w:t>
            </w:r>
          </w:p>
        </w:tc>
        <w:tc>
          <w:tcPr>
            <w:tcW w:type="dxa" w:w="23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输出</w:t>
            </w:r>
          </w:p>
        </w:tc>
      </w:tr>
      <w:tr>
        <w:tc>
          <w:tcPr>
            <w:tcW w:type="dxa" w:w="1020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T-7</w:t>
            </w:r>
          </w:p>
        </w:tc>
        <w:tc>
          <w:tcPr>
            <w:tcW w:type="dxa" w:w="3969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冻结年费/水费规则、完成 Staging 演练</w:t>
            </w:r>
          </w:p>
        </w:tc>
        <w:tc>
          <w:tcPr>
            <w:tcW w:type="dxa" w:w="158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研发/测试/业务</w:t>
            </w:r>
          </w:p>
        </w:tc>
        <w:tc>
          <w:tcPr>
            <w:tcW w:type="dxa" w:w="260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演练记录</w:t>
            </w:r>
          </w:p>
        </w:tc>
      </w:tr>
      <w:tr>
        <w:tc>
          <w:tcPr>
            <w:tcW w:type="dxa" w:w="1020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T-3</w:t>
            </w:r>
          </w:p>
        </w:tc>
        <w:tc>
          <w:tcPr>
            <w:tcW w:type="dxa" w:w="3969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确认前端构建包、后端镜像、数据库脚本、支付配置</w:t>
            </w:r>
          </w:p>
        </w:tc>
        <w:tc>
          <w:tcPr>
            <w:tcW w:type="dxa" w:w="158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研发/运维</w:t>
            </w:r>
          </w:p>
        </w:tc>
        <w:tc>
          <w:tcPr>
            <w:tcW w:type="dxa" w:w="260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发布包与配置清单</w:t>
            </w:r>
          </w:p>
        </w:tc>
      </w:tr>
      <w:tr>
        <w:tc>
          <w:tcPr>
            <w:tcW w:type="dxa" w:w="1020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T-1</w:t>
            </w:r>
          </w:p>
        </w:tc>
        <w:tc>
          <w:tcPr>
            <w:tcW w:type="dxa" w:w="3969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完成数据库备份、回滚包准备、联系人和值班表</w:t>
            </w:r>
          </w:p>
        </w:tc>
        <w:tc>
          <w:tcPr>
            <w:tcW w:type="dxa" w:w="158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运维/DBA</w:t>
            </w:r>
          </w:p>
        </w:tc>
        <w:tc>
          <w:tcPr>
            <w:tcW w:type="dxa" w:w="260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备份记录</w:t>
            </w:r>
          </w:p>
        </w:tc>
      </w:tr>
      <w:tr>
        <w:tc>
          <w:tcPr>
            <w:tcW w:type="dxa" w:w="1020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T 日</w:t>
            </w:r>
          </w:p>
        </w:tc>
        <w:tc>
          <w:tcPr>
            <w:tcW w:type="dxa" w:w="3969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先发一个 API 实例与前端包，冒烟通过后再滚动第二实例</w:t>
            </w:r>
          </w:p>
        </w:tc>
        <w:tc>
          <w:tcPr>
            <w:tcW w:type="dxa" w:w="158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运维/测试</w:t>
            </w:r>
          </w:p>
        </w:tc>
        <w:tc>
          <w:tcPr>
            <w:tcW w:type="dxa" w:w="260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上线确认</w:t>
            </w:r>
          </w:p>
        </w:tc>
      </w:tr>
      <w:tr>
        <w:tc>
          <w:tcPr>
            <w:tcW w:type="dxa" w:w="1020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T+1</w:t>
            </w:r>
          </w:p>
        </w:tc>
        <w:tc>
          <w:tcPr>
            <w:tcW w:type="dxa" w:w="3969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核查对账、日志、队列积压和业务反馈</w:t>
            </w:r>
          </w:p>
        </w:tc>
        <w:tc>
          <w:tcPr>
            <w:tcW w:type="dxa" w:w="1587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项目负责人/财务</w:t>
            </w:r>
          </w:p>
        </w:tc>
        <w:tc>
          <w:tcPr>
            <w:tcW w:type="dxa" w:w="260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首日观察报告</w:t>
            </w:r>
          </w:p>
        </w:tc>
      </w:tr>
    </w:tbl>
    <w:p/>
    <w:p>
      <w:pPr>
        <w:keepNext/>
        <w:spacing w:before="200" w:after="80" w:line="269" w:lineRule="auto"/>
      </w:pPr>
      <w:r>
        <w:rPr>
          <w:rFonts w:ascii="Noto Sans CJK SC" w:hAnsi="Noto Sans CJK SC" w:eastAsia="Noto Sans CJK SC"/>
          <w:b/>
          <w:i w:val="0"/>
          <w:color w:val="1F6B75"/>
          <w:sz w:val="25"/>
        </w:rPr>
        <w:t>8.1 回滚原则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061"/>
        <w:gridCol w:w="2948"/>
      </w:tblGrid>
      <w:tr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触发条件</w:t>
            </w:r>
          </w:p>
        </w:tc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回滚动作</w:t>
            </w:r>
          </w:p>
        </w:tc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账单错误大面积暴露</w:t>
            </w:r>
          </w:p>
        </w:tc>
        <w:tc>
          <w:tcPr>
            <w:tcW w:type="dxa" w:w="306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立即下线相关入口，回切上一版本前端与 API</w:t>
            </w:r>
          </w:p>
        </w:tc>
        <w:tc>
          <w:tcPr>
            <w:tcW w:type="dxa" w:w="294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先止血再评估数据修复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支付阻断</w:t>
            </w:r>
          </w:p>
        </w:tc>
        <w:tc>
          <w:tcPr>
            <w:tcW w:type="dxa" w:w="306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保留日志，优先回切上一稳定版 API 与支付配置</w:t>
            </w:r>
          </w:p>
        </w:tc>
        <w:tc>
          <w:tcPr>
            <w:tcW w:type="dxa" w:w="294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支付链路优先级最高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前端展示错误但后端正常</w:t>
            </w:r>
          </w:p>
        </w:tc>
        <w:tc>
          <w:tcPr>
            <w:tcW w:type="dxa" w:w="306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优先回滚前端静态资源，不必整站回滚</w:t>
            </w:r>
          </w:p>
        </w:tc>
        <w:tc>
          <w:tcPr>
            <w:tcW w:type="dxa" w:w="294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React 静态资源可快速回切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数据库不兼容脚本</w:t>
            </w:r>
          </w:p>
        </w:tc>
        <w:tc>
          <w:tcPr>
            <w:tcW w:type="dxa" w:w="306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按预案执行应用回滚并由 DBA 评估数据恢复</w:t>
            </w:r>
          </w:p>
        </w:tc>
        <w:tc>
          <w:tcPr>
            <w:tcW w:type="dxa" w:w="294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禁止未经评估直接恢复整库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4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8C2F39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2"/>
              </w:rPr>
              <w:t>发布禁忌</w:t>
            </w:r>
          </w:p>
        </w:tc>
      </w:tr>
      <w:tr>
        <w:tc>
          <w:tcPr>
            <w:tcW w:type="dxa" w:w="94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FCEBEC"/>
          </w:tcPr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20"/>
              </w:rPr>
              <w:t>不要在生产高峰期同时更改年度规则、支付证书和前端账单展示逻辑；不要在没有备份点的情况下调整 bill 唯一约束；不要为了追求速度跳过水费抄表后的账单校验。</w:t>
            </w:r>
          </w:p>
        </w:tc>
      </w:tr>
    </w:tbl>
    <w:p/>
    <w:p>
      <w:pPr>
        <w:keepNext/>
        <w:spacing w:before="280" w:after="120" w:line="269" w:lineRule="auto"/>
      </w:pPr>
      <w:r>
        <w:rPr>
          <w:rFonts w:ascii="Noto Sans CJK SC" w:hAnsi="Noto Sans CJK SC" w:eastAsia="Noto Sans CJK SC"/>
          <w:b/>
          <w:i w:val="0"/>
          <w:color w:val="1F4E79"/>
          <w:sz w:val="30"/>
        </w:rPr>
        <w:t>9. 监控、对账、备份与恢复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268"/>
        <w:gridCol w:w="4195"/>
      </w:tblGrid>
      <w:tr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监控项</w:t>
            </w:r>
          </w:p>
        </w:tc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建议阈值</w:t>
            </w:r>
          </w:p>
        </w:tc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动作</w:t>
            </w:r>
          </w:p>
        </w:tc>
      </w:tr>
      <w:tr>
        <w:tc>
          <w:tcPr>
            <w:tcW w:type="dxa" w:w="204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API 5xx</w:t>
            </w:r>
          </w:p>
        </w:tc>
        <w:tc>
          <w:tcPr>
            <w:tcW w:type="dxa" w:w="226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5 分钟 &gt; 1%</w:t>
            </w:r>
          </w:p>
        </w:tc>
        <w:tc>
          <w:tcPr>
            <w:tcW w:type="dxa" w:w="419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检查最近发布和依赖状态</w:t>
            </w:r>
          </w:p>
        </w:tc>
      </w:tr>
      <w:tr>
        <w:tc>
          <w:tcPr>
            <w:tcW w:type="dxa" w:w="204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水费账单生成失败</w:t>
            </w:r>
          </w:p>
        </w:tc>
        <w:tc>
          <w:tcPr>
            <w:tcW w:type="dxa" w:w="226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连续 &gt;= 3 条/10 分钟</w:t>
            </w:r>
          </w:p>
        </w:tc>
        <w:tc>
          <w:tcPr>
            <w:tcW w:type="dxa" w:w="419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检查抄表事务与唯一约束冲突</w:t>
            </w:r>
          </w:p>
        </w:tc>
      </w:tr>
      <w:tr>
        <w:tc>
          <w:tcPr>
            <w:tcW w:type="dxa" w:w="204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支付回调失败</w:t>
            </w:r>
          </w:p>
        </w:tc>
        <w:tc>
          <w:tcPr>
            <w:tcW w:type="dxa" w:w="226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连续 &gt;= 3 次/10 分钟</w:t>
            </w:r>
          </w:p>
        </w:tc>
        <w:tc>
          <w:tcPr>
            <w:tcW w:type="dxa" w:w="419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排查验签、网关、回调处理</w:t>
            </w:r>
          </w:p>
        </w:tc>
      </w:tr>
      <w:tr>
        <w:tc>
          <w:tcPr>
            <w:tcW w:type="dxa" w:w="204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RabbitMQ 积压</w:t>
            </w:r>
          </w:p>
        </w:tc>
        <w:tc>
          <w:tcPr>
            <w:tcW w:type="dxa" w:w="226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核心队列 &gt; 1000</w:t>
            </w:r>
          </w:p>
        </w:tc>
        <w:tc>
          <w:tcPr>
            <w:tcW w:type="dxa" w:w="419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检查消费者和下游</w:t>
            </w:r>
          </w:p>
        </w:tc>
      </w:tr>
      <w:tr>
        <w:tc>
          <w:tcPr>
            <w:tcW w:type="dxa" w:w="204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MySQL 慢 SQL</w:t>
            </w:r>
          </w:p>
        </w:tc>
        <w:tc>
          <w:tcPr>
            <w:tcW w:type="dxa" w:w="226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&gt; 1s 且重复出现</w:t>
            </w:r>
          </w:p>
        </w:tc>
        <w:tc>
          <w:tcPr>
            <w:tcW w:type="dxa" w:w="419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分析执行计划与索引</w:t>
            </w:r>
          </w:p>
        </w:tc>
      </w:tr>
      <w:tr>
        <w:tc>
          <w:tcPr>
            <w:tcW w:type="dxa" w:w="204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静态资源 404/白屏</w:t>
            </w:r>
          </w:p>
        </w:tc>
        <w:tc>
          <w:tcPr>
            <w:tcW w:type="dxa" w:w="226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发布后显著升高</w:t>
            </w:r>
          </w:p>
        </w:tc>
        <w:tc>
          <w:tcPr>
            <w:tcW w:type="dxa" w:w="419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检查前端构建与 Nginx root</w:t>
            </w:r>
          </w:p>
        </w:tc>
      </w:tr>
    </w:tbl>
    <w:p/>
    <w:p>
      <w:pPr>
        <w:keepNext/>
        <w:spacing w:before="200" w:after="80" w:line="269" w:lineRule="auto"/>
      </w:pPr>
      <w:r>
        <w:rPr>
          <w:rFonts w:ascii="Noto Sans CJK SC" w:hAnsi="Noto Sans CJK SC" w:eastAsia="Noto Sans CJK SC"/>
          <w:b/>
          <w:i w:val="0"/>
          <w:color w:val="1F6B75"/>
          <w:sz w:val="25"/>
        </w:rPr>
        <w:t>9.1 对账要求</w:t>
      </w:r>
    </w:p>
    <w:p>
      <w:pPr>
        <w:keepNext w:val="0"/>
        <w:spacing w:before="0" w:after="60" w:line="341" w:lineRule="auto"/>
        <w:ind w:left="312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• 每日 T+1 拉取支付渠道账单，对 pay_order、bill、pay_transaction 做三方对账。</w:t>
      </w:r>
    </w:p>
    <w:p>
      <w:pPr>
        <w:keepNext w:val="0"/>
        <w:spacing w:before="0" w:after="60" w:line="341" w:lineRule="auto"/>
        <w:ind w:left="312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• 年度物业费报表按应收年度和 paid_at 两个维度出数，避免把“年费账单”误当作“月账单”。</w:t>
      </w:r>
    </w:p>
    <w:p>
      <w:pPr>
        <w:keepNext w:val="0"/>
        <w:spacing w:before="0" w:after="60" w:line="341" w:lineRule="auto"/>
        <w:ind w:left="312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• 水费按月对账，重点检查“抄表记录已落库但账单未生成”这类链路断点。</w:t>
      </w:r>
    </w:p>
    <w:p>
      <w:pPr>
        <w:keepNext/>
        <w:spacing w:before="200" w:after="80" w:line="269" w:lineRule="auto"/>
      </w:pPr>
      <w:r>
        <w:rPr>
          <w:rFonts w:ascii="Noto Sans CJK SC" w:hAnsi="Noto Sans CJK SC" w:eastAsia="Noto Sans CJK SC"/>
          <w:b/>
          <w:i w:val="0"/>
          <w:color w:val="1F6B75"/>
          <w:sz w:val="25"/>
        </w:rPr>
        <w:t>9.2 备份与恢复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3969"/>
      </w:tblGrid>
      <w:tr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对象</w:t>
            </w:r>
          </w:p>
        </w:tc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策略</w:t>
            </w:r>
          </w:p>
        </w:tc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要求</w:t>
            </w:r>
          </w:p>
        </w:tc>
      </w:tr>
      <w:tr>
        <w:tc>
          <w:tcPr>
            <w:tcW w:type="dxa" w:w="170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MySQL</w:t>
            </w:r>
          </w:p>
        </w:tc>
        <w:tc>
          <w:tcPr>
            <w:tcW w:type="dxa" w:w="283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每日全量 + binlog</w:t>
            </w:r>
          </w:p>
        </w:tc>
        <w:tc>
          <w:tcPr>
            <w:tcW w:type="dxa" w:w="3969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每季度至少演练一次恢复</w:t>
            </w:r>
          </w:p>
        </w:tc>
      </w:tr>
      <w:tr>
        <w:tc>
          <w:tcPr>
            <w:tcW w:type="dxa" w:w="170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Redis</w:t>
            </w:r>
          </w:p>
        </w:tc>
        <w:tc>
          <w:tcPr>
            <w:tcW w:type="dxa" w:w="283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AOF/RDB 或托管快照</w:t>
            </w:r>
          </w:p>
        </w:tc>
        <w:tc>
          <w:tcPr>
            <w:tcW w:type="dxa" w:w="3969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缓存可重建，但幂等影响需评估</w:t>
            </w:r>
          </w:p>
        </w:tc>
      </w:tr>
      <w:tr>
        <w:tc>
          <w:tcPr>
            <w:tcW w:type="dxa" w:w="170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对象存储</w:t>
            </w:r>
          </w:p>
        </w:tc>
        <w:tc>
          <w:tcPr>
            <w:tcW w:type="dxa" w:w="283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版本/生命周期管理</w:t>
            </w:r>
          </w:p>
        </w:tc>
        <w:tc>
          <w:tcPr>
            <w:tcW w:type="dxa" w:w="3969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抄表照片和导出文件有留存期限</w:t>
            </w:r>
          </w:p>
        </w:tc>
      </w:tr>
      <w:tr>
        <w:tc>
          <w:tcPr>
            <w:tcW w:type="dxa" w:w="1701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前端静态包</w:t>
            </w:r>
          </w:p>
        </w:tc>
        <w:tc>
          <w:tcPr>
            <w:tcW w:type="dxa" w:w="283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保留上一稳定版 dist 包</w:t>
            </w:r>
          </w:p>
        </w:tc>
        <w:tc>
          <w:tcPr>
            <w:tcW w:type="dxa" w:w="3969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支持分钟级回滚</w:t>
            </w:r>
          </w:p>
        </w:tc>
      </w:tr>
    </w:tbl>
    <w:p/>
    <w:p>
      <w:pPr>
        <w:keepNext/>
        <w:spacing w:before="280" w:after="120" w:line="269" w:lineRule="auto"/>
      </w:pPr>
      <w:r>
        <w:rPr>
          <w:rFonts w:ascii="Noto Sans CJK SC" w:hAnsi="Noto Sans CJK SC" w:eastAsia="Noto Sans CJK SC"/>
          <w:b/>
          <w:i w:val="0"/>
          <w:color w:val="1F4E79"/>
          <w:sz w:val="30"/>
        </w:rPr>
        <w:t>10. 测试、冒烟与验收标准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6803"/>
      </w:tblGrid>
      <w:tr>
        <w:tc>
          <w:tcPr>
            <w:tcW w:type="dxa" w:w="47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维度</w:t>
            </w:r>
          </w:p>
        </w:tc>
        <w:tc>
          <w:tcPr>
            <w:tcW w:type="dxa" w:w="47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必须通过的用例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物业费</w:t>
            </w:r>
          </w:p>
        </w:tc>
        <w:tc>
          <w:tcPr>
            <w:tcW w:type="dxa" w:w="6803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按年开单成功、同房间同年度不重复、详情可解释面积与年度单价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水费</w:t>
            </w:r>
          </w:p>
        </w:tc>
        <w:tc>
          <w:tcPr>
            <w:tcW w:type="dxa" w:w="6803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录入抄表后自动出账、同房间同月不重复、异常读数拦截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支付</w:t>
            </w:r>
          </w:p>
        </w:tc>
        <w:tc>
          <w:tcPr>
            <w:tcW w:type="dxa" w:w="6803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创建支付单幂等、回调幂等、已支付账单不可直接改金额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权限</w:t>
            </w:r>
          </w:p>
        </w:tc>
        <w:tc>
          <w:tcPr>
            <w:tcW w:type="dxa" w:w="6803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Resident 只看自己房间、Agent 只看授权组、Admin 全局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前端</w:t>
            </w:r>
          </w:p>
        </w:tc>
        <w:tc>
          <w:tcPr>
            <w:tcW w:type="dxa" w:w="6803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React 页面无白屏、路由鉴权生效、表格/详情展示口径一致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运维</w:t>
            </w:r>
          </w:p>
        </w:tc>
        <w:tc>
          <w:tcPr>
            <w:tcW w:type="dxa" w:w="6803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日志可检索、监控告警可触发、回滚包可用</w:t>
            </w:r>
          </w:p>
        </w:tc>
      </w:tr>
    </w:tbl>
    <w:p/>
    <w:p>
      <w:pPr>
        <w:keepNext/>
        <w:spacing w:before="200" w:after="80" w:line="269" w:lineRule="auto"/>
      </w:pPr>
      <w:r>
        <w:rPr>
          <w:rFonts w:ascii="Noto Sans CJK SC" w:hAnsi="Noto Sans CJK SC" w:eastAsia="Noto Sans CJK SC"/>
          <w:b/>
          <w:i w:val="0"/>
          <w:color w:val="1F6B75"/>
          <w:sz w:val="25"/>
        </w:rPr>
        <w:t>10.1 最少冒烟清单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948"/>
        <w:gridCol w:w="5216"/>
      </w:tblGrid>
      <w:tr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序号</w:t>
            </w:r>
          </w:p>
        </w:tc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场景</w:t>
            </w:r>
          </w:p>
        </w:tc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通过标准</w:t>
            </w:r>
          </w:p>
        </w:tc>
      </w:tr>
      <w:tr>
        <w:tc>
          <w:tcPr>
            <w:tcW w:type="dxa" w:w="794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94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Admin 配置年度物业费规则</w:t>
            </w:r>
          </w:p>
        </w:tc>
        <w:tc>
          <w:tcPr>
            <w:tcW w:type="dxa" w:w="5216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规则生效范围和年度正确</w:t>
            </w:r>
          </w:p>
        </w:tc>
      </w:tr>
      <w:tr>
        <w:tc>
          <w:tcPr>
            <w:tcW w:type="dxa" w:w="794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94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Admin 生成 2026 年物业费账单</w:t>
            </w:r>
          </w:p>
        </w:tc>
        <w:tc>
          <w:tcPr>
            <w:tcW w:type="dxa" w:w="5216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每房间仅生成一张年度账单</w:t>
            </w:r>
          </w:p>
        </w:tc>
      </w:tr>
      <w:tr>
        <w:tc>
          <w:tcPr>
            <w:tcW w:type="dxa" w:w="794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94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Admin 录入 2026-03 水表读数</w:t>
            </w:r>
          </w:p>
        </w:tc>
        <w:tc>
          <w:tcPr>
            <w:tcW w:type="dxa" w:w="5216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保存成功后立即生成 2026-03 水费账单</w:t>
            </w:r>
          </w:p>
        </w:tc>
      </w:tr>
      <w:tr>
        <w:tc>
          <w:tcPr>
            <w:tcW w:type="dxa" w:w="794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94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Resident 查看账单详情</w:t>
            </w:r>
          </w:p>
        </w:tc>
        <w:tc>
          <w:tcPr>
            <w:tcW w:type="dxa" w:w="5216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能看到年度覆盖期或月度读数依据</w:t>
            </w:r>
          </w:p>
        </w:tc>
      </w:tr>
      <w:tr>
        <w:tc>
          <w:tcPr>
            <w:tcW w:type="dxa" w:w="794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94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Resident 创建支付单</w:t>
            </w:r>
          </w:p>
        </w:tc>
        <w:tc>
          <w:tcPr>
            <w:tcW w:type="dxa" w:w="5216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重复提交不生成重复订单</w:t>
            </w:r>
          </w:p>
        </w:tc>
      </w:tr>
      <w:tr>
        <w:tc>
          <w:tcPr>
            <w:tcW w:type="dxa" w:w="794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294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支付回调落账</w:t>
            </w:r>
          </w:p>
        </w:tc>
        <w:tc>
          <w:tcPr>
            <w:tcW w:type="dxa" w:w="5216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bill 变 PAID，pay_order 成功</w:t>
            </w:r>
          </w:p>
        </w:tc>
      </w:tr>
      <w:tr>
        <w:tc>
          <w:tcPr>
            <w:tcW w:type="dxa" w:w="794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7</w:t>
            </w:r>
          </w:p>
        </w:tc>
        <w:tc>
          <w:tcPr>
            <w:tcW w:type="dxa" w:w="294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Admin 查看年度物业费报表</w:t>
            </w:r>
          </w:p>
        </w:tc>
        <w:tc>
          <w:tcPr>
            <w:tcW w:type="dxa" w:w="5216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年度应收、实收、欠费口径正确</w:t>
            </w:r>
          </w:p>
        </w:tc>
      </w:tr>
      <w:tr>
        <w:tc>
          <w:tcPr>
            <w:tcW w:type="dxa" w:w="794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8</w:t>
            </w:r>
          </w:p>
        </w:tc>
        <w:tc>
          <w:tcPr>
            <w:tcW w:type="dxa" w:w="294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Admin 查看月度水费报表</w:t>
            </w:r>
          </w:p>
        </w:tc>
        <w:tc>
          <w:tcPr>
            <w:tcW w:type="dxa" w:w="5216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月度房间数和金额正确</w:t>
            </w:r>
          </w:p>
        </w:tc>
      </w:tr>
      <w:tr>
        <w:tc>
          <w:tcPr>
            <w:tcW w:type="dxa" w:w="794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9</w:t>
            </w:r>
          </w:p>
        </w:tc>
        <w:tc>
          <w:tcPr>
            <w:tcW w:type="dxa" w:w="294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React 前端刷新和直链进入页面</w:t>
            </w:r>
          </w:p>
        </w:tc>
        <w:tc>
          <w:tcPr>
            <w:tcW w:type="dxa" w:w="5216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路由与权限无异常</w:t>
            </w:r>
          </w:p>
        </w:tc>
      </w:tr>
      <w:tr>
        <w:tc>
          <w:tcPr>
            <w:tcW w:type="dxa" w:w="794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10</w:t>
            </w:r>
          </w:p>
        </w:tc>
        <w:tc>
          <w:tcPr>
            <w:tcW w:type="dxa" w:w="294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前端发布回滚</w:t>
            </w:r>
          </w:p>
        </w:tc>
        <w:tc>
          <w:tcPr>
            <w:tcW w:type="dxa" w:w="5216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上一版本静态包可恢复</w:t>
            </w:r>
          </w:p>
        </w:tc>
      </w:tr>
    </w:tbl>
    <w:p/>
    <w:p>
      <w:pPr>
        <w:keepNext/>
        <w:spacing w:before="280" w:after="120" w:line="269" w:lineRule="auto"/>
      </w:pPr>
      <w:r>
        <w:rPr>
          <w:rFonts w:ascii="Noto Sans CJK SC" w:hAnsi="Noto Sans CJK SC" w:eastAsia="Noto Sans CJK SC"/>
          <w:b/>
          <w:i w:val="0"/>
          <w:color w:val="1F4E79"/>
          <w:sz w:val="30"/>
        </w:rPr>
        <w:t>11. 应急预案与交接件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515"/>
        <w:gridCol w:w="3515"/>
      </w:tblGrid>
      <w:tr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场景</w:t>
            </w:r>
          </w:p>
        </w:tc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立即动作</w:t>
            </w:r>
          </w:p>
        </w:tc>
        <w:tc>
          <w:tcPr>
            <w:tcW w:type="dxa" w:w="31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禁止动作</w:t>
            </w:r>
          </w:p>
        </w:tc>
      </w:tr>
      <w:tr>
        <w:tc>
          <w:tcPr>
            <w:tcW w:type="dxa" w:w="1814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年度物业费错开单</w:t>
            </w:r>
          </w:p>
        </w:tc>
        <w:tc>
          <w:tcPr>
            <w:tcW w:type="dxa" w:w="351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暂停年费入口、锁定批次、评估未支付重开与已支付补差</w:t>
            </w:r>
          </w:p>
        </w:tc>
        <w:tc>
          <w:tcPr>
            <w:tcW w:type="dxa" w:w="351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直接批量 UPDATE 已支付账单</w:t>
            </w:r>
          </w:p>
        </w:tc>
      </w:tr>
      <w:tr>
        <w:tc>
          <w:tcPr>
            <w:tcW w:type="dxa" w:w="1814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水费抄表后未生成账单</w:t>
            </w:r>
          </w:p>
        </w:tc>
        <w:tc>
          <w:tcPr>
            <w:tcW w:type="dxa" w:w="351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先查事务日志与唯一约束冲突，再执行补账任务</w:t>
            </w:r>
          </w:p>
        </w:tc>
        <w:tc>
          <w:tcPr>
            <w:tcW w:type="dxa" w:w="351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手工绕过抄表直接插 bill</w:t>
            </w:r>
          </w:p>
        </w:tc>
      </w:tr>
      <w:tr>
        <w:tc>
          <w:tcPr>
            <w:tcW w:type="dxa" w:w="1814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支付回调异常</w:t>
            </w:r>
          </w:p>
        </w:tc>
        <w:tc>
          <w:tcPr>
            <w:tcW w:type="dxa" w:w="351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优先排查验签、网关与回调幂等</w:t>
            </w:r>
          </w:p>
        </w:tc>
        <w:tc>
          <w:tcPr>
            <w:tcW w:type="dxa" w:w="351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未校验幂等就反复重放回调</w:t>
            </w:r>
          </w:p>
        </w:tc>
      </w:tr>
      <w:tr>
        <w:tc>
          <w:tcPr>
            <w:tcW w:type="dxa" w:w="1814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前端白屏/资源缺失</w:t>
            </w:r>
          </w:p>
        </w:tc>
        <w:tc>
          <w:tcPr>
            <w:tcW w:type="dxa" w:w="351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立即回滚到上一静态包并校验 Nginx root</w:t>
            </w:r>
          </w:p>
        </w:tc>
        <w:tc>
          <w:tcPr>
            <w:tcW w:type="dxa" w:w="3515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在生产临时手改构建文件</w:t>
            </w:r>
          </w:p>
        </w:tc>
      </w:tr>
    </w:tbl>
    <w:p/>
    <w:p>
      <w:pPr>
        <w:keepNext/>
        <w:spacing w:before="200" w:after="80" w:line="269" w:lineRule="auto"/>
      </w:pPr>
      <w:r>
        <w:rPr>
          <w:rFonts w:ascii="Noto Sans CJK SC" w:hAnsi="Noto Sans CJK SC" w:eastAsia="Noto Sans CJK SC"/>
          <w:b/>
          <w:i w:val="0"/>
          <w:color w:val="1F6B75"/>
          <w:sz w:val="25"/>
        </w:rPr>
        <w:t>11.1 最终交接件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5783"/>
      </w:tblGrid>
      <w:tr>
        <w:tc>
          <w:tcPr>
            <w:tcW w:type="dxa" w:w="47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交接件</w:t>
            </w:r>
          </w:p>
        </w:tc>
        <w:tc>
          <w:tcPr>
            <w:tcW w:type="dxa" w:w="47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AF2F8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说明</w:t>
            </w:r>
          </w:p>
        </w:tc>
      </w:tr>
      <w:tr>
        <w:tc>
          <w:tcPr>
            <w:tcW w:type="dxa" w:w="260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数据库脚本</w:t>
            </w:r>
          </w:p>
        </w:tc>
        <w:tc>
          <w:tcPr>
            <w:tcW w:type="dxa" w:w="5783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含 bill 结构调整、唯一约束、Flyway 记录</w:t>
            </w:r>
          </w:p>
        </w:tc>
      </w:tr>
      <w:tr>
        <w:tc>
          <w:tcPr>
            <w:tcW w:type="dxa" w:w="260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接口文档</w:t>
            </w:r>
          </w:p>
        </w:tc>
        <w:tc>
          <w:tcPr>
            <w:tcW w:type="dxa" w:w="5783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含按年物业费、按月水费与抄表自动出账接口</w:t>
            </w:r>
          </w:p>
        </w:tc>
      </w:tr>
      <w:tr>
        <w:tc>
          <w:tcPr>
            <w:tcW w:type="dxa" w:w="260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前端发布包</w:t>
            </w:r>
          </w:p>
        </w:tc>
        <w:tc>
          <w:tcPr>
            <w:tcW w:type="dxa" w:w="5783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当前生产版 dist、上一稳定版 dist、环境变量清单</w:t>
            </w:r>
          </w:p>
        </w:tc>
      </w:tr>
      <w:tr>
        <w:tc>
          <w:tcPr>
            <w:tcW w:type="dxa" w:w="260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发布回滚手册</w:t>
            </w:r>
          </w:p>
        </w:tc>
        <w:tc>
          <w:tcPr>
            <w:tcW w:type="dxa" w:w="5783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前端、后端、数据库分别如何回滚</w:t>
            </w:r>
          </w:p>
        </w:tc>
      </w:tr>
      <w:tr>
        <w:tc>
          <w:tcPr>
            <w:tcW w:type="dxa" w:w="2608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监控与对账清单</w:t>
            </w:r>
          </w:p>
        </w:tc>
        <w:tc>
          <w:tcPr>
            <w:tcW w:type="dxa" w:w="5783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阈值、负责人、每日对账动作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4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1F6B75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2"/>
              </w:rPr>
              <w:t>最终结论</w:t>
            </w:r>
          </w:p>
        </w:tc>
      </w:tr>
      <w:tr>
        <w:tc>
          <w:tcPr>
            <w:tcW w:type="dxa" w:w="94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space="0" w:color="D8E1EA"/>
              <w:top w:val="single" w:sz="6" w:space="0" w:color="D8E1EA"/>
              <w:right w:val="single" w:sz="6" w:space="0" w:color="D8E1EA"/>
              <w:bottom w:val="single" w:sz="6" w:space="0" w:color="D8E1EA"/>
            </w:tcBorders>
            <w:shd w:fill="ECF8F1"/>
          </w:tcPr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20"/>
              </w:rPr>
              <w:t>这版文档已经把“物业费一年一交、水费按月抄表并即时出账、前端 React + Tailwind”三条新规则从业务、数据库、接口、前端、部署、测试到上线回滚全部打通。后续只需把真实域名、主机、支付商户号、负责人和上线时间替换进去，就能作为正式发版基线。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06" w:right="1219" w:bottom="1020" w:left="1219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Noto Sans CJK SC" w:hAnsi="Noto Sans CJK SC" w:eastAsia="Noto Sans CJK SC"/>
        <w:b w:val="0"/>
        <w:i w:val="0"/>
        <w:color w:val="6B7280"/>
        <w:sz w:val="18"/>
      </w:rPr>
      <w:t xml:space="preserve">V1.1  |  第 </w:t>
    </w:r>
    <w:r>
      <w:rPr>
        <w:rFonts w:ascii="Noto Sans CJK SC" w:hAnsi="Noto Sans CJK SC" w:eastAsia="Noto Sans CJK SC"/>
        <w:b w:val="0"/>
        <w:i w:val="0"/>
        <w:color w:val="6B728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Noto Sans CJK SC" w:hAnsi="Noto Sans CJK SC" w:eastAsia="Noto Sans CJK SC"/>
        <w:b w:val="0"/>
        <w:i w:val="0"/>
        <w:color w:val="6B72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Noto Sans CJK SC" w:hAnsi="Noto Sans CJK SC" w:eastAsia="Noto Sans CJK SC"/>
        <w:b w:val="0"/>
        <w:i w:val="0"/>
        <w:color w:val="6B7280"/>
        <w:sz w:val="18"/>
      </w:rPr>
      <w:t>物业管理系统 - 生产实施与上线交付基线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物业管理系统生产实施与上线交付文档</dc:title>
  <dc:subject>真实上线版文档</dc:subject>
  <dc:creator>OpenAI</dc:creator>
  <cp:keywords/>
  <dc:description>依据 V2 开发文档并按最新业务规则修订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