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jc w:val="center"/>
        <w:rPr>
          <w:rFonts w:ascii="宋体" w:eastAsia="宋体"/>
          <w:b/>
          <w:bCs/>
          <w:sz w:val="44"/>
          <w:szCs w:val="44"/>
        </w:rPr>
      </w:pPr>
      <w:r>
        <w:rPr>
          <w:rFonts w:ascii="宋体" w:eastAsia="宋体"/>
          <w:b/>
          <w:bCs/>
          <w:sz w:val="44"/>
          <w:szCs w:val="44"/>
        </w:rPr>
        <w:t>研究生学习周报</w:t>
      </w:r>
      <w:r>
        <w:rPr>
          <w:rFonts w:ascii="宋体" w:eastAsia="宋体" w:hint="eastAsia"/>
          <w:b/>
          <w:bCs/>
          <w:sz w:val="44"/>
          <w:szCs w:val="44"/>
        </w:rPr>
        <w:t>-研</w:t>
      </w:r>
      <w:r>
        <w:rPr>
          <w:rFonts w:ascii="宋体" w:eastAsia="宋体"/>
          <w:b/>
          <w:bCs/>
          <w:sz w:val="44"/>
          <w:szCs w:val="44"/>
        </w:rPr>
        <w:t>二上</w:t>
      </w:r>
    </w:p>
    <w:p>
      <w:pPr>
        <w:keepNext/>
        <w:keepLines/>
        <w:jc w:val="center"/>
        <w:rPr>
          <w:rFonts w:ascii="宋体" w:eastAsia="宋体"/>
          <w:sz w:val="28"/>
        </w:rPr>
      </w:pPr>
      <w:r>
        <w:rPr>
          <w:rFonts w:ascii="宋体" w:eastAsia="宋体"/>
          <w:sz w:val="28"/>
        </w:rPr>
        <w:t>作者：蔡明炜</w:t>
      </w:r>
    </w:p>
    <w:p>
      <w:pPr>
        <w:keepNext/>
        <w:keepLines/>
        <w:jc w:val="center"/>
        <w:rPr>
          <w:rFonts w:ascii="宋体" w:eastAsia="宋体"/>
          <w:b/>
          <w:bCs/>
          <w:sz w:val="36"/>
          <w:szCs w:val="36"/>
        </w:rPr>
      </w:pPr>
      <w:r>
        <w:rPr>
          <w:rFonts w:ascii="宋体" w:eastAsia="宋体"/>
          <w:b/>
          <w:bCs/>
          <w:sz w:val="36"/>
          <w:szCs w:val="36"/>
        </w:rPr>
        <w:t>目录</w:t>
      </w:r>
    </w:p>
    <w:p>
      <w:pPr>
        <w:pStyle w:val="22"/>
        <w:tabs>
          <w:tab w:val="right" w:leader="dot" w:pos="8306"/>
        </w:tabs>
      </w:pPr>
      <w:r>
        <w:rPr>
          <w:rFonts w:ascii="宋体" w:eastAsia="宋体"/>
          <w:b w:val="0"/>
          <w:bCs w:val="0"/>
          <w:sz w:val="30"/>
          <w:szCs w:val="30"/>
        </w:rPr>
        <w:fldChar w:fldCharType="begin"/>
      </w:r>
      <w:r>
        <w:rPr>
          <w:rFonts w:ascii="宋体" w:eastAsia="宋体"/>
          <w:b w:val="0"/>
          <w:bCs w:val="0"/>
          <w:sz w:val="30"/>
          <w:szCs w:val="30"/>
        </w:rPr>
        <w:instrText xml:space="preserve"> TOC \o "1-3" \h \u </w:instrText>
      </w:r>
      <w:r>
        <w:rPr>
          <w:rFonts w:ascii="宋体" w:eastAsia="宋体"/>
          <w:b w:val="0"/>
          <w:bCs w:val="0"/>
          <w:sz w:val="30"/>
          <w:szCs w:val="30"/>
        </w:rPr>
        <w:fldChar w:fldCharType="separate"/>
      </w:r>
      <w:r>
        <w:fldChar w:fldCharType="begin"/>
      </w:r>
      <w:r>
        <w:instrText>Hyperlink \l "_Toc90814741"</w:instrText>
      </w:r>
      <w:r>
        <w:fldChar w:fldCharType="separate"/>
      </w:r>
      <w:r>
        <w:rPr>
          <w:rFonts w:hint="eastAsia"/>
          <w:szCs w:val="30"/>
        </w:rPr>
        <w:t xml:space="preserve">第一周 </w:t>
      </w:r>
      <w:r>
        <w:rPr>
          <w:szCs w:val="30"/>
        </w:rPr>
        <w:t>9月14日~9月20日</w:t>
      </w:r>
      <w:r>
        <w:tab/>
      </w:r>
      <w:r>
        <w:fldChar w:fldCharType="begin"/>
      </w:r>
      <w:r>
        <w:instrText>PageRef _Toc90814741 \h</w:instrText>
      </w:r>
      <w:r>
        <w:fldChar w:fldCharType="separate"/>
      </w:r>
      <w:r>
        <w:t>2</w:t>
      </w:r>
      <w:r>
        <w:fldChar w:fldCharType="end"/>
      </w:r>
      <w:r>
        <w:fldChar w:fldCharType="end"/>
      </w:r>
      <w:r>
        <w:rPr>
          <w:rFonts w:ascii="宋体" w:eastAsia="宋体"/>
          <w:b w:val="0"/>
          <w:bCs/>
          <w:sz w:val="30"/>
          <w:szCs w:val="30"/>
        </w:rPr>
        <w:fldChar w:fldCharType="end"/>
      </w:r>
    </w:p>
    <w:p>
      <w:pPr>
        <w:pStyle w:val="3"/>
        <w:keepNext/>
        <w:keepLines/>
        <w:pageBreakBefore/>
        <w:widowControl w:val="0"/>
        <w:jc w:val="center"/>
        <w:rPr>
          <w:sz w:val="30"/>
          <w:szCs w:val="30"/>
        </w:rPr>
      </w:pPr>
      <w:bookmarkStart w:id="0" w:name="_Toc90814741"/>
      <w:r>
        <w:rPr>
          <w:rFonts w:hint="eastAsia"/>
          <w:sz w:val="30"/>
          <w:szCs w:val="30"/>
        </w:rPr>
        <w:t xml:space="preserve">第一周 </w:t>
      </w:r>
      <w:r>
        <w:rPr>
          <w:sz w:val="30"/>
          <w:szCs w:val="30"/>
        </w:rPr>
        <w:t>9月14日~9月20日</w:t>
      </w:r>
      <w:bookmarkEnd w:id="0"/>
    </w:p>
    <w:p>
      <w:r>
        <w:t>《指导高性能SAT求解器的不满足核预测》</w:t>
      </w:r>
    </w:p>
    <w:p>
      <w:pPr>
        <w:ind w:firstLine="434"/>
      </w:pPr>
      <w:r>
        <w:t>在这个论文中，作者训练了简化的NeuroSAT体系结构，使之可以直接预测实际问题中无法满足的核心。他修改了几个高性能的SAT解算器，用NeuroSAT预测变量在不满意的核心中出现的可能性的周期来定期替换其变量活动分数。改进的MiniSat在5,000秒的标准超时时间内解决了SATCOMP-2018上比原来多10％的问题。修改后的Glucose比原始解决方案解决的问题多11％，而修改后的Z3解决的问题多6％。当训练专门针对特定问题的分配时，收益会更大。以调度域中的难题为基准，经过改进的Glucose在一个小时的超时时间内解决的问题比原始解决方案多20％。</w:t>
      </w:r>
    </w:p>
    <w:p>
      <w:pPr>
        <w:ind w:firstLine="434"/>
      </w:pPr>
      <w:r>
        <w:t>简介</w:t>
      </w:r>
    </w:p>
    <w:p>
      <w:pPr>
        <w:ind w:firstLine="434"/>
      </w:pPr>
      <w:r>
        <w:t>作者主要是利用NeuroSAT来帮助在高性能SAT解算器中为实际问题提供可变分支决策。文中扩展的三个解算器minisat，Glucose，Z3都是用指数变量状态独立衰减和（EVSIDS）启发式算法，这其中包括保持每个变量活动的得分，并在得分最高的自由变量上分支。</w:t>
      </w:r>
    </w:p>
    <w:p>
      <w:pPr>
        <w:ind w:firstLineChars="200" w:firstLine="440"/>
      </w:pPr>
      <w:r>
        <w:t>神经网络结构：神经网络的基本组成部分是多层感知器（MLP），也称为前馈网络或全连接网络。MLP将固定din的向量</w:t>
      </w:r>
      <w:r>
        <w:drawing>
          <wp:inline distT="0" distB="0" distL="85723" distR="85723">
            <wp:extent cx="751840" cy="342265"/>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751840" cy="342265"/>
                    </a:xfrm>
                    <a:prstGeom prst="rect"/>
                    <a:noFill/>
                    <a:ln w="9525" cmpd="sng" cap="flat">
                      <a:noFill/>
                      <a:prstDash val="solid"/>
                      <a:miter/>
                    </a:ln>
                  </pic:spPr>
                </pic:pic>
              </a:graphicData>
            </a:graphic>
          </wp:inline>
        </w:drawing>
      </w:r>
      <w:r>
        <w:t>作为输入，并为固定dout输出向量</w:t>
      </w:r>
      <w:r>
        <w:drawing>
          <wp:inline distT="0" distB="0" distL="85723" distR="85723">
            <wp:extent cx="836930" cy="247015"/>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836930" cy="247015"/>
                    </a:xfrm>
                    <a:prstGeom prst="rect"/>
                    <a:noFill/>
                    <a:ln w="9525" cmpd="sng" cap="flat">
                      <a:noFill/>
                      <a:prstDash val="solid"/>
                      <a:miter/>
                    </a:ln>
                  </pic:spPr>
                </pic:pic>
              </a:graphicData>
            </a:graphic>
          </wp:inline>
        </w:drawing>
      </w:r>
      <w:r>
        <w:t>。它通过应用一系列（参数化的）仿射变换从x计算y，每一个都紧跟着一个称为激活函数的分量非线性函数。最常见的激活函数（我们在这篇文章中使用的）是整流线性单元（ReLU），它是正数的恒等函数，它将所有负数设置为零。</w:t>
      </w:r>
    </w:p>
    <w:p>
      <w:pPr>
        <w:ind w:firstLineChars="200" w:firstLine="440"/>
      </w:pPr>
      <w:r>
        <w:t>我们使用函数调用表示法来表示MLP的应用，其中MLP的不同参数是隐式连接的。如果</w:t>
      </w:r>
      <w:r>
        <w:drawing>
          <wp:inline distT="0" distB="0" distL="85723" distR="85723">
            <wp:extent cx="1845945" cy="237490"/>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1845945" cy="237490"/>
                    </a:xfrm>
                    <a:prstGeom prst="rect"/>
                    <a:noFill/>
                    <a:ln w="9525" cmpd="sng" cap="flat">
                      <a:noFill/>
                      <a:prstDash val="solid"/>
                      <a:miter/>
                    </a:ln>
                  </pic:spPr>
                </pic:pic>
              </a:graphicData>
            </a:graphic>
          </wp:inline>
        </w:drawing>
      </w:r>
      <w:r>
        <w:t>是MLP，</w:t>
      </w:r>
      <w:r>
        <w:drawing>
          <wp:inline distT="0" distB="0" distL="85723" distR="85723">
            <wp:extent cx="1693545" cy="256540"/>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1693545" cy="256540"/>
                    </a:xfrm>
                    <a:prstGeom prst="rect"/>
                    <a:noFill/>
                    <a:ln w="9525" cmpd="sng" cap="flat">
                      <a:noFill/>
                      <a:prstDash val="solid"/>
                      <a:miter/>
                    </a:ln>
                  </pic:spPr>
                </pic:pic>
              </a:graphicData>
            </a:graphic>
          </wp:inline>
        </w:drawing>
      </w:r>
      <w:r>
        <w:t>是向量，则我们用</w:t>
      </w:r>
      <w:r>
        <w:drawing>
          <wp:inline distT="0" distB="0" distL="85723" distR="85723">
            <wp:extent cx="1513205" cy="275590"/>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513205" cy="275590"/>
                    </a:xfrm>
                    <a:prstGeom prst="rect"/>
                    <a:noFill/>
                    <a:ln w="9525" cmpd="sng" cap="flat">
                      <a:noFill/>
                      <a:prstDash val="solid"/>
                      <a:miter/>
                    </a:ln>
                  </pic:spPr>
                </pic:pic>
              </a:graphicData>
            </a:graphic>
          </wp:inline>
        </w:drawing>
      </w:r>
      <w:r>
        <w:t>来表示把MLP M应用在x1和x2的连结的结果。出于性能原因，人们几乎从不将MLP应用于单个向量，而是将其应用于连接到矩阵中的一批具有相同维数的向量。如果</w:t>
      </w:r>
      <w:r>
        <w:drawing>
          <wp:inline distT="0" distB="0" distL="85723" distR="85723">
            <wp:extent cx="2055495" cy="294640"/>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2055495" cy="294640"/>
                    </a:xfrm>
                    <a:prstGeom prst="rect"/>
                    <a:noFill/>
                    <a:ln w="9525" cmpd="sng" cap="flat">
                      <a:noFill/>
                      <a:prstDash val="solid"/>
                      <a:miter/>
                    </a:ln>
                  </pic:spPr>
                </pic:pic>
              </a:graphicData>
            </a:graphic>
          </wp:inline>
        </w:drawing>
      </w:r>
      <w:r>
        <w:t>，我们用</w:t>
      </w:r>
      <w:r>
        <w:drawing>
          <wp:inline distT="0" distB="0" distL="85723" distR="85723">
            <wp:extent cx="1750695" cy="247015"/>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1750695" cy="247015"/>
                    </a:xfrm>
                    <a:prstGeom prst="rect"/>
                    <a:noFill/>
                    <a:ln w="9525" cmpd="sng" cap="flat">
                      <a:noFill/>
                      <a:prstDash val="solid"/>
                      <a:miter/>
                    </a:ln>
                  </pic:spPr>
                </pic:pic>
              </a:graphicData>
            </a:graphic>
          </wp:inline>
        </w:drawing>
      </w:r>
      <w:r>
        <w:t>来表示首先将X1和X2连接成一个</w:t>
      </w:r>
      <w:r>
        <w:drawing>
          <wp:inline distT="0" distB="0" distL="85723" distR="85723">
            <wp:extent cx="903605" cy="188595"/>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903605" cy="188595"/>
                    </a:xfrm>
                    <a:prstGeom prst="rect"/>
                    <a:noFill/>
                    <a:ln w="9525" cmpd="sng" cap="flat">
                      <a:noFill/>
                      <a:prstDash val="solid"/>
                      <a:miter/>
                    </a:ln>
                  </pic:spPr>
                </pic:pic>
              </a:graphicData>
            </a:graphic>
          </wp:inline>
        </w:drawing>
      </w:r>
      <w:r>
        <w:t>的矩阵的结果，将M分别应用于k行，然后将k个结果连接回矩阵。</w:t>
      </w:r>
    </w:p>
    <w:p>
      <w:pPr>
        <w:ind w:firstLineChars="200" w:firstLine="440"/>
      </w:pPr>
      <w:r>
        <w:t>神经核的结构。我们用一个nc*2nv的稀疏矩阵g来表示一个布尔公式CNF（nv是变量，nc是自居），其中第（i，j）个元素为1的唯一可能是第i个子句包含第j个文本。举个例子，我们用一个2*6的稀疏矩阵来表示这个公式</w:t>
      </w:r>
      <w:r>
        <w:drawing>
          <wp:inline distT="0" distB="0" distL="85723" distR="85723">
            <wp:extent cx="2485390" cy="523240"/>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485390" cy="523240"/>
                    </a:xfrm>
                    <a:prstGeom prst="rect"/>
                    <a:noFill/>
                    <a:ln w="9525" cmpd="sng" cap="flat">
                      <a:noFill/>
                      <a:prstDash val="solid"/>
                      <a:miter/>
                    </a:ln>
                  </pic:spPr>
                </pic:pic>
              </a:graphicData>
            </a:graphic>
          </wp:inline>
        </w:drawing>
      </w:r>
      <w:r>
        <w:t>：</w:t>
      </w:r>
    </w:p>
    <w:p>
      <w:pPr>
        <w:ind w:firstLineChars="200" w:firstLine="440"/>
      </w:pPr>
      <w:r>
        <w:drawing>
          <wp:inline distT="0" distB="0" distL="85723" distR="85723">
            <wp:extent cx="2322195" cy="789940"/>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322195" cy="789940"/>
                    </a:xfrm>
                    <a:prstGeom prst="rect"/>
                    <a:noFill/>
                    <a:ln w="9525" cmpd="sng" cap="flat">
                      <a:noFill/>
                      <a:prstDash val="solid"/>
                      <a:miter/>
                    </a:ln>
                  </pic:spPr>
                </pic:pic>
              </a:graphicData>
            </a:graphic>
          </wp:inline>
        </w:drawing>
      </w:r>
    </w:p>
    <w:p>
      <w:pPr>
        <w:ind w:firstLineChars="200" w:firstLine="440"/>
      </w:pPr>
      <w:r>
        <w:t>我们的神经网络本身是由三个标准MLPs：</w:t>
      </w:r>
    </w:p>
    <w:p>
      <w:pPr>
        <w:ind w:firstLineChars="200" w:firstLine="440"/>
      </w:pPr>
      <w:r>
        <w:drawing>
          <wp:inline distT="0" distB="0" distL="85723" distR="85723">
            <wp:extent cx="4695190" cy="466090"/>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4695190" cy="466090"/>
                    </a:xfrm>
                    <a:prstGeom prst="rect"/>
                    <a:noFill/>
                    <a:ln w="9525" cmpd="sng" cap="flat">
                      <a:noFill/>
                      <a:prstDash val="solid"/>
                      <a:miter/>
                    </a:ln>
                  </pic:spPr>
                </pic:pic>
              </a:graphicData>
            </a:graphic>
          </wp:inline>
        </w:drawing>
      </w:r>
    </w:p>
    <w:p>
      <w:pPr>
        <w:ind w:firstLineChars="200" w:firstLine="440"/>
      </w:pPr>
      <w:r>
        <w:t>其中d是一个固定的超参数（d=80），网络的前向计算如下：首先，它初始化了两个矩阵</w:t>
      </w:r>
      <w:r>
        <w:drawing>
          <wp:inline distT="0" distB="0" distL="85723" distR="85723">
            <wp:extent cx="2198370" cy="247015"/>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2198370" cy="247015"/>
                    </a:xfrm>
                    <a:prstGeom prst="rect"/>
                    <a:noFill/>
                    <a:ln w="9525" cmpd="sng" cap="flat">
                      <a:noFill/>
                      <a:prstDash val="solid"/>
                      <a:miter/>
                    </a:ln>
                  </pic:spPr>
                </pic:pic>
              </a:graphicData>
            </a:graphic>
          </wp:inline>
        </w:drawing>
      </w:r>
      <w:r>
        <w:t>，C的每一行对应一个子句，而L的每一行对应于一个文本：</w:t>
      </w:r>
      <w:r>
        <w:drawing>
          <wp:inline distT="0" distB="0" distL="85723" distR="85723">
            <wp:extent cx="4790440" cy="1712595"/>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4790440" cy="1712595"/>
                    </a:xfrm>
                    <a:prstGeom prst="rect"/>
                    <a:noFill/>
                    <a:ln w="9525" cmpd="sng" cap="flat">
                      <a:noFill/>
                      <a:prstDash val="solid"/>
                      <a:miter/>
                    </a:ln>
                  </pic:spPr>
                </pic:pic>
              </a:graphicData>
            </a:graphic>
          </wp:inline>
        </w:drawing>
      </w:r>
    </w:p>
    <w:p>
      <w:pPr>
        <w:ind w:firstLineChars="200" w:firstLine="440"/>
      </w:pPr>
      <w:r>
        <w:t>我们将对应于子句c或文本l的行称为该子句或文本的嵌入。请注意，为了便于标注，我们将子句和文字与其嵌入部分合并在一起，因此符号c可以表示实际的子句或嵌入子句的c行。</w:t>
      </w:r>
    </w:p>
    <w:p>
      <w:pPr>
        <w:ind w:firstLineChars="200" w:firstLine="440"/>
      </w:pPr>
      <w:r>
        <w:t>定义操作Flip将矩阵的前半行与后半行交换，以便在Flip（L）中，每个文本的行与其求反的行交换：</w:t>
      </w:r>
      <w:r>
        <w:drawing>
          <wp:inline distT="0" distB="0" distL="85723" distR="85723">
            <wp:extent cx="2847340" cy="1769745"/>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847340" cy="1769745"/>
                    </a:xfrm>
                    <a:prstGeom prst="rect"/>
                    <a:noFill/>
                    <a:ln w="9525" cmpd="sng" cap="flat">
                      <a:noFill/>
                      <a:prstDash val="solid"/>
                      <a:miter/>
                    </a:ln>
                  </pic:spPr>
                </pic:pic>
              </a:graphicData>
            </a:graphic>
          </wp:inline>
        </w:drawing>
      </w:r>
    </w:p>
    <w:p>
      <w:pPr>
        <w:ind w:firstLineChars="200" w:firstLine="440"/>
      </w:pPr>
      <w:r>
        <w:t>在初始化C和L之后，网络执行\消息传递的T次迭代（我们使用T=4），其中一次迭代包括两次更新。首先，每个子句根据其包含的文本的当前嵌入更新其嵌入：</w:t>
      </w:r>
      <w:r>
        <w:drawing>
          <wp:inline distT="0" distB="0" distL="85723" distR="85723">
            <wp:extent cx="2265045" cy="294640"/>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2265045" cy="294640"/>
                    </a:xfrm>
                    <a:prstGeom prst="rect"/>
                    <a:noFill/>
                    <a:ln w="9525" cmpd="sng" cap="flat">
                      <a:noFill/>
                      <a:prstDash val="solid"/>
                      <a:miter/>
                    </a:ln>
                  </pic:spPr>
                </pic:pic>
              </a:graphicData>
            </a:graphic>
          </wp:inline>
        </w:drawing>
      </w:r>
      <w:r>
        <w:t>接下来，每个文本都会根据它出现在其中的子句的当前嵌入以及它的否定的当前嵌入来更新其嵌入：</w:t>
      </w:r>
      <w:r>
        <w:drawing>
          <wp:inline distT="0" distB="0" distL="85723" distR="85723">
            <wp:extent cx="2322195" cy="351790"/>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2322195" cy="351790"/>
                    </a:xfrm>
                    <a:prstGeom prst="rect"/>
                    <a:noFill/>
                    <a:ln w="9525" cmpd="sng" cap="flat">
                      <a:noFill/>
                      <a:prstDash val="solid"/>
                      <a:miter/>
                    </a:ln>
                  </pic:spPr>
                </pic:pic>
              </a:graphicData>
            </a:graphic>
          </wp:inline>
        </w:drawing>
      </w:r>
      <w:r>
        <w:t>我们可以简洁地表示这些更新，并使用矩阵G和Flip运算符有效地实现它们：</w:t>
      </w:r>
      <w:r>
        <w:drawing>
          <wp:inline distT="0" distB="0" distL="85723" distR="85723">
            <wp:extent cx="2742565" cy="723265"/>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742565" cy="723265"/>
                    </a:xfrm>
                    <a:prstGeom prst="rect"/>
                    <a:noFill/>
                    <a:ln w="9525" cmpd="sng" cap="flat">
                      <a:noFill/>
                      <a:prstDash val="solid"/>
                      <a:miter/>
                    </a:ln>
                  </pic:spPr>
                </pic:pic>
              </a:graphicData>
            </a:graphic>
          </wp:inline>
        </w:drawing>
      </w:r>
    </w:p>
    <w:p>
      <w:pPr>
        <w:ind w:firstLineChars="200" w:firstLine="440"/>
      </w:pPr>
      <w:r>
        <w:t>定义运算浮点运算，将矩阵的前半行与下半行沿第二轴连接起来，这样在Flop（L）中，对应于同一变量的两个向量被串联起来：</w:t>
      </w:r>
      <w:r>
        <w:drawing>
          <wp:inline distT="0" distB="0" distL="85723" distR="85723">
            <wp:extent cx="3847465" cy="1008380"/>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847465" cy="1008380"/>
                    </a:xfrm>
                    <a:prstGeom prst="rect"/>
                    <a:noFill/>
                    <a:ln w="9525" cmpd="sng" cap="flat">
                      <a:noFill/>
                      <a:prstDash val="solid"/>
                      <a:miter/>
                    </a:ln>
                  </pic:spPr>
                </pic:pic>
              </a:graphicData>
            </a:graphic>
          </wp:inline>
        </w:drawing>
      </w:r>
    </w:p>
    <w:p>
      <w:pPr>
        <w:ind w:firstLineChars="200" w:firstLine="440"/>
      </w:pPr>
      <w:r>
        <w:t>在T轮迭代以后，网络跳转了L来产生一个矩阵</w:t>
      </w:r>
      <w:r>
        <w:drawing>
          <wp:inline distT="0" distB="0" distL="85723" distR="85723">
            <wp:extent cx="979804" cy="31305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979804" cy="313055"/>
                    </a:xfrm>
                    <a:prstGeom prst="rect"/>
                    <a:noFill/>
                    <a:ln w="9525" cmpd="sng" cap="flat">
                      <a:noFill/>
                      <a:prstDash val="solid"/>
                      <a:miter/>
                    </a:ln>
                  </pic:spPr>
                </pic:pic>
              </a:graphicData>
            </a:graphic>
          </wp:inline>
        </w:drawing>
      </w:r>
      <w:r>
        <w:t>，然后使用了第三个MLP Vproj将V投影到一个nv维向量V帽中：</w:t>
      </w:r>
      <w:r>
        <w:drawing>
          <wp:inline distT="0" distB="0" distL="85723" distR="85723">
            <wp:extent cx="1741170" cy="40894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1741170" cy="408940"/>
                    </a:xfrm>
                    <a:prstGeom prst="rect"/>
                    <a:noFill/>
                    <a:ln w="9525" cmpd="sng" cap="flat">
                      <a:noFill/>
                      <a:prstDash val="solid"/>
                      <a:miter/>
                    </a:ln>
                  </pic:spPr>
                </pic:pic>
              </a:graphicData>
            </a:graphic>
          </wp:inline>
        </w:drawing>
      </w:r>
    </w:p>
    <w:p>
      <w:pPr>
        <w:ind w:firstLineChars="200" w:firstLine="440"/>
      </w:pPr>
      <w:r>
        <w:t>向量v帽是NeuroCore的输出，由每个变量的数值分数组成，它可以传递给softmax函数，以定义变量的概率分布p帽。在训练过程中，我们将变量上的每个标记位掩码转换为概率分布p∗，方法是为核心中的每个变量分配统一的概率，并为其他变量分配零概率。我们同时优化了三个mlp，以最小化Kullback-Leibler发散：</w:t>
      </w:r>
    </w:p>
    <w:p>
      <w:pPr>
        <w:ind w:firstLineChars="200" w:firstLine="440"/>
      </w:pPr>
      <w:r>
        <w:drawing>
          <wp:inline distT="0" distB="0" distL="85723" distR="85723">
            <wp:extent cx="2675890" cy="78994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675890" cy="789940"/>
                    </a:xfrm>
                    <a:prstGeom prst="rect"/>
                    <a:noFill/>
                    <a:ln w="9525" cmpd="sng" cap="flat">
                      <a:noFill/>
                      <a:prstDash val="solid"/>
                      <a:miter/>
                    </a:ln>
                  </pic:spPr>
                </pic:pic>
              </a:graphicData>
            </a:graphic>
          </wp:inline>
        </w:drawing>
      </w:r>
    </w:p>
    <w:p>
      <w:pPr>
        <w:ind w:firstLine="434"/>
      </w:pPr>
    </w:p>
    <w:p>
      <w:pPr>
        <w:ind w:firstLineChars="200" w:firstLine="440"/>
      </w:pPr>
      <w:r>
        <w:t>EVSIDS：变量x在tth冲突后的EVSIDS得分定义如下：</w:t>
      </w:r>
    </w:p>
    <w:p>
      <w:pPr>
        <w:ind w:firstLineChars="200" w:firstLine="440"/>
      </w:pPr>
      <w:r>
        <w:drawing>
          <wp:inline distT="0" distB="0" distL="85723" distR="85723">
            <wp:extent cx="4847590" cy="1179830"/>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4847590" cy="1179830"/>
                    </a:xfrm>
                    <a:prstGeom prst="rect"/>
                    <a:noFill/>
                    <a:ln w="9525" cmpd="sng" cap="flat">
                      <a:noFill/>
                      <a:prstDash val="solid"/>
                      <a:miter/>
                    </a:ln>
                  </pic:spPr>
                </pic:pic>
              </a:graphicData>
            </a:graphic>
          </wp:inline>
        </w:drawing>
      </w:r>
    </w:p>
    <w:p>
      <w:pPr>
        <w:ind w:firstLineChars="200" w:firstLine="440"/>
      </w:pPr>
      <w:r>
        <w:t>其中p&lt;1是一个超参数，直观的说，EVSIDS对一个变量的评分衡量了这个变脸参与了多少冲突，最近的冲突的权重比之前的冲突更大。我们的方法是根据NeuroCore的输出定期重置这些EVSIDS分数。</w:t>
      </w:r>
    </w:p>
    <w:p>
      <w:pPr>
        <w:ind w:firstLineChars="200" w:firstLine="440"/>
        <w:rPr>
          <w:rStyle w:val="123Char"/>
          <w:rFonts w:ascii="宋体" w:hint="eastAsia"/>
          <w:sz w:val="21"/>
          <w:szCs w:val="21"/>
        </w:rPr>
      </w:pPr>
      <w:r>
        <w:t>NeuroCore在之后返回一个向量v帽，其中某个变量得分越高，说明NeuroCore认为相应的变量更有可能在核心中。我们把v帽变为一个概率分布，这是通过将v帽除以一个标准温度参数</w:t>
      </w:r>
      <w:r>
        <w:rPr>
          <w:rStyle w:val="123Char"/>
          <w:rFonts w:ascii="宋体" w:hint="eastAsia"/>
          <w:i w:val="0"/>
          <w:iCs w:val="0"/>
          <w:sz w:val="21"/>
          <w:szCs w:val="21"/>
        </w:rPr>
        <w:t>τ</w:t>
      </w:r>
      <w:r>
        <w:rPr>
          <w:rStyle w:val="123Char"/>
          <w:rFonts w:ascii="宋体" w:hint="eastAsia"/>
          <w:i w:val="0"/>
          <w:iCs w:val="0"/>
          <w:sz w:val="21"/>
          <w:szCs w:val="21"/>
        </w:rPr>
        <w:t>（值为0.25），并通过softmax。</w:t>
      </w:r>
      <w:r>
        <w:rPr>
          <w:rStyle w:val="123Char"/>
          <w:rFonts w:ascii="宋体" w:hint="eastAsia"/>
          <w:i w:val="0"/>
          <w:iCs w:val="0"/>
          <w:sz w:val="21"/>
          <w:szCs w:val="21"/>
        </w:rPr>
        <w:t>然后我们根据问题中变量的数量以及固定的常数κ（我们使用10</w:t>
      </w:r>
      <w:r>
        <w:rPr>
          <w:rStyle w:val="123Char"/>
          <w:rFonts w:ascii="宋体" w:hint="eastAsia"/>
          <w:i w:val="0"/>
          <w:iCs w:val="0"/>
          <w:sz w:val="21"/>
          <w:szCs w:val="21"/>
        </w:rPr>
        <w:t>^</w:t>
      </w:r>
      <w:r>
        <w:rPr>
          <w:rStyle w:val="123Char"/>
          <w:rFonts w:ascii="宋体" w:hint="eastAsia"/>
          <w:i w:val="0"/>
          <w:iCs w:val="0"/>
          <w:sz w:val="21"/>
          <w:szCs w:val="21"/>
        </w:rPr>
        <w:t>4）来缩放结果向量。 最后，我们立即替换所有EVSIDS分数：</w:t>
      </w:r>
      <w:r>
        <w:rPr>
          <w:rStyle w:val="123Char"/>
          <w:rFonts w:ascii="宋体"/>
          <w:sz w:val="21"/>
          <w:szCs w:val="21"/>
        </w:rPr>
        <w:drawing>
          <wp:inline distT="0" distB="0" distL="85723" distR="85723">
            <wp:extent cx="3514090" cy="447039"/>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3514090" cy="447039"/>
                    </a:xfrm>
                    <a:prstGeom prst="rect"/>
                    <a:noFill/>
                    <a:ln w="9525" cmpd="sng" cap="flat">
                      <a:noFill/>
                      <a:prstDash val="solid"/>
                      <a:miter/>
                    </a:ln>
                  </pic:spPr>
                </pic:pic>
              </a:graphicData>
            </a:graphic>
          </wp:inline>
        </w:drawing>
      </w:r>
    </w:p>
    <w:p>
      <w:pPr>
        <w:ind w:firstLineChars="200" w:firstLine="420"/>
        <w:rPr>
          <w:rStyle w:val="123Char"/>
          <w:rFonts w:ascii="宋体" w:hint="eastAsia"/>
          <w:i w:val="0"/>
          <w:iCs w:val="0"/>
          <w:sz w:val="21"/>
          <w:szCs w:val="21"/>
        </w:rPr>
      </w:pPr>
      <w:r>
        <w:rPr>
          <w:rStyle w:val="123Char"/>
          <w:rFonts w:ascii="宋体" w:hint="eastAsia"/>
          <w:i w:val="0"/>
          <w:iCs w:val="0"/>
          <w:sz w:val="21"/>
          <w:szCs w:val="21"/>
        </w:rPr>
        <w:t>请注意，衰减因子ρ通常很小（MiniSat使用ρ= 0:95），对于一阶近似求解器，每秒平均有10,000个冲突，因此这些分数仅在不到一秒的时间内衰减为0。 但是，通过将EVSIDS重新集中在搜索空间的更重要的部分上，这样的干预仍然可以产生强大的效果。 我们将整合策略称为定期重新关注，以强调我们只是重新关注EVSIDS，而不是试图取代它。 我们基于MiniSat的混合求解器仅每100秒查询NeuroCore一次。</w:t>
      </w:r>
    </w:p>
    <w:p>
      <w:pPr>
        <w:ind w:firstLine="434"/>
      </w:pPr>
      <w:bookmarkStart w:id="1" w:name="_GoBack"/>
      <w:bookmarkEnd w:id="1"/>
    </w:p>
    <w:p>
      <w:pPr>
        <w:ind w:firstLine="434"/>
      </w:pPr>
    </w:p>
    <w:p>
      <w:pPr>
        <w:ind w:firstLine="434"/>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080E0000" w:usb2="00000000" w:usb3="00000000" w:csb0="00040001" w:csb1="00000000"/>
  </w:font>
  <w:font w:name="Times New Roman">
    <w:panose1 w:val="02020603050405020304"/>
    <w:charset w:val="00"/>
    <w:family w:val="auto"/>
    <w:pitch w:val="variable"/>
    <w:sig w:usb0="00000A87" w:usb1="00000000" w:usb2="00000000" w:usb3="00000000" w:csb0="400001BF" w:csb1="DFF70000"/>
  </w:font>
  <w:font w:name="Tahoma">
    <w:panose1 w:val="020B0604030504040204"/>
    <w:charset w:val="00"/>
    <w:family w:val="auto"/>
    <w:pitch w:val="variable"/>
    <w:sig w:usb0="E1002EFF" w:usb1="C000605B" w:usb2="00000029" w:usb3="00000000" w:csb0="200101FF" w:csb1="20280000"/>
  </w:font>
  <w:font w:name="微软雅黑">
    <w:panose1 w:val="020B0503020204020204"/>
    <w:charset w:val="86"/>
    <w:family w:val="auto"/>
    <w:pitch w:val="variable"/>
    <w:sig w:usb0="80000287" w:usb1="2ACF3C50" w:usb2="00000016" w:usb3="00000000" w:csb0="0004001F" w:csb1="00000000"/>
  </w:font>
  <w:font w:name="Arial">
    <w:panose1 w:val="020B0604020202020204"/>
    <w:charset w:val="00"/>
    <w:family w:val="auto"/>
    <w:pitch w:val="variable"/>
    <w:sig w:usb0="00007A87" w:usb1="80000000" w:usb2="00000008" w:usb3="00000000" w:csb0="400001FF" w:csb1="FFFF0000"/>
  </w:font>
  <w:font w:name="黑体">
    <w:panose1 w:val="02010600030101010101"/>
    <w:charset w:val="86"/>
    <w:family w:val="auto"/>
    <w:pitch w:val="variable"/>
    <w:sig w:usb0="00000001" w:usb1="080E0000" w:usb2="00000000" w:usb3="00000000" w:csb0="00040000" w:csb1="00000000"/>
  </w:font>
  <w:font w:name="CMMI10">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bordersDoNotSurroundFooter/>
  <w:defaultTabStop w:val="420"/>
  <w:drawingGridHorizontalSpacing w:val="110"/>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adjustRightInd w:val="0"/>
      <w:snapToGrid w:val="0"/>
      <w:spacing w:after="200" w:line="240" w:lineRule="auto"/>
    </w:pPr>
    <w:rPr>
      <w:rFonts w:ascii="Tahoma" w:eastAsia="微软雅黑" w:cs="Arial" w:hAnsi="Tahoma"/>
      <w:sz w:val="22"/>
      <w:szCs w:val="22"/>
      <w:lang w:val="en-US" w:eastAsia="zh-CN" w:bidi="ar-SA"/>
    </w:rPr>
  </w:style>
  <w:style w:type="paragraph" w:styleId="1">
    <w:name w:val="heading 1"/>
    <w:basedOn w:val="0"/>
    <w:next w:val="0"/>
    <w:pPr>
      <w:keepNext/>
      <w:keepLines/>
      <w:spacing w:before="340" w:after="330" w:line="578" w:lineRule="auto"/>
      <w:outlineLvl w:val="0"/>
    </w:pPr>
    <w:rPr>
      <w:b/>
      <w:kern w:val="44"/>
      <w:sz w:val="44"/>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next w:val="0"/>
    <w:pPr>
      <w:keepNext/>
      <w:keepLines/>
      <w:widowControl w:val="0"/>
      <w:adjustRightInd/>
      <w:snapToGrid/>
      <w:spacing w:before="260" w:after="260" w:line="415" w:lineRule="auto"/>
      <w:jc w:val="both"/>
      <w:outlineLvl w:val="2"/>
    </w:pPr>
    <w:rPr>
      <w:rFonts w:ascii="Times New Roman" w:eastAsia="宋体" w:cs="Times New Roman" w:hAnsi="Times New Roman"/>
      <w:b/>
      <w:kern w:val="2"/>
      <w:sz w:val="32"/>
      <w:szCs w:val="20"/>
      <w:lang w:val="en-US" w:eastAsia="zh-CN" w:bidi="ar-SA"/>
    </w:rPr>
  </w:style>
  <w:style w:type="character" w:default="1" w:styleId="10">
    <w:name w:val="Default Paragraph Font"/>
  </w:style>
  <w:style w:type="paragraph" w:styleId="16">
    <w:name w:val="index 6"/>
    <w:basedOn w:val="0"/>
    <w:autoRedefine/>
    <w:next w:val="0"/>
    <w:pPr>
      <w:ind w:left="2100"/>
    </w:pPr>
  </w:style>
  <w:style w:type="paragraph" w:styleId="22">
    <w:name w:val="toc 3"/>
    <w:autoRedefine/>
    <w:next w:val="0"/>
    <w:pPr>
      <w:widowControl w:val="0"/>
      <w:adjustRightInd/>
      <w:snapToGrid/>
      <w:spacing w:after="0" w:line="240" w:lineRule="auto"/>
      <w:ind w:left="840"/>
      <w:jc w:val="both"/>
    </w:pPr>
    <w:rPr>
      <w:rFonts w:ascii="Times New Roman" w:eastAsia="宋体" w:cs="Times New Roman" w:hAnsi="Times New Roman"/>
      <w:b/>
      <w:bCs/>
      <w:kern w:val="2"/>
      <w:sz w:val="24"/>
      <w:szCs w:val="24"/>
      <w:lang w:val="en-US" w:eastAsia="zh-CN" w:bidi="ar-SA"/>
    </w:rPr>
  </w:style>
  <w:style w:type="paragraph" w:customStyle="1" w:styleId="123">
    <w:name w:val="fontstyle0"/>
    <w:next w:val="16"/>
    <w:link w:val="1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i/>
      <w:iCs/>
      <w:snapToGrid/>
      <w:color w:val="auto"/>
      <w:spacing w:val="0"/>
      <w:w w:val="100"/>
      <w:kern w:val="0"/>
      <w:position w:val="0"/>
      <w:sz w:val="20"/>
      <w:szCs w:val="20"/>
      <w:u w:val="none" w:color="auto"/>
      <w:bdr w:val="none" w:sz="0" w:space="0" w:color="auto"/>
      <w:vertAlign w:val="baseline"/>
      <w:em w:val="none"/>
      <w:lang w:val="en-US" w:eastAsia="zh-CN"/>
    </w:rPr>
  </w:style>
  <w:style w:type="character" w:customStyle="1" w:styleId="123Char">
    <w:name w:val="fontstyle0 Char"/>
    <w:basedOn w:val="10"/>
    <w:link w:val="123"/>
    <w:rPr>
      <w:rFonts w:ascii="CMMI10" w:eastAsia="宋体" w:cs="Times New Roman" w:hAnsi="CMMI10"/>
      <w:i/>
      <w:iCs/>
      <w:snapToGrid/>
      <w:color w:val="auto"/>
      <w:spacing w:val="0"/>
      <w:w w:val="100"/>
      <w:kern w:val="0"/>
      <w:position w:val="0"/>
      <w:sz w:val="20"/>
      <w:szCs w:val="20"/>
      <w:u w:val="none" w:color="auto"/>
      <w:bdr w:val="none" w:sz="0" w:space="0" w:color="auto"/>
      <w:vertAlign w:val="baseline"/>
      <w:em w:val="none"/>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styles" Target="styles.xml"/><Relationship Id="rId26" Type="http://schemas.openxmlformats.org/officeDocument/2006/relationships/fontTable" Target="fontTable.xml"/></Relationships>
</file>

<file path=docProps/app.xml><?xml version="1.0" encoding="utf-8"?>
<Properties xmlns="http://schemas.openxmlformats.org/officeDocument/2006/extended-properties">
  <Template>Normal.eit</Template>
  <TotalTime>17</TotalTime>
  <Application>Yozo_Office</Application>
  <Pages>5</Pages>
  <Words>1803</Words>
  <Characters>2092</Characters>
  <Lines>80</Lines>
  <Paragraphs>24</Paragraphs>
  <CharactersWithSpaces>2102</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2020-09-20T08:18:19Z</dcterms:created>
  <dcterms:modified xsi:type="dcterms:W3CDTF">2020-09-20T08:35:57Z</dcterms:modified>
</cp:coreProperties>
</file>