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"_Toc44762695"</w:instrText>
      </w:r>
      <w:r>
        <w:fldChar w:fldCharType="separate"/>
      </w:r>
      <w:r>
        <w:rPr>
          <w:szCs w:val="30"/>
        </w:rPr>
        <w:t>第一周 9月16日~9月22日</w:t>
      </w:r>
      <w:r>
        <w:tab/>
      </w:r>
      <w:r>
        <w:fldChar w:fldCharType="begin"/>
      </w:r>
      <w:r>
        <w:instrText>PageRef _Toc44762695 \h</w:instrText>
      </w:r>
      <w:r>
        <w:fldChar w:fldCharType="separate"/>
      </w:r>
      <w:r>
        <w:t>2</w:t>
      </w:r>
      <w:r>
        <w:fldChar w:fldCharType="end"/>
      </w:r>
      <w:r>
        <w:fldChar w:fldCharType="end"/>
      </w:r>
    </w:p>
    <w:p>
      <w:pPr>
        <w:pStyle w:val="15"/>
        <w:tabs>
          <w:tab w:val="right" w:leader="dot" w:pos="8306"/>
        </w:tabs>
      </w:pPr>
      <w:r>
        <w:fldChar w:fldCharType="begin"/>
      </w:r>
      <w:r>
        <w:instrText>Hyperlink \l "_Toc44762696"</w:instrText>
      </w:r>
      <w:r>
        <w:fldChar w:fldCharType="separate"/>
      </w:r>
      <w:r>
        <w:rPr>
          <w:szCs w:val="30"/>
        </w:rPr>
        <w:t>第二周 9月23日~9月29日</w:t>
      </w:r>
      <w:r>
        <w:tab/>
      </w:r>
      <w:r>
        <w:fldChar w:fldCharType="begin"/>
      </w:r>
      <w:r>
        <w:instrText>PageRef _Toc44762696 \h</w:instrText>
      </w:r>
      <w:r>
        <w:fldChar w:fldCharType="separate"/>
      </w:r>
      <w:r>
        <w:t>7</w:t>
      </w:r>
      <w:r>
        <w:fldChar w:fldCharType="end"/>
      </w:r>
      <w:r>
        <w:fldChar w:fldCharType="end"/>
      </w:r>
    </w:p>
    <w:p>
      <w:pPr>
        <w:pStyle w:val="15"/>
        <w:tabs>
          <w:tab w:val="right" w:leader="dot" w:pos="8306"/>
        </w:tabs>
      </w:pPr>
      <w:r>
        <w:fldChar w:fldCharType="begin"/>
      </w:r>
      <w:r>
        <w:instrText>Hyperlink \l "_Toc44762697"</w:instrText>
      </w:r>
      <w:r>
        <w:fldChar w:fldCharType="separate"/>
      </w:r>
      <w:r>
        <w:rPr>
          <w:szCs w:val="30"/>
        </w:rPr>
        <w:t>第三周 10月7日~10月13日</w:t>
      </w:r>
      <w:r>
        <w:tab/>
      </w:r>
      <w:r>
        <w:fldChar w:fldCharType="begin"/>
      </w:r>
      <w:r>
        <w:instrText>PageRef _Toc44762697 \h</w:instrText>
      </w:r>
      <w:r>
        <w:fldChar w:fldCharType="separate"/>
      </w:r>
      <w:r>
        <w:t>11</w:t>
      </w:r>
      <w:r>
        <w:fldChar w:fldCharType="end"/>
      </w:r>
      <w:r>
        <w:fldChar w:fldCharType="end"/>
      </w:r>
    </w:p>
    <w:p>
      <w:pPr>
        <w:pStyle w:val="15"/>
        <w:tabs>
          <w:tab w:val="right" w:leader="dot" w:pos="8306"/>
        </w:tabs>
      </w:pPr>
      <w:r>
        <w:fldChar w:fldCharType="begin"/>
      </w:r>
      <w:r>
        <w:instrText>Hyperlink \l "_Toc44762698"</w:instrText>
      </w:r>
      <w:r>
        <w:fldChar w:fldCharType="separate"/>
      </w:r>
      <w:r>
        <w:rPr>
          <w:szCs w:val="30"/>
        </w:rPr>
        <w:t>第四周 10月14日~10月20日</w:t>
      </w:r>
      <w:r>
        <w:tab/>
      </w:r>
      <w:r>
        <w:fldChar w:fldCharType="begin"/>
      </w:r>
      <w:r>
        <w:instrText>PageRef _Toc44762698 \h</w:instrText>
      </w:r>
      <w:r>
        <w:fldChar w:fldCharType="separate"/>
      </w:r>
      <w:r>
        <w:t>15</w:t>
      </w:r>
      <w:r>
        <w:fldChar w:fldCharType="end"/>
      </w:r>
      <w:r>
        <w:fldChar w:fldCharType="end"/>
      </w:r>
    </w:p>
    <w:p>
      <w:pPr>
        <w:pStyle w:val="15"/>
        <w:tabs>
          <w:tab w:val="right" w:leader="dot" w:pos="8306"/>
        </w:tabs>
      </w:pPr>
      <w:r>
        <w:fldChar w:fldCharType="begin"/>
      </w:r>
      <w:r>
        <w:instrText>Hyperlink \l "_Toc44762699"</w:instrText>
      </w:r>
      <w:r>
        <w:fldChar w:fldCharType="separate"/>
      </w:r>
      <w:r>
        <w:rPr>
          <w:szCs w:val="30"/>
        </w:rPr>
        <w:t>第五周 10月21日~10月27日</w:t>
      </w:r>
      <w:r>
        <w:tab/>
      </w:r>
      <w:r>
        <w:fldChar w:fldCharType="begin"/>
      </w:r>
      <w:r>
        <w:instrText>PageRef _Toc44762699 \h</w:instrText>
      </w:r>
      <w:r>
        <w:fldChar w:fldCharType="separate"/>
      </w:r>
      <w:r>
        <w:t>20</w:t>
      </w:r>
      <w:r>
        <w:fldChar w:fldCharType="end"/>
      </w:r>
      <w:r>
        <w:fldChar w:fldCharType="end"/>
      </w:r>
    </w:p>
    <w:p>
      <w:pPr>
        <w:pStyle w:val="15"/>
        <w:tabs>
          <w:tab w:val="right" w:leader="dot" w:pos="8306"/>
        </w:tabs>
      </w:pPr>
      <w:r>
        <w:fldChar w:fldCharType="begin"/>
      </w:r>
      <w:r>
        <w:instrText>Hyperlink \l "_Toc44762700"</w:instrText>
      </w:r>
      <w:r>
        <w:fldChar w:fldCharType="separate"/>
      </w:r>
      <w:r>
        <w:rPr>
          <w:szCs w:val="30"/>
        </w:rPr>
        <w:t>第六周 10月28日~11月3日</w:t>
      </w:r>
      <w:r>
        <w:tab/>
      </w:r>
      <w:r>
        <w:fldChar w:fldCharType="begin"/>
      </w:r>
      <w:r>
        <w:instrText>PageRef _Toc44762700 \h</w:instrText>
      </w:r>
      <w:r>
        <w:fldChar w:fldCharType="separate"/>
      </w:r>
      <w:r>
        <w:t>23</w:t>
      </w:r>
      <w:r>
        <w:fldChar w:fldCharType="end"/>
      </w:r>
      <w:r>
        <w:fldChar w:fldCharType="end"/>
      </w:r>
    </w:p>
    <w:p>
      <w:pPr>
        <w:pStyle w:val="15"/>
        <w:tabs>
          <w:tab w:val="right" w:leader="dot" w:pos="8306"/>
        </w:tabs>
      </w:pPr>
      <w:r>
        <w:fldChar w:fldCharType="begin"/>
      </w:r>
      <w:r>
        <w:instrText>Hyperlink \l "_Toc44762701"</w:instrText>
      </w:r>
      <w:r>
        <w:fldChar w:fldCharType="separate"/>
      </w:r>
      <w:r>
        <w:rPr>
          <w:szCs w:val="30"/>
        </w:rPr>
        <w:t>第七周 11月4日~11月10日</w:t>
      </w:r>
      <w:r>
        <w:tab/>
      </w:r>
      <w:r>
        <w:fldChar w:fldCharType="begin"/>
      </w:r>
      <w:r>
        <w:instrText>PageRef _Toc44762701 \h</w:instrText>
      </w:r>
      <w:r>
        <w:fldChar w:fldCharType="separate"/>
      </w:r>
      <w:r>
        <w:t>28</w:t>
      </w:r>
      <w:r>
        <w:fldChar w:fldCharType="end"/>
      </w:r>
      <w:r>
        <w:fldChar w:fldCharType="end"/>
      </w:r>
    </w:p>
    <w:p>
      <w:pPr>
        <w:pStyle w:val="15"/>
        <w:tabs>
          <w:tab w:val="right" w:leader="dot" w:pos="8306"/>
        </w:tabs>
      </w:pPr>
      <w:r>
        <w:fldChar w:fldCharType="begin"/>
      </w:r>
      <w:r>
        <w:instrText>Hyperlink \l "_Toc44762702"</w:instrText>
      </w:r>
      <w:r>
        <w:fldChar w:fldCharType="separate"/>
      </w:r>
      <w:r>
        <w:rPr>
          <w:szCs w:val="30"/>
        </w:rPr>
        <w:t>第八周 11月11日~11月17日</w:t>
      </w:r>
      <w:r>
        <w:tab/>
      </w:r>
      <w:r>
        <w:fldChar w:fldCharType="begin"/>
      </w:r>
      <w:r>
        <w:instrText>PageRef _Toc44762702 \h</w:instrText>
      </w:r>
      <w:r>
        <w:fldChar w:fldCharType="separate"/>
      </w:r>
      <w:r>
        <w:t>32</w:t>
      </w:r>
      <w:r>
        <w:fldChar w:fldCharType="end"/>
      </w:r>
      <w:r>
        <w:fldChar w:fldCharType="end"/>
      </w:r>
    </w:p>
    <w:p>
      <w:pPr>
        <w:pStyle w:val="15"/>
        <w:tabs>
          <w:tab w:val="right" w:leader="dot" w:pos="8306"/>
        </w:tabs>
      </w:pPr>
      <w:r>
        <w:fldChar w:fldCharType="begin"/>
      </w:r>
      <w:r>
        <w:instrText>Hyperlink \l "_Toc44762703"</w:instrText>
      </w:r>
      <w:r>
        <w:fldChar w:fldCharType="separate"/>
      </w:r>
      <w:r>
        <w:rPr>
          <w:szCs w:val="30"/>
        </w:rPr>
        <w:t>第九周 11月11日~11月17日</w:t>
      </w:r>
      <w:r>
        <w:tab/>
      </w:r>
      <w:r>
        <w:fldChar w:fldCharType="begin"/>
      </w:r>
      <w:r>
        <w:instrText>PageRef _Toc44762703 \h</w:instrText>
      </w:r>
      <w:r>
        <w:fldChar w:fldCharType="separate"/>
      </w:r>
      <w:r>
        <w:t>34</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44762695"/>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44762696"/>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44762697"/>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44762698"/>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44762699"/>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6" w:name="_Toc44762700"/>
      <w:r>
        <w:rPr>
          <w:sz w:val="30"/>
          <w:szCs w:val="30"/>
        </w:rPr>
        <w:t>第六周 10月28日~11月3日</w:t>
      </w:r>
      <w:bookmarkEnd w:id="6"/>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7" w:name="_Toc44762701"/>
      <w:r>
        <w:rPr>
          <w:sz w:val="30"/>
          <w:szCs w:val="30"/>
        </w:rPr>
        <w:t>第七周 11月4日~11月10日</w:t>
      </w:r>
      <w:bookmarkEnd w:id="7"/>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8"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8"/>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pStyle w:val="3"/>
        <w:keepNext/>
        <w:keepLines/>
        <w:pageBreakBefore/>
        <w:widowControl w:val="0"/>
        <w:jc w:val="center"/>
        <w:rPr>
          <w:sz w:val="30"/>
          <w:szCs w:val="30"/>
        </w:rPr>
      </w:pPr>
      <w:bookmarkStart w:id="9" w:name="_Toc44762702"/>
      <w:r>
        <w:rPr>
          <w:sz w:val="30"/>
          <w:szCs w:val="30"/>
        </w:rPr>
        <w:t>第八周 11月11日~11月17日</w:t>
      </w:r>
      <w:bookmarkEnd w:id="9"/>
    </w:p>
    <w:p>
      <w:pPr>
        <w:ind w:left="0" w:firstLineChars="250" w:firstLine="600"/>
        <w:jc w:val="left"/>
        <w:rPr>
          <w:rFonts w:ascii="宋体"/>
          <w:sz w:val="24"/>
          <w:szCs w:val="24"/>
        </w:rPr>
      </w:pPr>
      <w:r>
        <w:rPr>
          <w:rFonts w:ascii="宋体"/>
          <w:sz w:val="24"/>
          <w:szCs w:val="24"/>
        </w:rPr>
        <w:t>本周准备进化计算考试占用较多时间。</w:t>
      </w:r>
    </w:p>
    <w:p>
      <w:pPr>
        <w:ind w:left="0" w:firstLineChars="250" w:firstLine="600"/>
        <w:jc w:val="left"/>
        <w:rPr>
          <w:rFonts w:ascii="宋体" w:hint="eastAsia"/>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b w:val="0"/>
          <w:bCs w:val="0"/>
          <w:i w:val="0"/>
          <w:iCs w:val="0"/>
          <w:caps w:val="0"/>
          <w:smallCaps w:val="0"/>
          <w:spacing w:val="0"/>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pPr>
        <w:ind w:left="0" w:firstLineChars="250" w:firstLine="600"/>
        <w:jc w:val="left"/>
        <w:rPr>
          <w:rFonts w:ascii="宋体" w:hint="eastAsia"/>
          <w:b w:val="0"/>
          <w:bCs w:val="0"/>
          <w:i w:val="0"/>
          <w:iCs w:val="0"/>
          <w:caps w:val="0"/>
          <w:smallCaps w:val="0"/>
          <w:color w:val="2E3033"/>
          <w:spacing w:val="0"/>
          <w:sz w:val="24"/>
          <w:szCs w:val="24"/>
          <w:shd w:val="clear" w:color="auto" w:fill="FFFFFF"/>
        </w:rPr>
      </w:pPr>
      <w:r>
        <w:rPr>
          <w:rFonts w:ascii="宋体" w:hint="eastAsia"/>
          <w:b/>
          <w:bCs/>
          <w:sz w:val="24"/>
          <w:szCs w:val="24"/>
        </w:rPr>
        <w:t>初始化：</w:t>
      </w:r>
      <w:r>
        <w:rPr>
          <w:rFonts w:ascii="宋体" w:hint="eastAsia"/>
          <w:b w:val="0"/>
          <w:bCs w:val="0"/>
          <w:i w:val="0"/>
          <w:iCs w:val="0"/>
          <w:caps w:val="0"/>
          <w:smallCaps w:val="0"/>
          <w:color w:val="2E3033"/>
          <w:spacing w:val="0"/>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pPr>
        <w:ind w:left="0" w:firstLineChars="250" w:firstLine="600"/>
        <w:jc w:val="left"/>
        <w:rPr>
          <w:rFonts w:ascii="宋体" w:hint="eastAsia"/>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pPr>
        <w:ind w:left="0" w:firstLineChars="250" w:firstLine="600"/>
        <w:jc w:val="left"/>
        <w:rPr>
          <w:rFonts w:ascii="宋体" w:hint="eastAsia"/>
          <w:b/>
          <w:bCs/>
          <w:sz w:val="24"/>
          <w:szCs w:val="24"/>
        </w:rPr>
      </w:pPr>
      <w:r>
        <w:rPr>
          <w:rFonts w:ascii="宋体" w:hint="eastAsia"/>
          <w:b/>
          <w:bCs/>
          <w:sz w:val="24"/>
          <w:szCs w:val="24"/>
        </w:rPr>
        <w:t>泛化能力：</w:t>
      </w:r>
    </w:p>
    <w:p>
      <w:pPr>
        <w:ind w:left="0" w:firstLineChars="250" w:firstLine="600"/>
        <w:jc w:val="left"/>
        <w:rPr>
          <w:rFonts w:ascii="宋体" w:hint="eastAsia"/>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pPr>
        <w:ind w:left="0" w:firstLineChars="250" w:firstLine="600"/>
        <w:jc w:val="left"/>
        <w:rPr>
          <w:rFonts w:ascii="宋体" w:hint="eastAsia"/>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pPr>
        <w:ind w:left="0" w:firstLineChars="250" w:firstLine="600"/>
        <w:jc w:val="left"/>
        <w:rPr>
          <w:rFonts w:ascii="宋体" w:hint="eastAsia"/>
          <w:b/>
          <w:bCs/>
          <w:sz w:val="24"/>
          <w:szCs w:val="24"/>
        </w:rPr>
      </w:pPr>
      <w:r>
        <w:rPr>
          <w:rFonts w:ascii="宋体" w:hint="eastAsia"/>
          <w:b/>
          <w:bCs/>
          <w:sz w:val="24"/>
          <w:szCs w:val="24"/>
        </w:rPr>
        <w:t>规模泛化：</w:t>
      </w:r>
    </w:p>
    <w:p>
      <w:pPr>
        <w:ind w:left="0" w:firstLineChars="250" w:firstLine="600"/>
        <w:jc w:val="left"/>
        <w:rPr>
          <w:rFonts w:ascii="宋体" w:hint="eastAsia"/>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pPr>
        <w:ind w:left="0" w:firstLineChars="250" w:firstLine="600"/>
        <w:jc w:val="left"/>
        <w:rPr>
          <w:rFonts w:ascii="宋体" w:hint="eastAsia"/>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pPr>
        <w:ind w:left="0" w:firstLineChars="250" w:firstLine="600"/>
        <w:jc w:val="left"/>
        <w:rPr>
          <w:rFonts w:ascii="宋体" w:hint="eastAsia"/>
          <w:b/>
          <w:bCs/>
          <w:sz w:val="24"/>
          <w:szCs w:val="24"/>
        </w:rPr>
      </w:pPr>
      <w:r>
        <w:rPr>
          <w:rFonts w:ascii="宋体" w:hint="eastAsia"/>
          <w:b/>
          <w:bCs/>
          <w:sz w:val="24"/>
          <w:szCs w:val="24"/>
        </w:rPr>
        <w:t>迭代次数消融实验：</w:t>
      </w:r>
    </w:p>
    <w:p>
      <w:pPr>
        <w:ind w:left="0" w:firstLineChars="250" w:firstLine="600"/>
        <w:jc w:val="left"/>
        <w:rPr>
          <w:rFonts w:ascii="宋体" w:hint="eastAsia"/>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pPr>
        <w:ind w:left="0" w:firstLineChars="250" w:firstLine="600"/>
        <w:jc w:val="left"/>
        <w:rPr>
          <w:rFonts w:ascii="宋体" w:hint="eastAsia"/>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pPr>
        <w:ind w:left="0" w:firstLineChars="250" w:firstLine="600"/>
        <w:jc w:val="left"/>
        <w:rPr>
          <w:rFonts w:ascii="宋体" w:hint="eastAsia"/>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pPr>
        <w:ind w:left="0" w:firstLineChars="250" w:firstLine="600"/>
        <w:jc w:val="left"/>
        <w:rPr>
          <w:rFonts w:ascii="宋体" w:hint="eastAsia"/>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pPr>
        <w:ind w:left="0" w:firstLineChars="250" w:firstLine="600"/>
        <w:jc w:val="left"/>
        <w:rPr>
          <w:rFonts w:ascii="宋体" w:hint="eastAsia"/>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pPr>
        <w:ind w:left="0" w:firstLineChars="250" w:firstLine="600"/>
        <w:jc w:val="left"/>
        <w:rPr>
          <w:rFonts w:ascii="宋体" w:hint="eastAsia"/>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pPr>
        <w:ind w:left="0" w:firstLineChars="250" w:firstLine="600"/>
        <w:jc w:val="left"/>
        <w:rPr>
          <w:rFonts w:ascii="宋体" w:hint="eastAsia"/>
          <w:sz w:val="24"/>
          <w:szCs w:val="24"/>
        </w:rPr>
      </w:pPr>
      <w:r>
        <w:rPr>
          <w:rFonts w:ascii="宋体" w:hint="eastAsia"/>
          <w:sz w:val="24"/>
          <w:szCs w:val="24"/>
        </w:rPr>
        <w:t>这也解释了在我们的消融研究中观察到的有限性能：仅进行2次迭代，系统就无法捕获合取析取，因此只能进行幼稚的估计。</w:t>
      </w:r>
    </w:p>
    <w:p>
      <w:pPr>
        <w:ind w:left="0" w:firstLineChars="250" w:firstLine="600"/>
        <w:jc w:val="left"/>
        <w:rPr>
          <w:rFonts w:ascii="宋体" w:hint="eastAsia"/>
          <w:b/>
          <w:bCs/>
          <w:sz w:val="24"/>
          <w:szCs w:val="24"/>
        </w:rPr>
      </w:pPr>
      <w:r>
        <w:rPr>
          <w:rFonts w:ascii="宋体" w:hint="eastAsia"/>
          <w:b/>
          <w:bCs/>
          <w:sz w:val="24"/>
          <w:szCs w:val="24"/>
        </w:rPr>
        <w:t>总结：这个GNN模型做出了以下贡献：</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1 它以</w:t>
      </w:r>
      <w:r>
        <w:rPr>
          <w:rFonts w:ascii="宋体" w:hint="eastAsia"/>
          <w:i w:val="0"/>
          <w:iCs w:val="0"/>
          <w:caps w:val="0"/>
          <w:smallCaps w:val="0"/>
          <w:color w:val="2E3033"/>
          <w:spacing w:val="0"/>
          <w:sz w:val="24"/>
          <w:szCs w:val="24"/>
          <w:shd w:val="clear" w:color="auto" w:fill="FFFFFF"/>
        </w:rPr>
        <w:drawing>
          <wp:inline distT="0" distB="0" distL="85723" distR="85723">
            <wp:extent cx="609590" cy="238121"/>
            <wp:effectExtent l="0" t="0" r="0" b="0"/>
            <wp:docPr id="466" name="图片"/>
            <wp:cNvGraphicFramePr>
              <a:graphicFrameLocks noChangeAspect="1"/>
            </wp:cNvGraphicFramePr>
            <a:graphic>
              <a:graphicData uri="http://schemas.openxmlformats.org/drawingml/2006/picture">
                <pic:pic>
                  <pic:nvPicPr>
                    <pic:cNvPr id="468" name="图片 468"/>
                    <pic:cNvPicPr/>
                  </pic:nvPicPr>
                  <pic:blipFill>
                    <a:blip r:embed="rId157"/>
                    <a:stretch>
                      <a:fillRect/>
                    </a:stretch>
                  </pic:blipFill>
                  <pic:spPr>
                    <a:xfrm rot="0">
                      <a:off x="0" y="0"/>
                      <a:ext cx="609590" cy="238121"/>
                    </a:xfrm>
                    <a:prstGeom prst="rect"/>
                    <a:noFill/>
                    <a:ln w="9525" cmpd="sng" cap="flat">
                      <a:noFill/>
                      <a:prstDash val="solid"/>
                      <a:miter/>
                    </a:ln>
                  </pic:spPr>
                </pic:pic>
              </a:graphicData>
            </a:graphic>
          </wp:inline>
        </w:drawing>
      </w:r>
      <w:r>
        <w:rPr>
          <w:rFonts w:ascii="宋体" w:hint="eastAsia"/>
          <w:i w:val="0"/>
          <w:iCs w:val="0"/>
          <w:caps w:val="0"/>
          <w:smallCaps w:val="0"/>
          <w:color w:val="2E3033"/>
          <w:spacing w:val="0"/>
          <w:sz w:val="24"/>
          <w:szCs w:val="24"/>
          <w:shd w:val="clear" w:color="auto" w:fill="FFFFFF"/>
        </w:rPr>
        <w:t>为单位，在有限宽度的线性时间内，生成高效、高精度的加权#DNF近似值</w:t>
      </w:r>
    </w:p>
    <w:p>
      <w:pPr>
        <w:ind w:firstLineChars="150" w:firstLine="360"/>
        <w:rPr>
          <w:rFonts w:ascii="宋体" w:hint="eastAsia"/>
          <w:sz w:val="24"/>
          <w:szCs w:val="24"/>
        </w:rPr>
      </w:pPr>
      <w:r>
        <w:rPr>
          <w:rFonts w:ascii="宋体" w:hint="eastAsia"/>
          <w:i w:val="0"/>
          <w:iCs w:val="0"/>
          <w:caps w:val="0"/>
          <w:smallCaps w:val="0"/>
          <w:color w:val="2E3033"/>
          <w:spacing w:val="0"/>
          <w:sz w:val="24"/>
          <w:szCs w:val="24"/>
          <w:shd w:val="clear" w:color="auto" w:fill="FFFFFF"/>
        </w:rPr>
        <w:t>2 它可以可靠地扩展到包含多达15K变量的#DNF实例，据我们所知，这是神经符号方法的首例</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3它是健壮的，因为它可以在训练之后生成给定域上的任何问题实例的近似。</w:t>
      </w:r>
    </w:p>
    <w:p>
      <w:pPr>
        <w:ind w:left="0" w:firstLineChars="250" w:firstLine="600"/>
        <w:jc w:val="left"/>
        <w:rPr>
          <w:rFonts w:ascii="宋体"/>
          <w:sz w:val="24"/>
          <w:szCs w:val="24"/>
        </w:rPr>
      </w:pPr>
      <w:r>
        <w:rPr>
          <w:rFonts w:ascii="宋体" w:hint="eastAsia"/>
          <w:sz w:val="24"/>
          <w:szCs w:val="24"/>
        </w:rPr>
        <w:t>这项研究展示了GNN能够学习解决计算上的难题，前提是这些问题可以在多项式时间内近似。</w:t>
      </w:r>
    </w:p>
    <w:p>
      <w:pPr>
        <w:pStyle w:val="3"/>
        <w:keepNext/>
        <w:keepLines/>
        <w:pageBreakBefore/>
        <w:widowControl w:val="0"/>
        <w:jc w:val="center"/>
        <w:rPr>
          <w:sz w:val="30"/>
          <w:szCs w:val="30"/>
        </w:rPr>
      </w:pPr>
      <w:bookmarkStart w:id="10" w:name="_Toc44762703"/>
      <w:r>
        <w:rPr>
          <w:sz w:val="30"/>
          <w:szCs w:val="30"/>
        </w:rPr>
        <w:t>第九周 11月11日~11月17日</w:t>
      </w:r>
      <w:bookmarkEnd w:id="10"/>
    </w:p>
    <w:p>
      <w:pPr>
        <w:ind w:left="0" w:firstLineChars="250" w:firstLine="600"/>
        <w:jc w:val="left"/>
        <w:rPr>
          <w:rFonts w:ascii="宋体"/>
          <w:b/>
          <w:bCs/>
          <w:sz w:val="24"/>
          <w:szCs w:val="24"/>
          <w:shd w:val="clear" w:color="auto" w:fill="FFFFFF"/>
        </w:rPr>
      </w:pPr>
      <w:r>
        <w:rPr>
          <w:rFonts w:ascii="宋体"/>
          <w:b/>
          <w:bCs/>
          <w:sz w:val="24"/>
          <w:szCs w:val="24"/>
          <w:shd w:val="clear" w:color="auto" w:fill="FFFFFF"/>
        </w:rPr>
        <w:t>《DNF》</w:t>
      </w:r>
    </w:p>
    <w:p>
      <w:pPr>
        <w:ind w:left="0" w:firstLineChars="250" w:firstLine="600"/>
        <w:jc w:val="left"/>
        <w:rPr>
          <w:rFonts w:ascii="宋体"/>
          <w:sz w:val="24"/>
          <w:szCs w:val="24"/>
          <w:shd w:val="clear" w:color="auto" w:fill="FFFFFF"/>
        </w:rPr>
      </w:pPr>
      <w:r>
        <w:rPr>
          <w:rFonts w:ascii="宋体"/>
          <w:sz w:val="24"/>
          <w:szCs w:val="24"/>
          <w:shd w:val="clear" w:color="auto" w:fill="FFFFFF"/>
        </w:rPr>
        <w:t>使用KL散度设计两个正态分布结构的损失函数。</w:t>
      </w:r>
    </w:p>
    <w:p>
      <w:pPr>
        <w:ind w:left="0" w:firstLineChars="250" w:firstLine="600"/>
        <w:jc w:val="left"/>
        <w:rPr>
          <w:rFonts w:ascii="宋体"/>
          <w:sz w:val="24"/>
          <w:szCs w:val="24"/>
          <w:shd w:val="clear" w:color="auto" w:fill="FFFFFF"/>
        </w:rPr>
      </w:pPr>
      <w:r>
        <w:rPr>
          <w:rFonts w:ascii="宋体"/>
          <w:sz w:val="24"/>
          <w:szCs w:val="24"/>
          <w:shd w:val="clear" w:color="auto" w:fill="FFFFFF"/>
        </w:rPr>
        <w:t>DNF计数这篇论文借鉴了他人关于DNF计数问题的较新的优秀算法，并搭建图神经网络来拟合、优化该算法。这或许为我的论文了思路，去理解问题的理论要点并将数据建模为一种容易表示的结构，并用适合处理这种结构的神经网络来进行训练，以拟合较新的对应的算法，利用神经网络的特殊结构以更少的时间得到目标结果。</w:t>
      </w:r>
    </w:p>
    <w:p>
      <w:pPr>
        <w:ind w:left="0" w:firstLineChars="250" w:firstLine="600"/>
        <w:jc w:val="left"/>
        <w:rPr>
          <w:rFonts w:ascii="宋体"/>
          <w:sz w:val="24"/>
          <w:szCs w:val="24"/>
          <w:shd w:val="clear" w:color="auto" w:fill="FFFFFF"/>
        </w:rPr>
      </w:pPr>
      <w:r>
        <w:rPr>
          <w:rFonts w:ascii="宋体"/>
          <w:sz w:val="24"/>
          <w:szCs w:val="24"/>
          <w:shd w:val="clear" w:color="auto" w:fill="FFFFFF"/>
        </w:rPr>
        <w:t>设计了各种泛化实验，对于优化问题应该是一个思路。</w:t>
      </w:r>
      <w:bookmarkStart w:id="11" w:name="_GoBack"/>
      <w:bookmarkEnd w:id="11"/>
    </w:p>
    <w:p>
      <w:pPr>
        <w:ind w:left="0" w:firstLineChars="250" w:firstLine="600"/>
        <w:jc w:val="left"/>
        <w:rPr>
          <w:rFonts w:ascii="宋体"/>
          <w:sz w:val="24"/>
          <w:szCs w:val="24"/>
          <w:shd w:val="clear" w:color="auto" w:fill="FFFFFF"/>
        </w:rPr>
      </w:pPr>
      <w:r>
        <w:rPr>
          <w:rFonts w:ascii="宋体"/>
          <w:sz w:val="24"/>
          <w:szCs w:val="24"/>
          <w:shd w:val="clear" w:color="auto" w:fill="FFFFFF"/>
        </w:rPr>
        <w:t>利用消融实验来验证论文的创新点。本文根据思想对关键变量设计了消融实验，验证了关键部分到底起了多大作用（迭代次数T），并保存了不同样本的每一轮迭代得到的结果来分析神经网络的运行原理，以图示表示出来，非常直观。</w:t>
      </w:r>
    </w:p>
    <w:p>
      <w:pPr>
        <w:ind w:left="0" w:firstLineChars="250" w:firstLine="600"/>
        <w:jc w:val="left"/>
        <w:rPr>
          <w:rFonts w:ascii="宋体" w:hint="eastAsia"/>
          <w:sz w:val="24"/>
          <w:szCs w:val="24"/>
          <w:shd w:val="clear" w:color="auto" w:fill="FFFFFF"/>
        </w:rPr>
      </w:pPr>
      <w:r>
        <w:rPr>
          <w:rFonts w:ascii="宋体"/>
          <w:sz w:val="24"/>
          <w:szCs w:val="24"/>
          <w:shd w:val="clear" w:color="auto" w:fill="FFFFFF"/>
        </w:rPr>
        <w:t>本实验的数据集是作者自己开发的随机产生DNF公式的数据集。其中</w:t>
      </w:r>
      <w:r>
        <w:rPr>
          <w:rFonts w:ascii="宋体" w:hint="eastAsia"/>
          <w:b w:val="0"/>
          <w:bCs w:val="0"/>
          <w:i w:val="0"/>
          <w:iCs w:val="0"/>
          <w:caps w:val="0"/>
          <w:smallCaps w:val="0"/>
          <w:color w:val="2E3033"/>
          <w:spacing w:val="0"/>
          <w:sz w:val="24"/>
          <w:szCs w:val="24"/>
          <w:shd w:val="clear" w:color="auto" w:fill="FFFFFF"/>
        </w:rPr>
        <w:t>变量的概率是均匀随机选择的。对训练集和评估集中的每个公式使用4个分布，这样一个分布是随机生成的，而其他3个分布是随机分布模1的四分之一增量。这保证了生成的公式中模型计数尽可能均匀地覆盖整个[0,1]范围，从而获得更多有代表性的训练和测试数据。</w:t>
      </w:r>
      <w:r>
        <w:rPr>
          <w:rFonts w:ascii="宋体"/>
          <w:b w:val="0"/>
          <w:bCs w:val="0"/>
          <w:i w:val="0"/>
          <w:iCs w:val="0"/>
          <w:caps w:val="0"/>
          <w:smallCaps w:val="0"/>
          <w:color w:val="2E3033"/>
          <w:spacing w:val="0"/>
          <w:sz w:val="24"/>
          <w:szCs w:val="24"/>
          <w:shd w:val="clear" w:color="auto" w:fill="FFFFFF"/>
        </w:rPr>
        <w:t>可以作为建立训练集的一种思路</w:t>
      </w: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image" Target="media/467.png"/><Relationship Id="rId158" Type="http://schemas.openxmlformats.org/officeDocument/2006/relationships/styles" Target="styles.xml"/><Relationship Id="rId159" Type="http://schemas.openxmlformats.org/officeDocument/2006/relationships/numbering" Target="numbering.xml"/><Relationship Id="rId160" Type="http://schemas.openxmlformats.org/officeDocument/2006/relationships/fontTable" Target="fontTable.xml"/></Relationships>
</file>

<file path=docProps/app.xml><?xml version="1.0" encoding="utf-8"?>
<Properties xmlns="http://schemas.openxmlformats.org/officeDocument/2006/extended-properties">
  <Template>Normal.eit</Template>
  <TotalTime>5409</TotalTime>
  <Application>Yozo_Office</Application>
  <Pages>34</Pages>
  <Words>20849</Words>
  <Characters>23411</Characters>
  <Lines>878</Lines>
  <Paragraphs>276</Paragraphs>
  <CharactersWithSpaces>23684</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2019-11-24T15:36:06Z</dcterms:modified>
</cp:coreProperties>
</file>