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Milestones for Deep Dive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The goal of the Deep Dive Project is for you to think through how to implement Deep Learning in a real setting (similar to what you might do in a job).  This means using your judgment in making decisions, and articulating why.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Milestone 1:  10/30: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Construct Google Folder (and give TA’s, graders, and Sowers access and URL)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Download some data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Debugging dataset: small enough to test code with; reasonable code should run in 2 minutes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Working dataset:  large enough to do the problem on (training should run no more than 40 minutes)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Convert these datasets to pandas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 suggest that you convert datetime to pandas timestamps (allows for time deltas and time manipulation)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Pickle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https://pandas.pydata.org/docs/reference/api/pandas.DataFrame.to_pickle.html</w:t>
        </w:r>
      </w:hyperlink>
      <w:r w:rsidDel="00000000" w:rsidR="00000000" w:rsidRPr="00000000">
        <w:rPr>
          <w:rtl w:val="0"/>
        </w:rPr>
        <w:t xml:space="preserve">)  the data.  That converts it to a binary file which can be loaded directly (must faster) into the correct datatypes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a README.md file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Listing the team members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Explaining the problem (as well as you understand at this point)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Stating a license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Milestone 2: 11/20: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Colab notebook giving some visualization of the data and some descriptive statistics.  Explain what you are doing in text cells.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reference, carry out some sort of linear or logistic regression (to be used as a benchmark).  Details left to you, but explain what you are doing in text cells in the notebook.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3: 11/29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deep learning model for the dataset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effects of mini-batch learning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effects of different optimizers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Tune hyperparameters (training testing and validation)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Milestone 4: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Importance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5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and cleanup of files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Conversion to repo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das.pydata.org/docs/reference/api/pandas.DataFrame.to_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