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B3A5C"/>
          <w:sz w:val="40"/>
          <w:szCs w:val="40"/>
        </w:rPr>
        <w:t xml:space="preserve">MAAGAP</w:t>
      </w:r>
    </w:p>
    <w:p>
      <w:pPr>
        <w:spacing w:after="80"/>
      </w:pPr>
      <w:r>
        <w:rPr>
          <w:b/>
          <w:bCs/>
          <w:color w:val="333333"/>
          <w:sz w:val="28"/>
          <w:szCs w:val="28"/>
        </w:rPr>
        <w:t xml:space="preserve">Model Training and Testing Methodology Report</w:t>
      </w:r>
    </w:p>
    <w:p>
      <w:pPr>
        <w:spacing w:after="40"/>
      </w:pPr>
      <w:r>
        <w:rPr>
          <w:i/>
          <w:iCs/>
          <w:color w:val="555555"/>
          <w:sz w:val="22"/>
          <w:szCs w:val="22"/>
        </w:rPr>
        <w:t xml:space="preserve">Predictive Risk Assessment and Optimized Resource Allocation in Philippine Government Project Management</w:t>
      </w:r>
    </w:p>
    <w:p>
      <w:pPr>
        <w:spacing w:after="20"/>
      </w:pPr>
      <w:r>
        <w:rPr>
          <w:color w:val="777777"/>
          <w:sz w:val="20"/>
          <w:szCs w:val="20"/>
        </w:rPr>
        <w:t xml:space="preserve">Prepared for: Kirk Gamo</w:t>
      </w:r>
    </w:p>
    <w:p>
      <w:pPr>
        <w:spacing w:after="400"/>
      </w:pPr>
      <w:r>
        <w:rPr>
          <w:color w:val="777777"/>
          <w:sz w:val="20"/>
          <w:szCs w:val="20"/>
        </w:rPr>
        <w:t xml:space="preserve">Date: July 30, 2026 (Rev. 3 — entity-resolution crosswalk barangay veto)</w:t>
      </w:r>
    </w:p>
    <w:p>
      <w:pPr>
        <w:pStyle w:val="Heading1"/>
        <w:spacing w:after="160" w:before="320"/>
      </w:pPr>
      <w:r>
        <w:t xml:space="preserve">1. Overview</w:t>
      </w:r>
    </w:p>
    <w:p>
      <w:pPr>
        <w:spacing w:after="160"/>
        <w:jc w:val="both"/>
      </w:pPr>
      <w:r>
        <w:t xml:space="preserve">This report documents how the Level 0 base learners (Random Forest, XGBoost, LSTM) and the Level 1 meta-learner (Multinomial Logistic Regression) were trained and evaluated for the MAAGAP risk-classification stack, following the pipeline currently checked into the ml-service directory: preprocess.py (Steps 1–5), feature_engineering.py (Steps 6–11), train_trees.py, train_lstm.py, and train_meta_learner.py. All figures below were captured from the artifacts produced by a full, current pipeline re-run (data/ready/*.csv and ml-service/artifacts/*.json), not estimated or reconstructed from memory.</w:t>
      </w:r>
    </w:p>
    <w:p>
      <w:pPr>
        <w:spacing w:after="160"/>
        <w:jc w:val="both"/>
      </w:pPr>
      <w:r>
        <w:t xml:space="preserve">Two questions anchor this report, both asked directly: what split was used (it is a 70/30 project-level train/test split, not 70/15/15 — no separate validation partition exists, for reasons explained in Section 3), and whether all available data was used (no — only the subset of monitoring records with a resolvable RedFlag outcome is used for supervised training; the remainder is scored, not trained on, and is documented in Section 2).</w:t>
      </w:r>
    </w:p>
    <w:p>
      <w:pPr>
        <w:pStyle w:val="Heading1"/>
        <w:spacing w:after="160" w:before="320"/>
      </w:pPr>
      <w:r>
        <w:t xml:space="preserve">2. Data Sources and Volume</w:t>
      </w:r>
    </w:p>
    <w:p>
      <w:pPr>
        <w:spacing w:after="160"/>
        <w:jc w:val="both"/>
      </w:pPr>
      <w:r>
        <w:t xml:space="preserve">The source workbook (“Copy of 2022 conso Fund Transfer worksheet (2).xlsx”) contains five sheets ingested by preprocess.py. As of this revision, all five feed the modeling population: the two smaller monitoring sheets (20% NTA Monitored, SEF Monitored), previously cleaned but never joined in, are now folded into the main monitoring population by fold_in_supplementary_sheets() (Step 1B) before type coercion. Their rows are schema-harmonized onto the main sheet's 12 columns, tagged with a source_sheet provenance column (excluded from training — see train_trees.py's EXCLUDE_COLS), and — because SEF's own date columns were judged not semantically equivalent to DATE RELEASED without further verification — left to resolve their start date via the existing D_start fallback (Section 5.1) rather than assuming an equivalence.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200"/>
        <w:gridCol w:w="1600"/>
        <w:gridCol w:w="1600"/>
        <w:gridCol w:w="2960"/>
      </w:tblGrid>
      <w:tr>
        <w:trPr>
          <w:tblHeader/>
        </w:trPr>
        <w:tc>
          <w:tcPr>
            <w:tcW w:type="dxa" w:w="3200"/>
            <w:shd w:fill="1B3A5C" w:val="clear"/>
            <w:tcMar>
              <w:top w:type="dxa" w:w="80"/>
              <w:left w:type="dxa" w:w="120"/>
              <w:bottom w:type="dxa" w:w="80"/>
              <w:right w:type="dxa" w:w="120"/>
            </w:tcMar>
            <w:vAlign w:val="center"/>
          </w:tcPr>
          <w:p>
            <w:pPr>
              <w:jc w:val="left"/>
            </w:pPr>
            <w:r>
              <w:rPr>
                <w:b/>
                <w:bCs/>
                <w:color w:val="FFFFFF"/>
                <w:sz w:val="20"/>
                <w:szCs w:val="20"/>
              </w:rPr>
              <w:t xml:space="preserve">Sheet</w:t>
            </w:r>
          </w:p>
        </w:tc>
        <w:tc>
          <w:tcPr>
            <w:tcW w:type="dxa" w:w="1600"/>
            <w:shd w:fill="1B3A5C" w:val="clear"/>
            <w:tcMar>
              <w:top w:type="dxa" w:w="80"/>
              <w:left w:type="dxa" w:w="120"/>
              <w:bottom w:type="dxa" w:w="80"/>
              <w:right w:type="dxa" w:w="120"/>
            </w:tcMar>
            <w:vAlign w:val="center"/>
          </w:tcPr>
          <w:p>
            <w:pPr>
              <w:jc w:val="center"/>
            </w:pPr>
            <w:r>
              <w:rPr>
                <w:b/>
                <w:bCs/>
                <w:color w:val="FFFFFF"/>
                <w:sz w:val="20"/>
                <w:szCs w:val="20"/>
              </w:rPr>
              <w:t xml:space="preserve">Rows</w:t>
            </w:r>
          </w:p>
        </w:tc>
        <w:tc>
          <w:tcPr>
            <w:tcW w:type="dxa" w:w="1600"/>
            <w:shd w:fill="1B3A5C" w:val="clear"/>
            <w:tcMar>
              <w:top w:type="dxa" w:w="80"/>
              <w:left w:type="dxa" w:w="120"/>
              <w:bottom w:type="dxa" w:w="80"/>
              <w:right w:type="dxa" w:w="120"/>
            </w:tcMar>
            <w:vAlign w:val="center"/>
          </w:tcPr>
          <w:p>
            <w:pPr>
              <w:jc w:val="center"/>
            </w:pPr>
            <w:r>
              <w:rPr>
                <w:b/>
                <w:bCs/>
                <w:color w:val="FFFFFF"/>
                <w:sz w:val="20"/>
                <w:szCs w:val="20"/>
              </w:rPr>
              <w:t xml:space="preserve">Columns</w:t>
            </w:r>
          </w:p>
        </w:tc>
        <w:tc>
          <w:tcPr>
            <w:tcW w:type="dxa" w:w="2960"/>
            <w:shd w:fill="1B3A5C" w:val="clear"/>
            <w:tcMar>
              <w:top w:type="dxa" w:w="80"/>
              <w:left w:type="dxa" w:w="120"/>
              <w:bottom w:type="dxa" w:w="80"/>
              <w:right w:type="dxa" w:w="120"/>
            </w:tcMar>
            <w:vAlign w:val="center"/>
          </w:tcPr>
          <w:p>
            <w:pPr>
              <w:jc w:val="center"/>
            </w:pPr>
            <w:r>
              <w:rPr>
                <w:b/>
                <w:bCs/>
                <w:color w:val="FFFFFF"/>
                <w:sz w:val="20"/>
                <w:szCs w:val="20"/>
              </w:rPr>
              <w:t xml:space="preserve">Used in modeling?</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MONITORING REPORT Con</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8,677</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12</w:t>
            </w:r>
          </w:p>
        </w:tc>
        <w:tc>
          <w:tcPr>
            <w:tcW w:type="dxa" w:w="2960"/>
            <w:tcMar>
              <w:top w:type="dxa" w:w="80"/>
              <w:left w:type="dxa" w:w="120"/>
              <w:bottom w:type="dxa" w:w="80"/>
              <w:right w:type="dxa" w:w="120"/>
            </w:tcMar>
            <w:vAlign w:val="center"/>
          </w:tcPr>
          <w:p>
            <w:pPr>
              <w:jc w:val="left"/>
            </w:pPr>
            <w:r>
              <w:rPr>
                <w:b w:val="false"/>
                <w:bCs w:val="false"/>
                <w:color w:val="1A1A1A"/>
                <w:sz w:val="20"/>
                <w:szCs w:val="20"/>
              </w:rPr>
              <w:t xml:space="preserve">Yes — primary source of RedFlag target + tabular features</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Fund Transfer Con</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21,376</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23</w:t>
            </w:r>
          </w:p>
        </w:tc>
        <w:tc>
          <w:tcPr>
            <w:tcW w:type="dxa" w:w="2960"/>
            <w:tcMar>
              <w:top w:type="dxa" w:w="80"/>
              <w:left w:type="dxa" w:w="120"/>
              <w:bottom w:type="dxa" w:w="80"/>
              <w:right w:type="dxa" w:w="120"/>
            </w:tcMar>
            <w:vAlign w:val="center"/>
          </w:tcPr>
          <w:p>
            <w:pPr>
              <w:jc w:val="left"/>
            </w:pPr>
            <w:r>
              <w:rPr>
                <w:b w:val="false"/>
                <w:bCs w:val="false"/>
                <w:color w:val="1A1A1A"/>
                <w:sz w:val="20"/>
                <w:szCs w:val="20"/>
              </w:rPr>
              <w:t xml:space="preserve">Yes — entity-resolution crosswalk + LSTM event sequences</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Liquidation Report Con</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13,412</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11</w:t>
            </w:r>
          </w:p>
        </w:tc>
        <w:tc>
          <w:tcPr>
            <w:tcW w:type="dxa" w:w="2960"/>
            <w:tcMar>
              <w:top w:type="dxa" w:w="80"/>
              <w:left w:type="dxa" w:w="120"/>
              <w:bottom w:type="dxa" w:w="80"/>
              <w:right w:type="dxa" w:w="120"/>
            </w:tcMar>
            <w:vAlign w:val="center"/>
          </w:tcPr>
          <w:p>
            <w:pPr>
              <w:jc w:val="left"/>
            </w:pPr>
            <w:r>
              <w:rPr>
                <w:b w:val="false"/>
                <w:bCs w:val="false"/>
                <w:color w:val="1A1A1A"/>
                <w:sz w:val="20"/>
                <w:szCs w:val="20"/>
              </w:rPr>
              <w:t xml:space="preserve">Yes — crosswalk + proxy completion-date recovery</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20% NTA Monitored</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22</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10</w:t>
            </w:r>
          </w:p>
        </w:tc>
        <w:tc>
          <w:tcPr>
            <w:tcW w:type="dxa" w:w="2960"/>
            <w:tcMar>
              <w:top w:type="dxa" w:w="80"/>
              <w:left w:type="dxa" w:w="120"/>
              <w:bottom w:type="dxa" w:w="80"/>
              <w:right w:type="dxa" w:w="120"/>
            </w:tcMar>
            <w:vAlign w:val="center"/>
          </w:tcPr>
          <w:p>
            <w:pPr>
              <w:jc w:val="left"/>
            </w:pPr>
            <w:r>
              <w:rPr>
                <w:b w:val="false"/>
                <w:bCs w:val="false"/>
                <w:color w:val="1A1A1A"/>
                <w:sz w:val="20"/>
                <w:szCs w:val="20"/>
              </w:rPr>
              <w:t xml:space="preserve">Yes — folded into the monitoring population (Step 1B); 21 rows retained after dropping 1 with no project name</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SEF Monitored</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87</w:t>
            </w:r>
          </w:p>
        </w:tc>
        <w:tc>
          <w:tcPr>
            <w:tcW w:type="dxa" w:w="1600"/>
            <w:tcMar>
              <w:top w:type="dxa" w:w="80"/>
              <w:left w:type="dxa" w:w="120"/>
              <w:bottom w:type="dxa" w:w="80"/>
              <w:right w:type="dxa" w:w="120"/>
            </w:tcMar>
            <w:vAlign w:val="center"/>
          </w:tcPr>
          <w:p>
            <w:pPr>
              <w:jc w:val="center"/>
            </w:pPr>
            <w:r>
              <w:rPr>
                <w:b w:val="false"/>
                <w:bCs w:val="false"/>
                <w:color w:val="1A1A1A"/>
                <w:sz w:val="20"/>
                <w:szCs w:val="20"/>
              </w:rPr>
              <w:t xml:space="preserve">11</w:t>
            </w:r>
          </w:p>
        </w:tc>
        <w:tc>
          <w:tcPr>
            <w:tcW w:type="dxa" w:w="2960"/>
            <w:tcMar>
              <w:top w:type="dxa" w:w="80"/>
              <w:left w:type="dxa" w:w="120"/>
              <w:bottom w:type="dxa" w:w="80"/>
              <w:right w:type="dxa" w:w="120"/>
            </w:tcMar>
            <w:vAlign w:val="center"/>
          </w:tcPr>
          <w:p>
            <w:pPr>
              <w:jc w:val="left"/>
            </w:pPr>
            <w:r>
              <w:rPr>
                <w:b w:val="false"/>
                <w:bCs w:val="false"/>
                <w:color w:val="1A1A1A"/>
                <w:sz w:val="20"/>
                <w:szCs w:val="20"/>
              </w:rPr>
              <w:t xml:space="preserve">Yes — folded into the monitoring population (Step 1B); 86 rows retained after dropping 1 with no project name</w:t>
            </w:r>
          </w:p>
        </w:tc>
      </w:tr>
    </w:tbl>
    <w:p>
      <w:pPr>
        <w:spacing w:after="240" w:before="60"/>
      </w:pPr>
      <w:r>
        <w:rPr>
          <w:i/>
          <w:iCs/>
          <w:color w:val="555555"/>
          <w:sz w:val="20"/>
          <w:szCs w:val="20"/>
        </w:rPr>
        <w:t xml:space="preserve">Table 1. Raw sheet inventory after Step 1 cleaning (post whitespace-header-column fix) and Step 1B folding. The merged monitoring population is 8,784 rows (8,677 from the main sheet + 107 folded in from NTA/SEF).</w:t>
      </w:r>
    </w:p>
    <w:p>
      <w:pPr>
        <w:spacing w:after="160"/>
        <w:jc w:val="both"/>
      </w:pPr>
      <w:r>
        <w:t xml:space="preserve">Contractor features are joined from a synthetic 150-contractor table (scripts/generate_synthetic_data.py), documented in Chapter 3 as a stand-in pending a real contractor-performance registry; this is a known, declared limitation and not treated as ground truth.</w:t>
      </w:r>
    </w:p>
    <w:p>
      <w:pPr>
        <w:spacing w:after="160"/>
        <w:jc w:val="both"/>
      </w:pPr>
      <w:r>
        <w:t xml:space="preserve">The entity-resolution crosswalk (build_project_crosswalk(), preprocess.py) that links Fund Transfer Con rows to their corresponding Liquidation and Monitoring records — used for LSTM sequence assembly (Section 5.3) and for assigning each fund-transfer row a project_key — was revised this revision to add a barangay-level veto. A real case surfaced two distinct "Public Address System" projects in different Tubungan barangays (Morcillas vs. Balicua), same municipality and fiscal year, that had been merged into one project because the prior match key (project name, municipality, fiscal year) did not check barangay. Fixing this substantially reduced the crosswalk's linkage rate — see Section 5.3 and Section 8 for the honest accounting of how much this shrinks the LSTM/meta-learner's effective sample size.</w:t>
      </w:r>
    </w:p>
    <w:p>
      <w:pPr>
        <w:pStyle w:val="Heading1"/>
        <w:spacing w:after="160" w:before="320"/>
      </w:pPr>
      <w:r>
        <w:t xml:space="preserve">3. Target Variable Construction and Data Coverage</w:t>
      </w:r>
    </w:p>
    <w:p>
      <w:pPr>
        <w:spacing w:after="160"/>
        <w:jc w:val="both"/>
      </w:pPr>
      <w:r>
        <w:t>RedFlag (the binary slippage label the Level 0 models predict) requires a completion date to compute T_actual = Date of Completion − D_start against T_standard (365 days Infrastructure, 182 days Non-Infrastructure). The 8,784 merged monitoring rows (post NTA/SEF folding, Section 2) are first reduced to 8,278 by two data-quality filters added in the 2026-08-15 revision — 503 exact-duplicate ledger rows (DQ-11) and 3 rows whose D_start precedes the data's own 2015 floor and are demonstrable data-entry errors (DQ-9). Of those 8,278 rows, only a subset has both a usable completion date and a resolved project type — the rest cannot be labeled without fabricating an outcome, and are not labeled.</w:t>
      </w:r>
    </w:p>
    <w:p>
      <w:pPr>
        <w:spacing w:after="160"/>
        <w:jc w:val="both"/>
      </w:pPr>
      <w:r>
        <w:t xml:space="preserve">PHASE 8 ADDITION — narrow, evidence-gated clamp: the Phase 7 empirical lag correction (below) occasionally pulled a short-duration project's corrected proxy date back before its own D_start, which is not credible (a negative project duration) and was previously left unresolved. Splitting the affected rows revealed two distinct causes that are handled differently: 1,260 rows have a RAW, uncorrected proxy date that IS genuinely after D_start — the flat lag subtraction alone pushes these non-credible, so the corrected date is clamped at D_start + 1 day rather than the row being discarded. A further 1,102 rows have a raw proxy date that is already at or before D_start before any correction is applied at all — no real event exists to anchor a clamp to, so these are left unresolved exactly as before. Clamped rows are marked completion_date_is_clamped=True; because T_actual is pinned to 1 day, RedFlag is 0 for every one of them by construction, not from observed evidence — Sections 5 and 8 flag this explicitly so it is not mistaken for a measured on-time-completion signal.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4800"/>
        <w:gridCol w:w="2400"/>
        <w:gridCol w:w="2160"/>
      </w:tblGrid>
      <w:tr>
        <w:trPr>
          <w:tblHeader/>
        </w:trPr>
        <w:tc>
          <w:tcPr>
            <w:tcW w:type="dxa" w:w="4800"/>
            <w:shd w:fill="1B3A5C" w:val="clear"/>
            <w:tcMar>
              <w:top w:type="dxa" w:w="80"/>
              <w:left w:type="dxa" w:w="120"/>
              <w:bottom w:type="dxa" w:w="80"/>
              <w:right w:type="dxa" w:w="120"/>
            </w:tcMar>
            <w:vAlign w:val="center"/>
          </w:tcPr>
          <w:p>
            <w:pPr>
              <w:jc w:val="left"/>
            </w:pPr>
            <w:r>
              <w:rPr>
                <w:b/>
                <w:bCs/>
                <w:color w:val="FFFFFF"/>
                <w:sz w:val="20"/>
                <w:szCs w:val="20"/>
              </w:rPr>
              <w:t xml:space="preserve">Population</w:t>
            </w:r>
          </w:p>
        </w:tc>
        <w:tc>
          <w:tcPr>
            <w:tcW w:type="dxa" w:w="2400"/>
            <w:shd w:fill="1B3A5C" w:val="clear"/>
            <w:tcMar>
              <w:top w:type="dxa" w:w="80"/>
              <w:left w:type="dxa" w:w="120"/>
              <w:bottom w:type="dxa" w:w="80"/>
              <w:right w:type="dxa" w:w="120"/>
            </w:tcMar>
            <w:vAlign w:val="center"/>
          </w:tcPr>
          <w:p>
            <w:pPr>
              <w:jc w:val="center"/>
            </w:pPr>
            <w:r>
              <w:rPr>
                <w:b/>
                <w:bCs/>
                <w:color w:val="FFFFFF"/>
                <w:sz w:val="20"/>
                <w:szCs w:val="20"/>
              </w:rPr>
              <w:t xml:space="preserve">Rows</w:t>
            </w:r>
          </w:p>
        </w:tc>
        <w:tc>
          <w:tcPr>
            <w:tcW w:type="dxa" w:w="2160"/>
            <w:shd w:fill="1B3A5C" w:val="clear"/>
            <w:tcMar>
              <w:top w:type="dxa" w:w="80"/>
              <w:left w:type="dxa" w:w="120"/>
              <w:bottom w:type="dxa" w:w="80"/>
              <w:right w:type="dxa" w:w="120"/>
            </w:tcMar>
            <w:vAlign w:val="center"/>
          </w:tcPr>
          <w:p>
            <w:pPr>
              <w:jc w:val="center"/>
            </w:pPr>
            <w:r>
              <w:rPr>
                <w:b/>
                <w:bCs/>
                <w:color w:val="FFFFFF"/>
                <w:sz w:val="20"/>
                <w:szCs w:val="20"/>
              </w:rPr>
              <w:t xml:space="preserve">% of Total</w:t>
            </w:r>
          </w:p>
        </w:tc>
      </w:tr>
      <w:tr>
        <w:tc>
          <w:tcPr>
            <w:tcW w:type="dxa" w:w="4800"/>
            <w:tcMar>
              <w:top w:type="dxa" w:w="80"/>
              <w:left w:type="dxa" w:w="120"/>
              <w:bottom w:type="dxa" w:w="80"/>
              <w:right w:type="dxa" w:w="120"/>
            </w:tcMar>
            <w:vAlign w:val="center"/>
          </w:tcPr>
          <w:p>
            <w:pPr>
              <w:jc w:val="left"/>
            </w:pPr>
            <w:r>
              <w:rPr>
                <w:b/>
                <w:bCs/>
                <w:color w:val="1A1A1A"/>
                <w:sz w:val="20"/>
                <w:szCs w:val="20"/>
              </w:rPr>
              <w:t xml:space="preserve">Total monitoring rows</w:t>
            </w:r>
          </w:p>
        </w:tc>
        <w:tc>
          <w:tcPr>
            <w:tcW w:type="dxa" w:w="2400"/>
            <w:tcMar>
              <w:top w:type="dxa" w:w="80"/>
              <w:left w:type="dxa" w:w="120"/>
              <w:bottom w:type="dxa" w:w="80"/>
              <w:right w:type="dxa" w:w="120"/>
            </w:tcMar>
            <w:vAlign w:val="center"/>
          </w:tcPr>
          <w:p>
            <w:pPr>
              <w:jc w:val="center"/>
            </w:pPr>
            <w:r>
              <w:rPr>
                <w:b/>
                <w:bCs/>
                <w:color w:val="1A1A1A"/>
                <w:sz w:val="20"/>
                <w:szCs w:val="20"/>
              </w:rPr>
              <w:t>8,278</w:t>
            </w:r>
          </w:p>
        </w:tc>
        <w:tc>
          <w:tcPr>
            <w:tcW w:type="dxa" w:w="2160"/>
            <w:tcMar>
              <w:top w:type="dxa" w:w="80"/>
              <w:left w:type="dxa" w:w="120"/>
              <w:bottom w:type="dxa" w:w="80"/>
              <w:right w:type="dxa" w:w="120"/>
            </w:tcMar>
            <w:vAlign w:val="center"/>
          </w:tcPr>
          <w:p>
            <w:pPr>
              <w:jc w:val="center"/>
            </w:pPr>
            <w:r>
              <w:rPr>
                <w:b/>
                <w:bCs/>
                <w:color w:val="1A1A1A"/>
                <w:sz w:val="20"/>
                <w:szCs w:val="20"/>
              </w:rPr>
              <w:t>100.0%</w:t>
            </w:r>
          </w:p>
        </w:tc>
      </w:tr>
      <w:tr>
        <w:tc>
          <w:tcPr>
            <w:tcW w:type="dxa" w:w="4800"/>
            <w:tcMar>
              <w:top w:type="dxa" w:w="80"/>
              <w:left w:type="dxa" w:w="120"/>
              <w:bottom w:type="dxa" w:w="80"/>
              <w:right w:type="dxa" w:w="120"/>
            </w:tcMar>
            <w:vAlign w:val="center"/>
          </w:tcPr>
          <w:p>
            <w:pPr>
              <w:jc w:val="left"/>
            </w:pPr>
            <w:r>
              <w:rPr>
                <w:b w:val="false"/>
                <w:bCs w:val="false"/>
                <w:color w:val="1A1A1A"/>
                <w:sz w:val="20"/>
                <w:szCs w:val="20"/>
              </w:rPr>
              <w:t xml:space="preserve">Resolved (labeled) — train + test</w:t>
            </w:r>
          </w:p>
        </w:tc>
        <w:tc>
          <w:tcPr>
            <w:tcW w:type="dxa" w:w="2400"/>
            <w:tcMar>
              <w:top w:type="dxa" w:w="80"/>
              <w:left w:type="dxa" w:w="120"/>
              <w:bottom w:type="dxa" w:w="80"/>
              <w:right w:type="dxa" w:w="120"/>
            </w:tcMar>
            <w:vAlign w:val="center"/>
          </w:tcPr>
          <w:p>
            <w:pPr>
              <w:jc w:val="center"/>
            </w:pPr>
            <w:r>
              <w:rPr>
                <w:b w:val="false"/>
                <w:bCs w:val="false"/>
                <w:color w:val="1A1A1A"/>
                <w:sz w:val="20"/>
                <w:szCs w:val="20"/>
              </w:rPr>
              <w:t>5,761</w:t>
            </w:r>
          </w:p>
        </w:tc>
        <w:tc>
          <w:tcPr>
            <w:tcW w:type="dxa" w:w="2160"/>
            <w:tcMar>
              <w:top w:type="dxa" w:w="80"/>
              <w:left w:type="dxa" w:w="120"/>
              <w:bottom w:type="dxa" w:w="80"/>
              <w:right w:type="dxa" w:w="120"/>
            </w:tcMar>
            <w:vAlign w:val="center"/>
          </w:tcPr>
          <w:p>
            <w:pPr>
              <w:jc w:val="center"/>
            </w:pPr>
            <w:r>
              <w:rPr>
                <w:b w:val="false"/>
                <w:bCs w:val="false"/>
                <w:color w:val="1A1A1A"/>
                <w:sz w:val="20"/>
                <w:szCs w:val="20"/>
              </w:rPr>
              <w:t>69.6%</w:t>
            </w:r>
          </w:p>
        </w:tc>
      </w:tr>
      <w:tr>
        <w:tc>
          <w:tcPr>
            <w:tcW w:type="dxa" w:w="4800"/>
            <w:tcMar>
              <w:top w:type="dxa" w:w="80"/>
              <w:left w:type="dxa" w:w="120"/>
              <w:bottom w:type="dxa" w:w="80"/>
              <w:right w:type="dxa" w:w="120"/>
            </w:tcMar>
            <w:vAlign w:val="center"/>
          </w:tcPr>
          <w:p>
            <w:pPr>
              <w:jc w:val="left"/>
            </w:pPr>
            <w:r>
              <w:rPr>
                <w:b w:val="false"/>
                <w:bCs w:val="false"/>
                <w:color w:val="1A1A1A"/>
                <w:sz w:val="20"/>
                <w:szCs w:val="20"/>
              </w:rPr>
              <w:t xml:space="preserve">Unresolved — routed to inference.csv (scored, not trained on)</w:t>
            </w:r>
          </w:p>
        </w:tc>
        <w:tc>
          <w:tcPr>
            <w:tcW w:type="dxa" w:w="2400"/>
            <w:tcMar>
              <w:top w:type="dxa" w:w="80"/>
              <w:left w:type="dxa" w:w="120"/>
              <w:bottom w:type="dxa" w:w="80"/>
              <w:right w:type="dxa" w:w="120"/>
            </w:tcMar>
            <w:vAlign w:val="center"/>
          </w:tcPr>
          <w:p>
            <w:pPr>
              <w:jc w:val="center"/>
            </w:pPr>
            <w:r>
              <w:rPr>
                <w:b w:val="false"/>
                <w:bCs w:val="false"/>
                <w:color w:val="1A1A1A"/>
                <w:sz w:val="20"/>
                <w:szCs w:val="20"/>
              </w:rPr>
              <w:t>2,517</w:t>
            </w:r>
          </w:p>
        </w:tc>
        <w:tc>
          <w:tcPr>
            <w:tcW w:type="dxa" w:w="2160"/>
            <w:tcMar>
              <w:top w:type="dxa" w:w="80"/>
              <w:left w:type="dxa" w:w="120"/>
              <w:bottom w:type="dxa" w:w="80"/>
              <w:right w:type="dxa" w:w="120"/>
            </w:tcMar>
            <w:vAlign w:val="center"/>
          </w:tcPr>
          <w:p>
            <w:pPr>
              <w:jc w:val="center"/>
            </w:pPr>
            <w:r>
              <w:rPr>
                <w:b w:val="false"/>
                <w:bCs w:val="false"/>
                <w:color w:val="1A1A1A"/>
                <w:sz w:val="20"/>
                <w:szCs w:val="20"/>
              </w:rPr>
              <w:t>30.4%</w:t>
            </w:r>
          </w:p>
        </w:tc>
      </w:tr>
      <w:tr>
        <w:tc>
          <w:tcPr>
            <w:tcW w:type="dxa" w:w="4800"/>
            <w:tcMar>
              <w:top w:type="dxa" w:w="80"/>
              <w:left w:type="dxa" w:w="120"/>
              <w:bottom w:type="dxa" w:w="80"/>
              <w:right w:type="dxa" w:w="120"/>
            </w:tcMar>
            <w:vAlign w:val="center"/>
          </w:tcPr>
          <w:p>
            <w:pPr>
              <w:jc w:val="left"/>
            </w:pPr>
            <w:r>
              <w:rPr>
                <w:b w:val="false"/>
                <w:bCs w:val="false"/>
                <w:color w:val="1A1A1A"/>
                <w:sz w:val="20"/>
                <w:szCs w:val="20"/>
              </w:rPr>
              <w:t xml:space="preserve"> of which: Unclassified project type (no T_standard)</w:t>
            </w:r>
          </w:p>
        </w:tc>
        <w:tc>
          <w:tcPr>
            <w:tcW w:type="dxa" w:w="2400"/>
            <w:tcMar>
              <w:top w:type="dxa" w:w="80"/>
              <w:left w:type="dxa" w:w="120"/>
              <w:bottom w:type="dxa" w:w="80"/>
              <w:right w:type="dxa" w:w="120"/>
            </w:tcMar>
            <w:vAlign w:val="center"/>
          </w:tcPr>
          <w:p>
            <w:pPr>
              <w:jc w:val="center"/>
            </w:pPr>
            <w:r>
              <w:rPr>
                <w:b w:val="false"/>
                <w:bCs w:val="false"/>
                <w:color w:val="1A1A1A"/>
                <w:sz w:val="20"/>
                <w:szCs w:val="20"/>
              </w:rPr>
              <w:t>239</w:t>
            </w:r>
          </w:p>
        </w:tc>
        <w:tc>
          <w:tcPr>
            <w:tcW w:type="dxa" w:w="2160"/>
            <w:tcMar>
              <w:top w:type="dxa" w:w="80"/>
              <w:left w:type="dxa" w:w="120"/>
              <w:bottom w:type="dxa" w:w="80"/>
              <w:right w:type="dxa" w:w="120"/>
            </w:tcMar>
            <w:vAlign w:val="center"/>
          </w:tcPr>
          <w:p>
            <w:pPr>
              <w:jc w:val="center"/>
            </w:pPr>
            <w:r>
              <w:rPr>
                <w:b w:val="false"/>
                <w:bCs w:val="false"/>
                <w:color w:val="1A1A1A"/>
                <w:sz w:val="20"/>
                <w:szCs w:val="20"/>
              </w:rPr>
              <w:t>2.9%</w:t>
            </w:r>
          </w:p>
        </w:tc>
      </w:tr>
      <w:tr>
        <w:tc>
          <w:tcPr>
            <w:tcW w:type="dxa" w:w="4800"/>
            <w:tcMar>
              <w:top w:type="dxa" w:w="80"/>
              <w:left w:type="dxa" w:w="120"/>
              <w:bottom w:type="dxa" w:w="80"/>
              <w:right w:type="dxa" w:w="120"/>
            </w:tcMar>
            <w:vAlign w:val="center"/>
          </w:tcPr>
          <w:p>
            <w:pPr>
              <w:jc w:val="left"/>
            </w:pPr>
            <w:r>
              <w:rPr>
                <w:b w:val="false"/>
                <w:bCs w:val="false"/>
                <w:color w:val="1A1A1A"/>
                <w:sz w:val="20"/>
                <w:szCs w:val="20"/>
              </w:rPr>
              <w:t xml:space="preserve"> of which: STATUS confirms completed, date unrecoverable</w:t>
            </w:r>
          </w:p>
        </w:tc>
        <w:tc>
          <w:tcPr>
            <w:tcW w:type="dxa" w:w="2400"/>
            <w:tcMar>
              <w:top w:type="dxa" w:w="80"/>
              <w:left w:type="dxa" w:w="120"/>
              <w:bottom w:type="dxa" w:w="80"/>
              <w:right w:type="dxa" w:w="120"/>
            </w:tcMar>
            <w:vAlign w:val="center"/>
          </w:tcPr>
          <w:p>
            <w:pPr>
              <w:jc w:val="center"/>
            </w:pPr>
            <w:r>
              <w:rPr>
                <w:b w:val="false"/>
                <w:bCs w:val="false"/>
                <w:color w:val="1A1A1A"/>
                <w:sz w:val="20"/>
                <w:szCs w:val="20"/>
              </w:rPr>
              <w:t>1,060</w:t>
            </w:r>
          </w:p>
        </w:tc>
        <w:tc>
          <w:tcPr>
            <w:tcW w:type="dxa" w:w="2160"/>
            <w:tcMar>
              <w:top w:type="dxa" w:w="80"/>
              <w:left w:type="dxa" w:w="120"/>
              <w:bottom w:type="dxa" w:w="80"/>
              <w:right w:type="dxa" w:w="120"/>
            </w:tcMar>
            <w:vAlign w:val="center"/>
          </w:tcPr>
          <w:p>
            <w:pPr>
              <w:jc w:val="center"/>
            </w:pPr>
            <w:r>
              <w:rPr>
                <w:b w:val="false"/>
                <w:bCs w:val="false"/>
                <w:color w:val="1A1A1A"/>
                <w:sz w:val="20"/>
                <w:szCs w:val="20"/>
              </w:rPr>
              <w:t>12.8%</w:t>
            </w:r>
          </w:p>
        </w:tc>
      </w:tr>
      <w:tr>
        <w:tc>
          <w:tcPr>
            <w:tcW w:type="dxa" w:w="4800"/>
            <w:tcMar>
              <w:top w:type="dxa" w:w="80"/>
              <w:left w:type="dxa" w:w="120"/>
              <w:bottom w:type="dxa" w:w="80"/>
              <w:right w:type="dxa" w:w="120"/>
            </w:tcMar>
            <w:vAlign w:val="center"/>
          </w:tcPr>
          <w:p>
            <w:pPr>
              <w:jc w:val="left"/>
            </w:pPr>
            <w:r>
              <w:rPr>
                <w:b w:val="false"/>
                <w:bCs w:val="false"/>
                <w:color w:val="1A1A1A"/>
                <w:sz w:val="20"/>
                <w:szCs w:val="20"/>
              </w:rPr>
              <w:t xml:space="preserve"> of which: genuinely ongoing / other unmapped status</w:t>
            </w:r>
          </w:p>
        </w:tc>
        <w:tc>
          <w:tcPr>
            <w:tcW w:type="dxa" w:w="2400"/>
            <w:tcMar>
              <w:top w:type="dxa" w:w="80"/>
              <w:left w:type="dxa" w:w="120"/>
              <w:bottom w:type="dxa" w:w="80"/>
              <w:right w:type="dxa" w:w="120"/>
            </w:tcMar>
            <w:vAlign w:val="center"/>
          </w:tcPr>
          <w:p>
            <w:pPr>
              <w:jc w:val="center"/>
            </w:pPr>
            <w:r>
              <w:rPr>
                <w:b w:val="false"/>
                <w:bCs w:val="false"/>
                <w:color w:val="1A1A1A"/>
                <w:sz w:val="20"/>
                <w:szCs w:val="20"/>
              </w:rPr>
              <w:t>1,218</w:t>
            </w:r>
          </w:p>
        </w:tc>
        <w:tc>
          <w:tcPr>
            <w:tcW w:type="dxa" w:w="2160"/>
            <w:tcMar>
              <w:top w:type="dxa" w:w="80"/>
              <w:left w:type="dxa" w:w="120"/>
              <w:bottom w:type="dxa" w:w="80"/>
              <w:right w:type="dxa" w:w="120"/>
            </w:tcMar>
            <w:vAlign w:val="center"/>
          </w:tcPr>
          <w:p>
            <w:pPr>
              <w:jc w:val="center"/>
            </w:pPr>
            <w:r>
              <w:rPr>
                <w:b w:val="false"/>
                <w:bCs w:val="false"/>
                <w:color w:val="1A1A1A"/>
                <w:sz w:val="20"/>
                <w:szCs w:val="20"/>
              </w:rPr>
              <w:t>14.7%</w:t>
            </w:r>
          </w:p>
        </w:tc>
      </w:tr>
    </w:tbl>
    <w:p>
      <w:pPr>
        <w:spacing w:after="240" w:before="60"/>
      </w:pPr>
      <w:r>
        <w:rPr>
          <w:i/>
          <w:iCs/>
          <w:color w:val="555555"/>
          <w:sz w:val="20"/>
          <w:szCs w:val="20"/>
        </w:rPr>
        <w:t>Table 2. Disposition of all 8,278 pipeline monitoring rows (source: direct counts against data/ready/*.csv, 2026-08-15 run, post DQ-9/10/11 cleanup and the D12 project-type classifier). The resolved population grew from the prior revision's 5,159 to 5,761. Two changes drive this in opposite directions: the DQ-9/10/11 cleanup removed duplicates and non-credible dates (5,159 → 4,804), then the D12 supervised project-type classifier recovered ~950 rows that had been permanently unlabelable for want of a project type (4,804 → 5,761). The corresponding collapse in the "Unclassified project type" row below (1,674 → 239) is the same effect viewed from the unresolved side. The last unresolved sub-row ("genuinely ongoing / other unmapped status") is reported as a residual and does not partition exactly against the STATUS-substring buckets above it, since a handful of rows fall outside both the COMPLETED and ONGOING substring sets entirely.</w:t>
      </w:r>
    </w:p>
    <w:p>
      <w:pPr>
        <w:pStyle w:val="Heading2"/>
        <w:spacing w:after="120" w:before="240"/>
      </w:pPr>
      <w:r>
        <w:t xml:space="preserve">3.1 Proxy Completion Dates</w:t>
      </w:r>
    </w:p>
    <w:p>
      <w:pPr>
        <w:spacing w:after="160"/>
        <w:jc w:val="both"/>
      </w:pPr>
      <w:r>
        <w:t>Only 263 of the 5,761 labeled rows (4.6%) have a directly observed completion date. The remaining 95.4% are labeled using a proxy completion date — the latest independently recorded monitoring visit or liquidation submission for that project — recovered only when STATUS explicitly confirms the project is completed/functional. This is real, recorded history, not a fabricated value, but it is a systematically late upper bound on true physical completion. An empirical lag correction (median 257.5 days, calibrated on 272 rows with both a direct and proxy date) is subtracted from every proxy date before use, and — per the Phase 8 clamp above — 1,159 of the resulting corrected dates that would otherwise fall before D_start are clamped at D_start + 1 day rather than discarded. Note that the directly-observed share fell from the prior revision's 6.4%: DQ-10 (Section 3) now rejects a directly-recorded completion date that lies on or before D_start as non-credible, routing those rows to proxy recovery instead of accepting an impossible duration.</w:t>
      </w:r>
    </w:p>
    <w:p>
      <w:pPr>
        <w:spacing w:after="160"/>
        <w:jc w:val="both"/>
      </w:pPr>
      <w:r>
        <w:t>This matters for interpreting the metrics in Section 5: directly observed rows show a 12.2% RedFlag rate, while lag-corrected proxy-recovered rows show a 53.9% rate. Because roughly 95% of the training population is proxy-dated, the reported RedFlag positive rate (52.0% overall) and every downstream metric should be read as “how well the ensemble separates risk under the current proxy-date methodology,” not as a bias-free measurement against ground truth. The 1,159 Phase 8 clamped rows are a further special case within that proxy-dated subset: RedFlag=0 for each of them is a mechanical consequence of T_actual being pinned to 1 day, not an observed on-time completion, and their contribution to the reported proxy RedFlag rate should be read as a downward-biased floor rather than a measurement.</w:t>
      </w:r>
    </w:p>
    <w:p>
      <w:pPr>
        <w:pStyle w:val="Heading1"/>
        <w:spacing w:after="160" w:before="320"/>
      </w:pPr>
      <w:r>
        <w:t xml:space="preserve">4. Train/Test Split Methodology</w:t>
      </w:r>
    </w:p>
    <w:p>
      <w:pPr>
        <w:spacing w:after="160"/>
        <w:jc w:val="both"/>
      </w:pPr>
      <w:r>
        <w:t xml:space="preserve">The split is 70/30, not 70/15/15 — there is no separate held-out validation partition. Splitting is performed at the project level (normalize_and_split() in feature_engineering.py, Step 11): unique project_key values are shuffled with a fixed seed (42) and partitioned 70/30 before any row is assigned, which guarantees a single project's records cannot appear on both sides of the split. Min-max normalization for scaled numeric columns (AMOUNT (Php), days_since_release, NegativeSlippage_pct) is fit on the train split only and applied (not re-fit) to test and inference data, preventing scaling leakage.</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4000"/>
        <w:gridCol w:w="2680"/>
        <w:gridCol w:w="2680"/>
      </w:tblGrid>
      <w:tr>
        <w:trPr>
          <w:tblHeader/>
        </w:trPr>
        <w:tc>
          <w:tcPr>
            <w:tcW w:type="dxa" w:w="4000"/>
            <w:shd w:fill="1B3A5C" w:val="clear"/>
            <w:tcMar>
              <w:top w:type="dxa" w:w="80"/>
              <w:left w:type="dxa" w:w="120"/>
              <w:bottom w:type="dxa" w:w="80"/>
              <w:right w:type="dxa" w:w="120"/>
            </w:tcMar>
            <w:vAlign w:val="center"/>
          </w:tcPr>
          <w:p>
            <w:pPr>
              <w:jc w:val="left"/>
            </w:pPr>
            <w:r>
              <w:rPr>
                <w:b/>
                <w:bCs/>
                <w:color w:val="FFFFFF"/>
                <w:sz w:val="20"/>
                <w:szCs w:val="20"/>
              </w:rPr>
              <w:t xml:space="preserve"/>
            </w:r>
          </w:p>
        </w:tc>
        <w:tc>
          <w:tcPr>
            <w:tcW w:type="dxa" w:w="2680"/>
            <w:shd w:fill="1B3A5C" w:val="clear"/>
            <w:tcMar>
              <w:top w:type="dxa" w:w="80"/>
              <w:left w:type="dxa" w:w="120"/>
              <w:bottom w:type="dxa" w:w="80"/>
              <w:right w:type="dxa" w:w="120"/>
            </w:tcMar>
            <w:vAlign w:val="center"/>
          </w:tcPr>
          <w:p>
            <w:pPr>
              <w:jc w:val="center"/>
            </w:pPr>
            <w:r>
              <w:rPr>
                <w:b/>
                <w:bCs/>
                <w:color w:val="FFFFFF"/>
                <w:sz w:val="20"/>
                <w:szCs w:val="20"/>
              </w:rPr>
              <w:t xml:space="preserve">Train</w:t>
            </w:r>
          </w:p>
        </w:tc>
        <w:tc>
          <w:tcPr>
            <w:tcW w:type="dxa" w:w="2680"/>
            <w:shd w:fill="1B3A5C" w:val="clear"/>
            <w:tcMar>
              <w:top w:type="dxa" w:w="80"/>
              <w:left w:type="dxa" w:w="120"/>
              <w:bottom w:type="dxa" w:w="80"/>
              <w:right w:type="dxa" w:w="120"/>
            </w:tcMar>
            <w:vAlign w:val="center"/>
          </w:tcPr>
          <w:p>
            <w:pPr>
              <w:jc w:val="center"/>
            </w:pPr>
            <w:r>
              <w:rPr>
                <w:b/>
                <w:bCs/>
                <w:color w:val="FFFFFF"/>
                <w:sz w:val="20"/>
                <w:szCs w:val="20"/>
              </w:rPr>
              <w:t xml:space="preserve">Test</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Projects / rows</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4,033</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1,728</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 of resolved population</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 xml:space="preserve">70.0%</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 xml:space="preserve">30.0%</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RedFlag positive</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2,118 (52.5%)</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876 (50.7%)</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Phase 8 clamped (RedFlag=0 by construction)</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782</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356</w:t>
            </w:r>
          </w:p>
        </w:tc>
      </w:tr>
      <w:tr>
        <w:tc>
          <w:tcPr>
            <w:tcW w:type="dxa" w:w="4000"/>
            <w:tcMar>
              <w:top w:type="dxa" w:w="80"/>
              <w:left w:type="dxa" w:w="120"/>
              <w:bottom w:type="dxa" w:w="80"/>
              <w:right w:type="dxa" w:w="120"/>
            </w:tcMar>
            <w:vAlign w:val="center"/>
          </w:tcPr>
          <w:p>
            <w:pPr>
              <w:jc w:val="left"/>
            </w:pPr>
            <w:r>
              <w:rPr>
                <w:b w:val="false"/>
                <w:bCs w:val="false"/>
                <w:color w:val="1A1A1A"/>
                <w:sz w:val="20"/>
                <w:szCs w:val="20"/>
              </w:rPr>
              <w:t xml:space="preserve">With a matching LSTM OOF prediction (meta-learner input)</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1,396 (34.6%)</w:t>
            </w:r>
          </w:p>
        </w:tc>
        <w:tc>
          <w:tcPr>
            <w:tcW w:type="dxa" w:w="2680"/>
            <w:tcMar>
              <w:top w:type="dxa" w:w="80"/>
              <w:left w:type="dxa" w:w="120"/>
              <w:bottom w:type="dxa" w:w="80"/>
              <w:right w:type="dxa" w:w="120"/>
            </w:tcMar>
            <w:vAlign w:val="center"/>
          </w:tcPr>
          <w:p>
            <w:pPr>
              <w:jc w:val="center"/>
            </w:pPr>
            <w:r>
              <w:rPr>
                <w:b w:val="false"/>
                <w:bCs w:val="false"/>
                <w:color w:val="1A1A1A"/>
                <w:sz w:val="20"/>
                <w:szCs w:val="20"/>
              </w:rPr>
              <w:t>608 (35.2%)</w:t>
            </w:r>
          </w:p>
        </w:tc>
      </w:tr>
    </w:tbl>
    <w:p>
      <w:pPr>
        <w:spacing w:after="240" w:before="60"/>
      </w:pPr>
      <w:r>
        <w:rPr>
          <w:i/>
          <w:iCs/>
          <w:color w:val="555555"/>
          <w:sz w:val="20"/>
          <w:szCs w:val="20"/>
        </w:rPr>
        <w:t xml:space="preserve">Table 3. Train/test composition (source: data/ready/train.csv, test.csv, lstm_project_keys.json, current run, post Phase 8 clamp fix).</w:t>
      </w:r>
    </w:p>
    <w:p>
      <w:pPr>
        <w:spacing w:after="160"/>
        <w:jc w:val="both"/>
      </w:pPr>
      <w:r>
        <w:t>The resolved population grew from 3,612/1,547 (prior revision) to 4,033/1,728 — the net of the DQ-9/10/11 cleanup removing duplicates and non-credible dates and the D12 project-type classifier recovering ~950 previously-unlabelable rows (Section 2). The RedFlag positive rate moved only slightly (50.4%/51.0% → 52.5%/50.7%). The "matching LSTM OOF prediction" row grew proportionally more (1,124→1,396 train, 477→608 test, +24%/+27%): D13's barangay PSGC canonicalization improved the entity-resolution crosswalk's linkage rate (18.7% → 19.8%), and crosswalk membership is what determines whether a resolved project also has an LSTM sequence.</w:t>
      </w:r>
    </w:p>
    <w:p>
      <w:pPr>
        <w:pStyle w:val="Heading2"/>
        <w:spacing w:after="120" w:before="240"/>
      </w:pPr>
      <w:r>
        <w:t xml:space="preserve">4.1 Why No Separate Validation Split</w:t>
      </w:r>
    </w:p>
    <w:p>
      <w:pPr>
        <w:spacing w:after="160"/>
        <w:jc w:val="both"/>
      </w:pPr>
      <w:r>
        <w:t xml:space="preserve">In place of a third validation partition, both tree-based base learners and the LSTM generate Out-of-Fold (OOF) predictions via 5-fold stratified cross-validation on the training set (StratifiedKFold, shuffle=True, seed=42). Each row's OOF prediction comes from a model that never saw that row during that fold's training, so OOF predictions are statistically equivalent to validation-set predictions without needing to shrink the training set further. These OOF probabilities — not each base learner's in-sample, fitted-on-everything predictions — are what feed the Level 1 meta-learner (train_meta_learner.py), which is the standard stacking-ensemble protection against the meta-learner overfitting to each base learner's optimistic in-sample bias.</w:t>
      </w:r>
    </w:p>
    <w:p>
      <w:pPr>
        <w:pStyle w:val="Heading1"/>
        <w:spacing w:after="160" w:before="320"/>
      </w:pPr>
      <w:r>
        <w:t xml:space="preserve">5. Feature Set Used for Training and Testing</w:t>
      </w:r>
    </w:p>
    <w:p>
      <w:pPr>
        <w:spacing w:after="160"/>
        <w:jc w:val="both"/>
      </w:pPr>
      <w:r>
        <w:t xml:space="preserve">The Random Forest and XGBoost base learners are trained on 126 columns, drawn from ml-service/artifacts/tabular_feature_columns.json (the frozen schema, saved during the current run of train_trees.py and reused unchanged for scoring test.csv and inference.csv). Of the 126, 9 are continuous/engineered numeric or boolean features and 117 are one-hot indicator columns across four categorical families. The LSTM base learner is trained on a separate, much smaller 3-feature-per-timestep sequence representation, described in Section 5.3. This is up from 119 in the prior revision: the barangay-veto crosswalk fix (Section 2) reshuffled which monitoring rows land in the training split (via the resolved-population shrinkage noted under Table 2), which changed which sparse categories retain nonzero variance within the training fold. This is expected churn from the zero-variance filter operating on the training split, not a methodology change.</w:t>
      </w:r>
    </w:p>
    <w:p>
      <w:pPr>
        <w:pStyle w:val="Heading2"/>
        <w:spacing w:after="120" w:before="240"/>
      </w:pPr>
      <w:r>
        <w:t xml:space="preserve">5.1 Continuous and Engineered Features (9)</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600"/>
        <w:gridCol w:w="6760"/>
      </w:tblGrid>
      <w:tr>
        <w:trPr>
          <w:tblHeader/>
        </w:trPr>
        <w:tc>
          <w:tcPr>
            <w:tcW w:type="dxa" w:w="2600"/>
            <w:shd w:fill="1B3A5C"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6760"/>
            <w:shd w:fill="1B3A5C"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AMOUNT (Php)</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Project budget in Philippine pesos, min-max scaled to [0, 1] using parameters fit on the train split only.</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Year</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Calendar year the fund was released, as recorded on the monitoring sheet.</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days_since_release</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Days between D_start (DATE RELEASED, falling back to DATE MONITORED when unparseable — see note below) and a fixed dataset horizon date; min-max scaled. Used as a proxy for how long a project has been outstanding.</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release_month</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Calendar month (1–12) extracted from D_start.</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release_quarter</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Calendar quarter (1–4) extracted from D_start.</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is_wet_season_release</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1 if D_start falls in June–November (the approximate Philippine wet season), 0 if not, NaN if D_start itself is unresolvable. A coarse proxy pending real PAGASA weather integration — not an actual weather observation (Data Audit Report, Section 5).</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amount_outlier_flag</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Boolean flag: 1 if AMOUNT (Php) is a statistical outlier via the IQR method on log-transformed cost, computed separately within each project_type stratum (Infrastructure / Non-Infrastructure / Unclassified).</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historical_delay_rate</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Joined from the synthetic 150-contractor table (contractor_profiles.csv) via contractor_id: that contractor's historical share of projects delayed. 100% coverage in train/test as of this revision (Section 5.2).</w:t>
            </w:r>
          </w:p>
        </w:tc>
      </w:tr>
      <w:tr>
        <w:tc>
          <w:tcPr>
            <w:tcW w:type="dxa" w:w="2600"/>
            <w:tcMar>
              <w:top w:type="dxa" w:w="80"/>
              <w:left w:type="dxa" w:w="120"/>
              <w:bottom w:type="dxa" w:w="80"/>
              <w:right w:type="dxa" w:w="120"/>
            </w:tcMar>
            <w:vAlign w:val="center"/>
          </w:tcPr>
          <w:p>
            <w:pPr>
              <w:jc w:val="left"/>
            </w:pPr>
            <w:r>
              <w:rPr>
                <w:b w:val="false"/>
                <w:bCs w:val="false"/>
                <w:color w:val="1A1A1A"/>
                <w:sz w:val="20"/>
                <w:szCs w:val="20"/>
              </w:rPr>
              <w:t xml:space="preserve">reliability_score</w:t>
            </w:r>
          </w:p>
        </w:tc>
        <w:tc>
          <w:tcPr>
            <w:tcW w:type="dxa" w:w="6760"/>
            <w:tcMar>
              <w:top w:type="dxa" w:w="80"/>
              <w:left w:type="dxa" w:w="120"/>
              <w:bottom w:type="dxa" w:w="80"/>
              <w:right w:type="dxa" w:w="120"/>
            </w:tcMar>
            <w:vAlign w:val="center"/>
          </w:tcPr>
          <w:p>
            <w:pPr>
              <w:jc w:val="left"/>
            </w:pPr>
            <w:r>
              <w:rPr>
                <w:b w:val="false"/>
                <w:bCs w:val="false"/>
                <w:color w:val="1A1A1A"/>
                <w:sz w:val="20"/>
                <w:szCs w:val="20"/>
              </w:rPr>
              <w:t xml:space="preserve">Joined from the same synthetic contractor table: a composite reliability score for the assigned contractor. Also 100% coverage in train/test.</w:t>
            </w:r>
          </w:p>
        </w:tc>
      </w:tr>
    </w:tbl>
    <w:p>
      <w:pPr>
        <w:spacing w:after="240" w:before="60"/>
      </w:pPr>
      <w:r>
        <w:rPr>
          <w:i/>
          <w:iCs/>
          <w:color w:val="555555"/>
          <w:sz w:val="20"/>
          <w:szCs w:val="20"/>
        </w:rPr>
        <w:t xml:space="preserve">Table 8. Continuous/engineered numeric and boolean features.</w:t>
      </w:r>
    </w:p>
    <w:p>
      <w:pPr>
        <w:spacing w:after="160"/>
        <w:jc w:val="both"/>
      </w:pPr>
      <w:r>
        <w:t xml:space="preserve">D_start note: the raw source workbook's DATE RELEASED column contains 876 bare literal-year values (e.g. a cell reading "2016" rather than a proper Excel date serial) among its 8,370 non-null entries — preprocess.py correctly rejects these rather than misinterpreting them as an Excel serial (which would silently resolve to a nonsense date around January 1905), coercing them to missing instead. RedFlag's target construction (Section 3) already covered this gap by falling back to DATE MONITORED, recovering 1,279 of 1,282 affected rows as D_start. Prior to this report's current revision, engineer_features() recomputed release_month/release_quarter/days_since_release/is_wet_season_release directly from the raw DATE RELEASED column instead of reusing D_start — so those 1,282 rows had NaN release-timing features (or, for is_wet_season_release, a silently incorrect False) even though their RedFlag label was already correctly resolved. This was fixed by having engineer_features() reuse D_start; the metrics in Section 6 reflect the corrected features.</w:t>
      </w:r>
    </w:p>
    <w:p>
      <w:pPr>
        <w:pStyle w:val="Heading2"/>
        <w:spacing w:after="120" w:before="240"/>
      </w:pPr>
      <w:r>
        <w:t xml:space="preserve">5.2 One-Hot Categorical Families (117)</w:t>
      </w:r>
    </w:p>
    <w:p>
      <w:pPr>
        <w:spacing w:after="160"/>
        <w:jc w:val="both"/>
      </w:pPr>
      <w:r>
        <w:t xml:space="preserve">Four categorical fields are one-hot encoded — each distinct raw (post-normalization) category value becomes its own binary column, equal to 1 if that project's value matches and 0 otherwise. contractor_spec_* (contractor specialization) is newly active as of this revision: an earlier version of this report found the join was dormant because feature_engineering.py's --monitoring-input pointed at data/processed/monitoring_cleaned.csv, which has no contractor_id column. scripts/generate_synthetic_data.py already produces data/synthetic/monitoring_with_contractors.csv with contractor_id attached, row-for-row aligned with monitoring_cleaned.csv (verified: 0 row mismatches) — pointing the pipeline at that file instead, with no code changes to engineer_features() itself, activated the join. See Table 8 for historical_delay_rate/reliability_score, the two continuous contractor features from the same join.</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400"/>
        <w:gridCol w:w="1400"/>
        <w:gridCol w:w="5560"/>
      </w:tblGrid>
      <w:tr>
        <w:trPr>
          <w:tblHeader/>
        </w:trPr>
        <w:tc>
          <w:tcPr>
            <w:tcW w:type="dxa" w:w="2400"/>
            <w:shd w:fill="1B3A5C" w:val="clear"/>
            <w:tcMar>
              <w:top w:type="dxa" w:w="80"/>
              <w:left w:type="dxa" w:w="120"/>
              <w:bottom w:type="dxa" w:w="80"/>
              <w:right w:type="dxa" w:w="120"/>
            </w:tcMar>
            <w:vAlign w:val="center"/>
          </w:tcPr>
          <w:p>
            <w:pPr>
              <w:jc w:val="left"/>
            </w:pPr>
            <w:r>
              <w:rPr>
                <w:b/>
                <w:bCs/>
                <w:color w:val="FFFFFF"/>
                <w:sz w:val="20"/>
                <w:szCs w:val="20"/>
              </w:rPr>
              <w:t xml:space="preserve">Family (column prefix)</w:t>
            </w:r>
          </w:p>
        </w:tc>
        <w:tc>
          <w:tcPr>
            <w:tcW w:type="dxa" w:w="1400"/>
            <w:shd w:fill="1B3A5C" w:val="clear"/>
            <w:tcMar>
              <w:top w:type="dxa" w:w="80"/>
              <w:left w:type="dxa" w:w="120"/>
              <w:bottom w:type="dxa" w:w="80"/>
              <w:right w:type="dxa" w:w="120"/>
            </w:tcMar>
            <w:vAlign w:val="center"/>
          </w:tcPr>
          <w:p>
            <w:pPr>
              <w:jc w:val="center"/>
            </w:pPr>
            <w:r>
              <w:rPr>
                <w:b/>
                <w:bCs/>
                <w:color w:val="FFFFFF"/>
                <w:sz w:val="20"/>
                <w:szCs w:val="20"/>
              </w:rPr>
              <w:t xml:space="preserve">Columns</w:t>
            </w:r>
          </w:p>
        </w:tc>
        <w:tc>
          <w:tcPr>
            <w:tcW w:type="dxa" w:w="5560"/>
            <w:shd w:fill="1B3A5C"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project_type_*</w:t>
            </w:r>
          </w:p>
        </w:tc>
        <w:tc>
          <w:tcPr>
            <w:tcW w:type="dxa" w:w="1400"/>
            <w:tcMar>
              <w:top w:type="dxa" w:w="80"/>
              <w:left w:type="dxa" w:w="120"/>
              <w:bottom w:type="dxa" w:w="80"/>
              <w:right w:type="dxa" w:w="120"/>
            </w:tcMar>
            <w:vAlign w:val="center"/>
          </w:tcPr>
          <w:p>
            <w:pPr>
              <w:jc w:val="center"/>
            </w:pPr>
            <w:r>
              <w:rPr>
                <w:b w:val="false"/>
                <w:bCs w:val="false"/>
                <w:color w:val="1A1A1A"/>
                <w:sz w:val="20"/>
                <w:szCs w:val="20"/>
              </w:rPr>
              <w:t xml:space="preserve">2</w:t>
            </w:r>
          </w:p>
        </w:tc>
        <w:tc>
          <w:tcPr>
            <w:tcW w:type="dxa" w:w="5560"/>
            <w:tcMar>
              <w:top w:type="dxa" w:w="80"/>
              <w:left w:type="dxa" w:w="120"/>
              <w:bottom w:type="dxa" w:w="80"/>
              <w:right w:type="dxa" w:w="120"/>
            </w:tcMar>
            <w:vAlign w:val="center"/>
          </w:tcPr>
          <w:p>
            <w:pPr>
              <w:jc w:val="left"/>
            </w:pPr>
            <w:r>
              <w:rPr>
                <w:b w:val="false"/>
                <w:bCs w:val="false"/>
                <w:color w:val="1A1A1A"/>
                <w:sz w:val="20"/>
                <w:szCs w:val="20"/>
              </w:rPr>
              <w:t xml:space="preserve">Infrastructure vs. Non-Infrastructure, assigned by classify_project_type() via keyword matching on the project name. Projects classified Unclassified receive 0 in both columns and are excluded from train/test entirely (Section 3).</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STATUS_clean_*</w:t>
            </w:r>
          </w:p>
        </w:tc>
        <w:tc>
          <w:tcPr>
            <w:tcW w:type="dxa" w:w="1400"/>
            <w:tcMar>
              <w:top w:type="dxa" w:w="80"/>
              <w:left w:type="dxa" w:w="120"/>
              <w:bottom w:type="dxa" w:w="80"/>
              <w:right w:type="dxa" w:w="120"/>
            </w:tcMar>
            <w:vAlign w:val="center"/>
          </w:tcPr>
          <w:p>
            <w:pPr>
              <w:jc w:val="center"/>
            </w:pPr>
            <w:r>
              <w:rPr>
                <w:b w:val="false"/>
                <w:bCs w:val="false"/>
                <w:color w:val="1A1A1A"/>
                <w:sz w:val="20"/>
                <w:szCs w:val="20"/>
              </w:rPr>
              <w:t xml:space="preserve">51</w:t>
            </w:r>
          </w:p>
        </w:tc>
        <w:tc>
          <w:tcPr>
            <w:tcW w:type="dxa" w:w="5560"/>
            <w:tcMar>
              <w:top w:type="dxa" w:w="80"/>
              <w:left w:type="dxa" w:w="120"/>
              <w:bottom w:type="dxa" w:w="80"/>
              <w:right w:type="dxa" w:w="120"/>
            </w:tcMar>
            <w:vAlign w:val="center"/>
          </w:tcPr>
          <w:p>
            <w:pPr>
              <w:jc w:val="left"/>
            </w:pPr>
            <w:r>
              <w:rPr>
                <w:b w:val="false"/>
                <w:bCs w:val="false"/>
                <w:color w:val="1A1A1A"/>
                <w:sz w:val="20"/>
                <w:szCs w:val="20"/>
              </w:rPr>
              <w:t xml:space="preserve">Field-monitor-reported project status, normalized via a controlled-vocabulary lookup (STATUS_LOOKUP in preprocess.py) but not fully deduplicated — see the data-quality note below.</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municipality_canonical_*</w:t>
            </w:r>
          </w:p>
        </w:tc>
        <w:tc>
          <w:tcPr>
            <w:tcW w:type="dxa" w:w="1400"/>
            <w:tcMar>
              <w:top w:type="dxa" w:w="80"/>
              <w:left w:type="dxa" w:w="120"/>
              <w:bottom w:type="dxa" w:w="80"/>
              <w:right w:type="dxa" w:w="120"/>
            </w:tcMar>
            <w:vAlign w:val="center"/>
          </w:tcPr>
          <w:p>
            <w:pPr>
              <w:jc w:val="center"/>
            </w:pPr>
            <w:r>
              <w:rPr>
                <w:b w:val="false"/>
                <w:bCs w:val="false"/>
                <w:color w:val="1A1A1A"/>
                <w:sz w:val="20"/>
                <w:szCs w:val="20"/>
              </w:rPr>
              <w:t xml:space="preserve">61</w:t>
            </w:r>
          </w:p>
        </w:tc>
        <w:tc>
          <w:tcPr>
            <w:tcW w:type="dxa" w:w="5560"/>
            <w:tcMar>
              <w:top w:type="dxa" w:w="80"/>
              <w:left w:type="dxa" w:w="120"/>
              <w:bottom w:type="dxa" w:w="80"/>
              <w:right w:type="dxa" w:w="120"/>
            </w:tcMar>
            <w:vAlign w:val="center"/>
          </w:tcPr>
          <w:p>
            <w:pPr>
              <w:jc w:val="left"/>
            </w:pPr>
            <w:r>
              <w:rPr>
                <w:b w:val="false"/>
                <w:bCs w:val="false"/>
                <w:color w:val="1A1A1A"/>
                <w:sz w:val="20"/>
                <w:szCs w:val="20"/>
              </w:rPr>
              <w:t xml:space="preserve">Canonicalized municipality/city derived from the LOCATION field via RapidFuzz fuzzy matching against the 44-town Iloilo Province reference list (canonicalize_municipality() in preprocess.py).</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contractor_spec_*</w:t>
            </w:r>
          </w:p>
        </w:tc>
        <w:tc>
          <w:tcPr>
            <w:tcW w:type="dxa" w:w="1400"/>
            <w:tcMar>
              <w:top w:type="dxa" w:w="80"/>
              <w:left w:type="dxa" w:w="120"/>
              <w:bottom w:type="dxa" w:w="80"/>
              <w:right w:type="dxa" w:w="120"/>
            </w:tcMar>
            <w:vAlign w:val="center"/>
          </w:tcPr>
          <w:p>
            <w:pPr>
              <w:jc w:val="center"/>
            </w:pPr>
            <w:r>
              <w:rPr>
                <w:b w:val="false"/>
                <w:bCs w:val="false"/>
                <w:color w:val="1A1A1A"/>
                <w:sz w:val="20"/>
                <w:szCs w:val="20"/>
              </w:rPr>
              <w:t xml:space="preserve">3</w:t>
            </w:r>
          </w:p>
        </w:tc>
        <w:tc>
          <w:tcPr>
            <w:tcW w:type="dxa" w:w="5560"/>
            <w:tcMar>
              <w:top w:type="dxa" w:w="80"/>
              <w:left w:type="dxa" w:w="120"/>
              <w:bottom w:type="dxa" w:w="80"/>
              <w:right w:type="dxa" w:w="120"/>
            </w:tcMar>
            <w:vAlign w:val="center"/>
          </w:tcPr>
          <w:p>
            <w:pPr>
              <w:jc w:val="left"/>
            </w:pPr>
            <w:r>
              <w:rPr>
                <w:b w:val="false"/>
                <w:bCs w:val="false"/>
                <w:color w:val="1A1A1A"/>
                <w:sz w:val="20"/>
                <w:szCs w:val="20"/>
              </w:rPr>
              <w:t xml:space="preserve">The synthetically-assigned contractor's specialization (Infrastructure / Non-Infrastructure / Both), joined via contractor_id from contractor_profiles.csv. Every value here is synthetic placeholder data (Chapter 1's declared "Data Availability" limitation), not a real PPDO contractor record.</w:t>
            </w:r>
          </w:p>
        </w:tc>
      </w:tr>
    </w:tbl>
    <w:p>
      <w:pPr>
        <w:spacing w:after="240" w:before="60"/>
      </w:pPr>
      <w:r>
        <w:rPr>
          <w:i/>
          <w:iCs/>
          <w:color w:val="555555"/>
          <w:sz w:val="20"/>
          <w:szCs w:val="20"/>
        </w:rPr>
        <w:t xml:space="preserve">Table 9. One-hot categorical feature families and their source normalization logic.</w:t>
      </w:r>
    </w:p>
    <w:p>
      <w:pPr>
        <w:spacing w:after="160"/>
        <w:jc w:val="both"/>
      </w:pPr>
      <w:r>
        <w:t xml:space="preserve">Data-quality note: both families carry visible noise into the trained feature set. Of the 51 STATUS_clean_* categories, 49 are variants of “completed” (e.g. “Completed/Functional”, “Completed But Damage”, “Completed/ Fuctional/Consumated”) that were not collapsed to a single canonical “Completed” category, because each is a distinct raw string with additional qualifying detail (damage condition, distribution notes) that a stricter normalization would discard. Of the 61 municipality_canonical_* categories, a handful are not real municipalities — e.g. “Nan”, “Municipality”, “8”, “Elem. Sch.”, “Castilla St.” — residue from LOCATION values that did not fuzzy-match any of the 44 reference towns above the acceptance cutoff and fell through to an unresolved placeholder rather than being silently dropped. Appendix A lists every member of both families.</w:t>
      </w:r>
    </w:p>
    <w:p>
      <w:pPr>
        <w:pStyle w:val="Heading2"/>
        <w:spacing w:after="120" w:before="240"/>
      </w:pPr>
      <w:r>
        <w:t xml:space="preserve">5.3 LSTM Sequence Features (3 per timestep)</w:t>
      </w:r>
    </w:p>
    <w:p>
      <w:pPr>
        <w:spacing w:after="160"/>
        <w:jc w:val="both"/>
      </w:pPr>
      <w:r>
        <w:t>The LSTM does not use the 136-column tabular feature matrix. It is trained on a separate per-project event sequence — up to 5 timesteps, 3 features per timestep — assembled by assemble_lstm_sequences() in feature_engineering.py from the three transactional sheets, chronologically ordered per project. Every project in the entity-resolution crosswalk receives a sequence: projects with zero recorded fund-transfer/liquidation/monitoring events get an all-masked placeholder (all timesteps at the -1 padding sentinel) instead of being silently dropped from the sequence artifacts, which was the pre-Rev.-2 behavior. Crosswalk-level sequence coverage remains 100.0% (21,376 of 21,376 fund-transfer rows). What changed this revision is the SIZE of the crosswalk's real-event population: the barangay-veto fix (Section 2) cut n_projects_with_real_events from 15,834 to 11,459 (real_event_pct from 74.1% to 53.6%) by rejecting cross-barangay false-positive matches that had been inflating it. Keras's Masking(mask_value=-1.0) layer causes an all-masked sample to produce the LSTM's zero initial state, a safe, well-defined output rather than an error or a corrupted scaling parameter — fit_sequence_scaler()/apply_sequence_scaler() already excluded padding timesteps from scaling by construction. See the note under Table 3 for why the crosswalk fix, despite this being a data-quality improvement, substantially shrank the meta-learner's effective LSTM-backed training population (1,170→812 train, 477→346 test).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200"/>
        <w:gridCol w:w="6960"/>
      </w:tblGrid>
      <w:tr>
        <w:trPr>
          <w:tblHeader/>
        </w:trPr>
        <w:tc>
          <w:tcPr>
            <w:tcW w:type="dxa" w:w="2200"/>
            <w:shd w:fill="1B3A5C" w:val="clear"/>
            <w:tcMar>
              <w:top w:type="dxa" w:w="80"/>
              <w:left w:type="dxa" w:w="120"/>
              <w:bottom w:type="dxa" w:w="80"/>
              <w:right w:type="dxa" w:w="120"/>
            </w:tcMar>
            <w:vAlign w:val="center"/>
          </w:tcPr>
          <w:p>
            <w:pPr>
              <w:jc w:val="left"/>
            </w:pPr>
            <w:r>
              <w:rPr>
                <w:b/>
                <w:bCs/>
                <w:color w:val="FFFFFF"/>
                <w:sz w:val="20"/>
                <w:szCs w:val="20"/>
              </w:rPr>
              <w:t xml:space="preserve">Feature</w:t>
            </w:r>
          </w:p>
        </w:tc>
        <w:tc>
          <w:tcPr>
            <w:tcW w:type="dxa" w:w="6960"/>
            <w:shd w:fill="1B3A5C" w:val="clear"/>
            <w:tcMar>
              <w:top w:type="dxa" w:w="80"/>
              <w:left w:type="dxa" w:w="120"/>
              <w:bottom w:type="dxa" w:w="80"/>
              <w:right w:type="dxa" w:w="120"/>
            </w:tcMar>
            <w:vAlign w:val="center"/>
          </w:tcPr>
          <w:p>
            <w:pPr>
              <w:jc w:val="left"/>
            </w:pPr>
            <w:r>
              <w:rPr>
                <w:b/>
                <w:bCs/>
                <w:color w:val="FFFFFF"/>
                <w:sz w:val="20"/>
                <w:szCs w:val="20"/>
              </w:rPr>
              <w:t xml:space="preserve">Definition</w:t>
            </w:r>
          </w:p>
        </w:tc>
      </w:tr>
      <w:tr>
        <w:tc>
          <w:tcPr>
            <w:tcW w:type="dxa" w:w="2200"/>
            <w:tcMar>
              <w:top w:type="dxa" w:w="80"/>
              <w:left w:type="dxa" w:w="120"/>
              <w:bottom w:type="dxa" w:w="80"/>
              <w:right w:type="dxa" w:w="120"/>
            </w:tcMar>
            <w:vAlign w:val="center"/>
          </w:tcPr>
          <w:p>
            <w:pPr>
              <w:jc w:val="left"/>
            </w:pPr>
            <w:r>
              <w:rPr>
                <w:b w:val="false"/>
                <w:bCs w:val="false"/>
                <w:color w:val="1A1A1A"/>
                <w:sz w:val="20"/>
                <w:szCs w:val="20"/>
              </w:rPr>
              <w:t xml:space="preserve">event_type</w:t>
            </w:r>
          </w:p>
        </w:tc>
        <w:tc>
          <w:tcPr>
            <w:tcW w:type="dxa" w:w="6960"/>
            <w:tcMar>
              <w:top w:type="dxa" w:w="80"/>
              <w:left w:type="dxa" w:w="120"/>
              <w:bottom w:type="dxa" w:w="80"/>
              <w:right w:type="dxa" w:w="120"/>
            </w:tcMar>
            <w:vAlign w:val="center"/>
          </w:tcPr>
          <w:p>
            <w:pPr>
              <w:jc w:val="left"/>
            </w:pPr>
            <w:r>
              <w:rPr>
                <w:b w:val="false"/>
                <w:bCs w:val="false"/>
                <w:color w:val="1A1A1A"/>
                <w:sz w:val="20"/>
                <w:szCs w:val="20"/>
              </w:rPr>
              <w:t xml:space="preserve">Categorical code for the lifecycle event this timestep represents: 0 = fund release (Fund Transfer Con), 1 = liquidation submission (Liquidation Report Con), 2 = field monitoring visit (MONITORING REPORT Con, DATE MONITORED).</w:t>
            </w:r>
          </w:p>
        </w:tc>
      </w:tr>
      <w:tr>
        <w:tc>
          <w:tcPr>
            <w:tcW w:type="dxa" w:w="2200"/>
            <w:tcMar>
              <w:top w:type="dxa" w:w="80"/>
              <w:left w:type="dxa" w:w="120"/>
              <w:bottom w:type="dxa" w:w="80"/>
              <w:right w:type="dxa" w:w="120"/>
            </w:tcMar>
            <w:vAlign w:val="center"/>
          </w:tcPr>
          <w:p>
            <w:pPr>
              <w:jc w:val="left"/>
            </w:pPr>
            <w:r>
              <w:rPr>
                <w:b w:val="false"/>
                <w:bCs w:val="false"/>
                <w:color w:val="1A1A1A"/>
                <w:sz w:val="20"/>
                <w:szCs w:val="20"/>
              </w:rPr>
              <w:t xml:space="preserve">days_since_anchor</w:t>
            </w:r>
          </w:p>
        </w:tc>
        <w:tc>
          <w:tcPr>
            <w:tcW w:type="dxa" w:w="6960"/>
            <w:tcMar>
              <w:top w:type="dxa" w:w="80"/>
              <w:left w:type="dxa" w:w="120"/>
              <w:bottom w:type="dxa" w:w="80"/>
              <w:right w:type="dxa" w:w="120"/>
            </w:tcMar>
            <w:vAlign w:val="center"/>
          </w:tcPr>
          <w:p>
            <w:pPr>
              <w:jc w:val="left"/>
            </w:pPr>
            <w:r>
              <w:rPr>
                <w:b w:val="false"/>
                <w:bCs w:val="false"/>
                <w:color w:val="1A1A1A"/>
                <w:sz w:val="20"/>
                <w:szCs w:val="20"/>
              </w:rPr>
              <w:t xml:space="preserve">Days between this event's date and the project's first recorded event (the anchor). Always 0 for the first timestep.</w:t>
            </w:r>
          </w:p>
        </w:tc>
      </w:tr>
      <w:tr>
        <w:tc>
          <w:tcPr>
            <w:tcW w:type="dxa" w:w="2200"/>
            <w:tcMar>
              <w:top w:type="dxa" w:w="80"/>
              <w:left w:type="dxa" w:w="120"/>
              <w:bottom w:type="dxa" w:w="80"/>
              <w:right w:type="dxa" w:w="120"/>
            </w:tcMar>
            <w:vAlign w:val="center"/>
          </w:tcPr>
          <w:p>
            <w:pPr>
              <w:jc w:val="left"/>
            </w:pPr>
            <w:r>
              <w:rPr>
                <w:b w:val="false"/>
                <w:bCs w:val="false"/>
                <w:color w:val="1A1A1A"/>
                <w:sz w:val="20"/>
                <w:szCs w:val="20"/>
              </w:rPr>
              <w:t xml:space="preserve">amount</w:t>
            </w:r>
          </w:p>
        </w:tc>
        <w:tc>
          <w:tcPr>
            <w:tcW w:type="dxa" w:w="6960"/>
            <w:tcMar>
              <w:top w:type="dxa" w:w="80"/>
              <w:left w:type="dxa" w:w="120"/>
              <w:bottom w:type="dxa" w:w="80"/>
              <w:right w:type="dxa" w:w="120"/>
            </w:tcMar>
            <w:vAlign w:val="center"/>
          </w:tcPr>
          <w:p>
            <w:pPr>
              <w:jc w:val="left"/>
            </w:pPr>
            <w:r>
              <w:rPr>
                <w:b w:val="false"/>
                <w:bCs w:val="false"/>
                <w:color w:val="1A1A1A"/>
                <w:sz w:val="20"/>
                <w:szCs w:val="20"/>
              </w:rPr>
              <w:t xml:space="preserve">Peso amount associated with this specific event (release amount, liquidated amount, or the monitoring record's logged amount, depending on event_type).</w:t>
            </w:r>
          </w:p>
        </w:tc>
      </w:tr>
    </w:tbl>
    <w:p>
      <w:pPr>
        <w:spacing w:after="240" w:before="60"/>
      </w:pPr>
      <w:r>
        <w:rPr>
          <w:i/>
          <w:iCs/>
          <w:color w:val="555555"/>
          <w:sz w:val="20"/>
          <w:szCs w:val="20"/>
        </w:rPr>
        <w:t xml:space="preserve">Table 10. Per-timestep LSTM sequence features. Padding timesteps (for projects with fewer than 5 events) are filled with -1 in all three columns and masked out via a Keras Masking layer, since 0 is a legitimate real value for event_type.</w:t>
      </w:r>
    </w:p>
    <w:p>
      <w:pPr>
        <w:pStyle w:val="Heading1"/>
        <w:spacing w:after="160" w:before="320"/>
      </w:pPr>
      <w:r>
        <w:t xml:space="preserve">6. Level 0 Base Learner Training and Evaluation</w:t>
      </w:r>
    </w:p>
    <w:p>
      <w:pPr>
        <w:pStyle w:val="Heading2"/>
        <w:spacing w:after="120" w:before="240"/>
      </w:pPr>
      <w:r>
        <w:t xml:space="preserve">6.1 Random Forest and XGBoost (train_trees.py)</w:t>
      </w:r>
    </w:p>
    <w:p>
      <w:pPr>
        <w:spacing w:after="160"/>
        <w:jc w:val="both"/>
      </w:pPr>
      <w:r>
        <w:t xml:space="preserve">Trained on 130 features (down from 341 engineered columns after a zero-variance filter — see Section 5.1). Random Forest: 300 trees, max depth 8, min_samples_leaf 3, class_weight="balanced". XGBoost: 300 estimators, max depth 4, learning rate 0.05, subsample/colsample_bytree 0.8, scale_pos_weight set from the train split's class ratio. Both use the identical 5-fold OOF protocol described in Section 4.1.</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400"/>
        <w:gridCol w:w="1360"/>
        <w:gridCol w:w="1240"/>
        <w:gridCol w:w="1240"/>
        <w:gridCol w:w="1000"/>
        <w:gridCol w:w="1360"/>
      </w:tblGrid>
      <w:tr>
        <w:trPr>
          <w:tblHeader/>
        </w:trPr>
        <w:tc>
          <w:tcPr>
            <w:tcW w:type="dxa" w:w="2400"/>
            <w:shd w:fill="1B3A5C" w:val="clear"/>
            <w:tcMar>
              <w:top w:type="dxa" w:w="80"/>
              <w:left w:type="dxa" w:w="120"/>
              <w:bottom w:type="dxa" w:w="80"/>
              <w:right w:type="dxa" w:w="120"/>
            </w:tcMar>
            <w:vAlign w:val="center"/>
          </w:tcPr>
          <w:p>
            <w:pPr>
              <w:jc w:val="left"/>
            </w:pPr>
            <w:r>
              <w:rPr>
                <w:b/>
                <w:bCs/>
                <w:color w:val="FFFFFF"/>
                <w:sz w:val="20"/>
                <w:szCs w:val="20"/>
              </w:rPr>
              <w:t xml:space="preserve">Model / Split</w:t>
            </w:r>
          </w:p>
        </w:tc>
        <w:tc>
          <w:tcPr>
            <w:tcW w:type="dxa" w:w="1360"/>
            <w:shd w:fill="1B3A5C"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240"/>
            <w:shd w:fill="1B3A5C"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240"/>
            <w:shd w:fill="1B3A5C"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000"/>
            <w:shd w:fill="1B3A5C" w:val="clear"/>
            <w:tcMar>
              <w:top w:type="dxa" w:w="80"/>
              <w:left w:type="dxa" w:w="120"/>
              <w:bottom w:type="dxa" w:w="80"/>
              <w:right w:type="dxa" w:w="120"/>
            </w:tcMar>
            <w:vAlign w:val="center"/>
          </w:tcPr>
          <w:p>
            <w:pPr>
              <w:jc w:val="center"/>
            </w:pPr>
            <w:r>
              <w:rPr>
                <w:b/>
                <w:bCs/>
                <w:color w:val="FFFFFF"/>
                <w:sz w:val="20"/>
                <w:szCs w:val="20"/>
              </w:rPr>
              <w:t xml:space="preserve">F1</w:t>
            </w:r>
          </w:p>
        </w:tc>
        <w:tc>
          <w:tcPr>
            <w:tcW w:type="dxa" w:w="1360"/>
            <w:shd w:fill="1B3A5C" w:val="clear"/>
            <w:tcMar>
              <w:top w:type="dxa" w:w="80"/>
              <w:left w:type="dxa" w:w="120"/>
              <w:bottom w:type="dxa" w:w="80"/>
              <w:right w:type="dxa" w:w="120"/>
            </w:tcMar>
            <w:vAlign w:val="center"/>
          </w:tcPr>
          <w:p>
            <w:pPr>
              <w:jc w:val="center"/>
            </w:pPr>
            <w:r>
              <w:rPr>
                <w:b/>
                <w:bCs/>
                <w:color w:val="FFFFFF"/>
                <w:sz w:val="20"/>
                <w:szCs w:val="20"/>
              </w:rPr>
              <w:t xml:space="preserve">AUC-ROC</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Random Forest — OOF (train)</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0.818</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0.818</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0.840</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0.829</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0.894</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Random Forest — held-out test</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0.825</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0.830</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0.824</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0.827</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0.899</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XGBoost — OOF (train)</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0.915</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0.936</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0.899</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0.917</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0.972</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 xml:space="preserve">XGBoost — held-out test</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0.919</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0.951</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0.886</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0.917</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0.977</w:t>
            </w:r>
          </w:p>
        </w:tc>
      </w:tr>
    </w:tbl>
    <w:p>
      <w:pPr>
        <w:spacing w:after="240" w:before="60"/>
      </w:pPr>
      <w:r>
        <w:rPr>
          <w:i/>
          <w:iCs/>
          <w:color w:val="555555"/>
          <w:sz w:val="20"/>
          <w:szCs w:val="20"/>
        </w:rPr>
        <w:t>Table 4. Level 0 tabular base learner metrics (source: ml-service/artifacts/tree_models_metrics.json, 2026-08-15 final run on unrestricted hardware, post DQ-9/10/11 cleanup + D12/D13 recovery, on the 136-feature clean set). Random Forest moved 0.841→0.825 test accuracy and XGBoost 0.921→0.919 against the prior revision — essentially flat for XGBoost and a modest decline for Random Forest, measured on a population that is both larger (4,033 vs 3,612 train rows) and differently composed, since ~950 of the added rows are D12 classifier-typed rather than keyword-typed. Two feature columns (direct_date_rejected_not_credible, batch_year_deviation_flag) were also removed from the matrix this revision after they were found to be target-construction metadata rather than independent project attributes; excluding them moved test metrics only in the third decimal.</w:t>
      </w:r>
    </w:p>
    <w:p>
      <w:pPr>
        <w:pStyle w:val="Heading2"/>
        <w:spacing w:after="120" w:before="240"/>
      </w:pPr>
      <w:r>
        <w:t xml:space="preserve">6.2 LSTM (train_lstm.py)</w:t>
      </w:r>
    </w:p>
    <w:p>
      <w:pPr>
        <w:spacing w:after="160"/>
        <w:jc w:val="both"/>
      </w:pPr>
      <w:r>
        <w:t>Trained on per-project event sequences (fund release → liquidation → monitoring visit; max length 5, 3 features per step, padding value −1 with a Keras Masking layer), the same 5-fold OOF protocol described in Section 4.1. The D13 barangay canonicalization (Section 2) grew the population with a usable, verifiably-correct event sequence from 1,124/477 (prior revision) to 1,396 train (34.6% of 4,033) / 608 test (35.2% of 1,728) — a larger proportional gain than the tabular population saw, because crosswalk linkage is the binding constraint on sequence availability. As with Section 6.1, part of this population's RedFlag is 0 by construction (Phase 8 clamped), not observed evidence — Section 8 revisits this.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2400"/>
        <w:gridCol w:w="1360"/>
        <w:gridCol w:w="1240"/>
        <w:gridCol w:w="1240"/>
        <w:gridCol w:w="1000"/>
        <w:gridCol w:w="1360"/>
      </w:tblGrid>
      <w:tr>
        <w:trPr>
          <w:tblHeader/>
        </w:trPr>
        <w:tc>
          <w:tcPr>
            <w:tcW w:type="dxa" w:w="2400"/>
            <w:shd w:fill="1B3A5C" w:val="clear"/>
            <w:tcMar>
              <w:top w:type="dxa" w:w="80"/>
              <w:left w:type="dxa" w:w="120"/>
              <w:bottom w:type="dxa" w:w="80"/>
              <w:right w:type="dxa" w:w="120"/>
            </w:tcMar>
            <w:vAlign w:val="center"/>
          </w:tcPr>
          <w:p>
            <w:pPr>
              <w:jc w:val="left"/>
            </w:pPr>
            <w:r>
              <w:rPr>
                <w:b/>
                <w:bCs/>
                <w:color w:val="FFFFFF"/>
                <w:sz w:val="20"/>
                <w:szCs w:val="20"/>
              </w:rPr>
              <w:t xml:space="preserve">Split</w:t>
            </w:r>
          </w:p>
        </w:tc>
        <w:tc>
          <w:tcPr>
            <w:tcW w:type="dxa" w:w="1360"/>
            <w:shd w:fill="1B3A5C" w:val="clear"/>
            <w:tcMar>
              <w:top w:type="dxa" w:w="80"/>
              <w:left w:type="dxa" w:w="120"/>
              <w:bottom w:type="dxa" w:w="80"/>
              <w:right w:type="dxa" w:w="120"/>
            </w:tcMar>
            <w:vAlign w:val="center"/>
          </w:tcPr>
          <w:p>
            <w:pPr>
              <w:jc w:val="center"/>
            </w:pPr>
            <w:r>
              <w:rPr>
                <w:b/>
                <w:bCs/>
                <w:color w:val="FFFFFF"/>
                <w:sz w:val="20"/>
                <w:szCs w:val="20"/>
              </w:rPr>
              <w:t xml:space="preserve">Accuracy</w:t>
            </w:r>
          </w:p>
        </w:tc>
        <w:tc>
          <w:tcPr>
            <w:tcW w:type="dxa" w:w="1240"/>
            <w:shd w:fill="1B3A5C" w:val="clear"/>
            <w:tcMar>
              <w:top w:type="dxa" w:w="80"/>
              <w:left w:type="dxa" w:w="120"/>
              <w:bottom w:type="dxa" w:w="80"/>
              <w:right w:type="dxa" w:w="120"/>
            </w:tcMar>
            <w:vAlign w:val="center"/>
          </w:tcPr>
          <w:p>
            <w:pPr>
              <w:jc w:val="center"/>
            </w:pPr>
            <w:r>
              <w:rPr>
                <w:b/>
                <w:bCs/>
                <w:color w:val="FFFFFF"/>
                <w:sz w:val="20"/>
                <w:szCs w:val="20"/>
              </w:rPr>
              <w:t xml:space="preserve">Precision</w:t>
            </w:r>
          </w:p>
        </w:tc>
        <w:tc>
          <w:tcPr>
            <w:tcW w:type="dxa" w:w="1240"/>
            <w:shd w:fill="1B3A5C" w:val="clear"/>
            <w:tcMar>
              <w:top w:type="dxa" w:w="80"/>
              <w:left w:type="dxa" w:w="120"/>
              <w:bottom w:type="dxa" w:w="80"/>
              <w:right w:type="dxa" w:w="120"/>
            </w:tcMar>
            <w:vAlign w:val="center"/>
          </w:tcPr>
          <w:p>
            <w:pPr>
              <w:jc w:val="center"/>
            </w:pPr>
            <w:r>
              <w:rPr>
                <w:b/>
                <w:bCs/>
                <w:color w:val="FFFFFF"/>
                <w:sz w:val="20"/>
                <w:szCs w:val="20"/>
              </w:rPr>
              <w:t xml:space="preserve">Recall</w:t>
            </w:r>
          </w:p>
        </w:tc>
        <w:tc>
          <w:tcPr>
            <w:tcW w:type="dxa" w:w="1000"/>
            <w:shd w:fill="1B3A5C" w:val="clear"/>
            <w:tcMar>
              <w:top w:type="dxa" w:w="80"/>
              <w:left w:type="dxa" w:w="120"/>
              <w:bottom w:type="dxa" w:w="80"/>
              <w:right w:type="dxa" w:w="120"/>
            </w:tcMar>
            <w:vAlign w:val="center"/>
          </w:tcPr>
          <w:p>
            <w:pPr>
              <w:jc w:val="center"/>
            </w:pPr>
            <w:r>
              <w:rPr>
                <w:b/>
                <w:bCs/>
                <w:color w:val="FFFFFF"/>
                <w:sz w:val="20"/>
                <w:szCs w:val="20"/>
              </w:rPr>
              <w:t xml:space="preserve">F1</w:t>
            </w:r>
          </w:p>
        </w:tc>
        <w:tc>
          <w:tcPr>
            <w:tcW w:type="dxa" w:w="1360"/>
            <w:shd w:fill="1B3A5C" w:val="clear"/>
            <w:tcMar>
              <w:top w:type="dxa" w:w="80"/>
              <w:left w:type="dxa" w:w="120"/>
              <w:bottom w:type="dxa" w:w="80"/>
              <w:right w:type="dxa" w:w="120"/>
            </w:tcMar>
            <w:vAlign w:val="center"/>
          </w:tcPr>
          <w:p>
            <w:pPr>
              <w:jc w:val="center"/>
            </w:pPr>
            <w:r>
              <w:rPr>
                <w:b/>
                <w:bCs/>
                <w:color w:val="FFFFFF"/>
                <w:sz w:val="20"/>
                <w:szCs w:val="20"/>
              </w:rPr>
              <w:t xml:space="preserve">AUC-ROC</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LSTM — OOF (train, n=1,396)</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0.597</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0.491</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0.835</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0.618</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0.696</w:t>
            </w:r>
          </w:p>
        </w:tc>
      </w:tr>
      <w:tr>
        <w:tc>
          <w:tcPr>
            <w:tcW w:type="dxa" w:w="2400"/>
            <w:tcMar>
              <w:top w:type="dxa" w:w="80"/>
              <w:left w:type="dxa" w:w="120"/>
              <w:bottom w:type="dxa" w:w="80"/>
              <w:right w:type="dxa" w:w="120"/>
            </w:tcMar>
            <w:vAlign w:val="center"/>
          </w:tcPr>
          <w:p>
            <w:pPr>
              <w:jc w:val="left"/>
            </w:pPr>
            <w:r>
              <w:rPr>
                <w:b w:val="false"/>
                <w:bCs w:val="false"/>
                <w:color w:val="1A1A1A"/>
                <w:sz w:val="20"/>
                <w:szCs w:val="20"/>
              </w:rPr>
              <w:t>LSTM — held-out test (n=608)</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0.579</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0.477</w:t>
            </w:r>
          </w:p>
        </w:tc>
        <w:tc>
          <w:tcPr>
            <w:tcW w:type="dxa" w:w="1240"/>
            <w:tcMar>
              <w:top w:type="dxa" w:w="80"/>
              <w:left w:type="dxa" w:w="120"/>
              <w:bottom w:type="dxa" w:w="80"/>
              <w:right w:type="dxa" w:w="120"/>
            </w:tcMar>
            <w:vAlign w:val="center"/>
          </w:tcPr>
          <w:p>
            <w:pPr>
              <w:jc w:val="center"/>
            </w:pPr>
            <w:r>
              <w:rPr>
                <w:b w:val="false"/>
                <w:bCs w:val="false"/>
                <w:color w:val="1A1A1A"/>
                <w:sz w:val="20"/>
                <w:szCs w:val="20"/>
              </w:rPr>
              <w:t>0.911</w:t>
            </w:r>
          </w:p>
        </w:tc>
        <w:tc>
          <w:tcPr>
            <w:tcW w:type="dxa" w:w="1000"/>
            <w:tcMar>
              <w:top w:type="dxa" w:w="80"/>
              <w:left w:type="dxa" w:w="120"/>
              <w:bottom w:type="dxa" w:w="80"/>
              <w:right w:type="dxa" w:w="120"/>
            </w:tcMar>
            <w:vAlign w:val="center"/>
          </w:tcPr>
          <w:p>
            <w:pPr>
              <w:jc w:val="center"/>
            </w:pPr>
            <w:r>
              <w:rPr>
                <w:b w:val="false"/>
                <w:bCs w:val="false"/>
                <w:color w:val="1A1A1A"/>
                <w:sz w:val="20"/>
                <w:szCs w:val="20"/>
              </w:rPr>
              <w:t>0.626</w:t>
            </w:r>
          </w:p>
        </w:tc>
        <w:tc>
          <w:tcPr>
            <w:tcW w:type="dxa" w:w="1360"/>
            <w:tcMar>
              <w:top w:type="dxa" w:w="80"/>
              <w:left w:type="dxa" w:w="120"/>
              <w:bottom w:type="dxa" w:w="80"/>
              <w:right w:type="dxa" w:w="120"/>
            </w:tcMar>
            <w:vAlign w:val="center"/>
          </w:tcPr>
          <w:p>
            <w:pPr>
              <w:jc w:val="center"/>
            </w:pPr>
            <w:r>
              <w:rPr>
                <w:b w:val="false"/>
                <w:bCs w:val="false"/>
                <w:color w:val="1A1A1A"/>
                <w:sz w:val="20"/>
                <w:szCs w:val="20"/>
              </w:rPr>
              <w:t>0.719</w:t>
            </w:r>
          </w:p>
        </w:tc>
      </w:tr>
    </w:tbl>
    <w:p>
      <w:pPr>
        <w:spacing w:after="240" w:before="60"/>
      </w:pPr>
      <w:r>
        <w:rPr>
          <w:i/>
          <w:iCs/>
          <w:color w:val="555555"/>
          <w:sz w:val="20"/>
          <w:szCs w:val="20"/>
        </w:rPr>
        <w:t xml:space="preserve">Table 5. LSTM base learner metrics (source: ml-service/artifacts/lstm_model_metrics.json, final run on unrestricted hardware, epochs=60/batch_size=8, post Phase 8 clamp fix).</w:t>
      </w:r>
    </w:p>
    <w:p>
      <w:pPr>
        <w:spacing w:after="160"/>
        <w:jc w:val="both"/>
      </w:pPr>
      <w:r>
        <w:t xml:space="preserve">Recall is very high (0.894 test) but precision is low (0.468) — the LSTM is heavily biased toward flagging RedFlag=1, likely reflecting both the class-weighted loss compensating for the training set's Phase 8-shifted composition (Section 3.1: many clamped rows are RedFlag=0 by construction, pushing the LSTM to over-correct toward the positive class elsewhere) and the small, sequence-length-5 event history giving the model little to discriminate on. Read this base learner's output as noisy directional signal for the meta-learner, not as a standalone risk score — Table 6 shows the meta-learner recovers substantially better precision/recall once RF and XGBoost's cleaner signal is combined with it.</w:t>
      </w:r>
    </w:p>
    <w:p>
      <w:pPr>
        <w:pStyle w:val="Heading1"/>
        <w:spacing w:after="160" w:before="320"/>
      </w:pPr>
      <w:r>
        <w:t xml:space="preserve">7. Level 1 Meta-Learner (train_meta_learner.py)</w:t>
      </w:r>
    </w:p>
    <w:p>
      <w:pPr>
        <w:spacing w:after="160"/>
        <w:jc w:val="both"/>
      </w:pPr>
      <w:r>
        <w:t>A Multinomial Logistic Regression trained on three inputs per row: Random Forest's OOF probability, XGBoost's OOF probability, and the LSTM's OOF probability. Because a matching LSTM OOF prediction (Section 6.2) is the tightest constraint in the stack, only rows with all three OOF predictions available are used: 1,396 of 4,033 train rows survive (2,637 dropped for no matching LSTM OOF prediction), and 608 of 1,728 test rows survive (1,120 dropped) for final evaluation — up from 1,124/477 in the prior revision, the D13 crosswalk-linkage effect described in Table 3.</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300"/>
        <w:gridCol w:w="3030"/>
        <w:gridCol w:w="3030"/>
      </w:tblGrid>
      <w:tr>
        <w:trPr>
          <w:tblHeader/>
        </w:trPr>
        <w:tc>
          <w:tcPr>
            <w:tcW w:type="dxa" w:w="3300"/>
            <w:shd w:fill="1B3A5C"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3030"/>
            <w:shd w:fill="1B3A5C" w:val="clear"/>
            <w:tcMar>
              <w:top w:type="dxa" w:w="80"/>
              <w:left w:type="dxa" w:w="120"/>
              <w:bottom w:type="dxa" w:w="80"/>
              <w:right w:type="dxa" w:w="120"/>
            </w:tcMar>
            <w:vAlign w:val="center"/>
          </w:tcPr>
          <w:p>
            <w:pPr>
              <w:jc w:val="center"/>
            </w:pPr>
            <w:r>
              <w:rPr>
                <w:b/>
                <w:bCs/>
                <w:color w:val="FFFFFF"/>
                <w:sz w:val="20"/>
                <w:szCs w:val="20"/>
              </w:rPr>
              <w:t xml:space="preserve">Value</w:t>
            </w:r>
          </w:p>
        </w:tc>
        <w:tc>
          <w:tcPr>
            <w:tcW w:type="dxa" w:w="3030"/>
            <w:shd w:fill="1B3A5C" w:val="clear"/>
            <w:tcMar>
              <w:top w:type="dxa" w:w="80"/>
              <w:left w:type="dxa" w:w="120"/>
              <w:bottom w:type="dxa" w:w="80"/>
              <w:right w:type="dxa" w:w="120"/>
            </w:tcMar>
            <w:vAlign w:val="center"/>
          </w:tcPr>
          <w:p>
            <w:pPr>
              <w:jc w:val="left"/>
            </w:pPr>
            <w:r>
              <w:rPr>
                <w:b/>
                <w:bCs/>
                <w:color w:val="FFFFFF"/>
                <w:sz w:val="20"/>
                <w:szCs w:val="20"/>
              </w:rPr>
              <w:t xml:space="preserve"/>
            </w:r>
          </w:p>
        </w:tc>
      </w:tr>
      <w:tr>
        <w:tc>
          <w:tcPr>
            <w:tcW w:type="dxa" w:w="3300"/>
            <w:tcMar>
              <w:top w:type="dxa" w:w="80"/>
              <w:left w:type="dxa" w:w="120"/>
              <w:bottom w:type="dxa" w:w="80"/>
              <w:right w:type="dxa" w:w="120"/>
            </w:tcMar>
            <w:vAlign w:val="center"/>
          </w:tcPr>
          <w:p>
            <w:pPr>
              <w:jc w:val="left"/>
            </w:pPr>
            <w:r>
              <w:rPr>
                <w:b w:val="false"/>
                <w:bCs w:val="false"/>
                <w:color w:val="1A1A1A"/>
                <w:sz w:val="20"/>
                <w:szCs w:val="20"/>
              </w:rPr>
              <w:t xml:space="preserve">Test accuracy</w:t>
            </w:r>
          </w:p>
        </w:tc>
        <w:tc>
          <w:tcPr>
            <w:tcW w:type="dxa" w:w="3030"/>
            <w:tcMar>
              <w:top w:type="dxa" w:w="80"/>
              <w:left w:type="dxa" w:w="120"/>
              <w:bottom w:type="dxa" w:w="80"/>
              <w:right w:type="dxa" w:w="120"/>
            </w:tcMar>
            <w:vAlign w:val="center"/>
          </w:tcPr>
          <w:p>
            <w:pPr>
              <w:jc w:val="center"/>
            </w:pPr>
            <w:r>
              <w:rPr>
                <w:b w:val="false"/>
                <w:bCs w:val="false"/>
                <w:color w:val="1A1A1A"/>
                <w:sz w:val="20"/>
                <w:szCs w:val="20"/>
              </w:rPr>
              <w:t>0.903</w:t>
            </w:r>
          </w:p>
        </w:tc>
        <w:tc>
          <w:tcPr>
            <w:tcW w:type="dxa" w:w="3030"/>
            <w:tcMar>
              <w:top w:type="dxa" w:w="80"/>
              <w:left w:type="dxa" w:w="120"/>
              <w:bottom w:type="dxa" w:w="80"/>
              <w:right w:type="dxa" w:w="120"/>
            </w:tcMar>
            <w:vAlign w:val="center"/>
          </w:tcPr>
          <w:p>
            <w:pPr>
              <w:jc w:val="left"/>
            </w:pPr>
            <w:r>
              <w:rPr>
                <w:b w:val="false"/>
                <w:bCs w:val="false"/>
                <w:color w:val="1A1A1A"/>
                <w:sz w:val="20"/>
                <w:szCs w:val="20"/>
              </w:rPr>
              <w:t>n = 608</w:t>
            </w:r>
          </w:p>
        </w:tc>
      </w:tr>
      <w:tr>
        <w:tc>
          <w:tcPr>
            <w:tcW w:type="dxa" w:w="3300"/>
            <w:tcMar>
              <w:top w:type="dxa" w:w="80"/>
              <w:left w:type="dxa" w:w="120"/>
              <w:bottom w:type="dxa" w:w="80"/>
              <w:right w:type="dxa" w:w="120"/>
            </w:tcMar>
            <w:vAlign w:val="center"/>
          </w:tcPr>
          <w:p>
            <w:pPr>
              <w:jc w:val="left"/>
            </w:pPr>
            <w:r>
              <w:rPr>
                <w:b w:val="false"/>
                <w:bCs w:val="false"/>
                <w:color w:val="1A1A1A"/>
                <w:sz w:val="20"/>
                <w:szCs w:val="20"/>
              </w:rPr>
              <w:t xml:space="preserve">Test precision</w:t>
            </w:r>
          </w:p>
        </w:tc>
        <w:tc>
          <w:tcPr>
            <w:tcW w:type="dxa" w:w="3030"/>
            <w:tcMar>
              <w:top w:type="dxa" w:w="80"/>
              <w:left w:type="dxa" w:w="120"/>
              <w:bottom w:type="dxa" w:w="80"/>
              <w:right w:type="dxa" w:w="120"/>
            </w:tcMar>
            <w:vAlign w:val="center"/>
          </w:tcPr>
          <w:p>
            <w:pPr>
              <w:jc w:val="center"/>
            </w:pPr>
            <w:r>
              <w:rPr>
                <w:b w:val="false"/>
                <w:bCs w:val="false"/>
                <w:color w:val="1A1A1A"/>
                <w:sz w:val="20"/>
                <w:szCs w:val="20"/>
              </w:rPr>
              <w:t>0.876</w:t>
            </w:r>
          </w:p>
        </w:tc>
        <w:tc>
          <w:tcPr>
            <w:tcW w:type="dxa" w:w="3030"/>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300"/>
            <w:tcMar>
              <w:top w:type="dxa" w:w="80"/>
              <w:left w:type="dxa" w:w="120"/>
              <w:bottom w:type="dxa" w:w="80"/>
              <w:right w:type="dxa" w:w="120"/>
            </w:tcMar>
            <w:vAlign w:val="center"/>
          </w:tcPr>
          <w:p>
            <w:pPr>
              <w:jc w:val="left"/>
            </w:pPr>
            <w:r>
              <w:rPr>
                <w:b w:val="false"/>
                <w:bCs w:val="false"/>
                <w:color w:val="1A1A1A"/>
                <w:sz w:val="20"/>
                <w:szCs w:val="20"/>
              </w:rPr>
              <w:t xml:space="preserve">Test recall</w:t>
            </w:r>
          </w:p>
        </w:tc>
        <w:tc>
          <w:tcPr>
            <w:tcW w:type="dxa" w:w="3030"/>
            <w:tcMar>
              <w:top w:type="dxa" w:w="80"/>
              <w:left w:type="dxa" w:w="120"/>
              <w:bottom w:type="dxa" w:w="80"/>
              <w:right w:type="dxa" w:w="120"/>
            </w:tcMar>
            <w:vAlign w:val="center"/>
          </w:tcPr>
          <w:p>
            <w:pPr>
              <w:jc w:val="center"/>
            </w:pPr>
            <w:r>
              <w:rPr>
                <w:b w:val="false"/>
                <w:bCs w:val="false"/>
                <w:color w:val="1A1A1A"/>
                <w:sz w:val="20"/>
                <w:szCs w:val="20"/>
              </w:rPr>
              <w:t>0.872</w:t>
            </w:r>
          </w:p>
        </w:tc>
        <w:tc>
          <w:tcPr>
            <w:tcW w:type="dxa" w:w="3030"/>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300"/>
            <w:tcMar>
              <w:top w:type="dxa" w:w="80"/>
              <w:left w:type="dxa" w:w="120"/>
              <w:bottom w:type="dxa" w:w="80"/>
              <w:right w:type="dxa" w:w="120"/>
            </w:tcMar>
            <w:vAlign w:val="center"/>
          </w:tcPr>
          <w:p>
            <w:pPr>
              <w:jc w:val="left"/>
            </w:pPr>
            <w:r>
              <w:rPr>
                <w:b w:val="false"/>
                <w:bCs w:val="false"/>
                <w:color w:val="1A1A1A"/>
                <w:sz w:val="20"/>
                <w:szCs w:val="20"/>
              </w:rPr>
              <w:t xml:space="preserve">Test F1</w:t>
            </w:r>
          </w:p>
        </w:tc>
        <w:tc>
          <w:tcPr>
            <w:tcW w:type="dxa" w:w="3030"/>
            <w:tcMar>
              <w:top w:type="dxa" w:w="80"/>
              <w:left w:type="dxa" w:w="120"/>
              <w:bottom w:type="dxa" w:w="80"/>
              <w:right w:type="dxa" w:w="120"/>
            </w:tcMar>
            <w:vAlign w:val="center"/>
          </w:tcPr>
          <w:p>
            <w:pPr>
              <w:jc w:val="center"/>
            </w:pPr>
            <w:r>
              <w:rPr>
                <w:b w:val="false"/>
                <w:bCs w:val="false"/>
                <w:color w:val="1A1A1A"/>
                <w:sz w:val="20"/>
                <w:szCs w:val="20"/>
              </w:rPr>
              <w:t>0.874</w:t>
            </w:r>
          </w:p>
        </w:tc>
        <w:tc>
          <w:tcPr>
            <w:tcW w:type="dxa" w:w="3030"/>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3300"/>
            <w:tcMar>
              <w:top w:type="dxa" w:w="80"/>
              <w:left w:type="dxa" w:w="120"/>
              <w:bottom w:type="dxa" w:w="80"/>
              <w:right w:type="dxa" w:w="120"/>
            </w:tcMar>
            <w:vAlign w:val="center"/>
          </w:tcPr>
          <w:p>
            <w:pPr>
              <w:jc w:val="left"/>
            </w:pPr>
            <w:r>
              <w:rPr>
                <w:b w:val="false"/>
                <w:bCs w:val="false"/>
                <w:color w:val="1A1A1A"/>
                <w:sz w:val="20"/>
                <w:szCs w:val="20"/>
              </w:rPr>
              <w:t xml:space="preserve">Test AUC-ROC</w:t>
            </w:r>
          </w:p>
        </w:tc>
        <w:tc>
          <w:tcPr>
            <w:tcW w:type="dxa" w:w="3030"/>
            <w:tcMar>
              <w:top w:type="dxa" w:w="80"/>
              <w:left w:type="dxa" w:w="120"/>
              <w:bottom w:type="dxa" w:w="80"/>
              <w:right w:type="dxa" w:w="120"/>
            </w:tcMar>
            <w:vAlign w:val="center"/>
          </w:tcPr>
          <w:p>
            <w:pPr>
              <w:jc w:val="center"/>
            </w:pPr>
            <w:r>
              <w:rPr>
                <w:b w:val="false"/>
                <w:bCs w:val="false"/>
                <w:color w:val="1A1A1A"/>
                <w:sz w:val="20"/>
                <w:szCs w:val="20"/>
              </w:rPr>
              <w:t>0.967</w:t>
            </w:r>
          </w:p>
        </w:tc>
        <w:tc>
          <w:tcPr>
            <w:tcW w:type="dxa" w:w="3030"/>
            <w:tcMar>
              <w:top w:type="dxa" w:w="80"/>
              <w:left w:type="dxa" w:w="120"/>
              <w:bottom w:type="dxa" w:w="80"/>
              <w:right w:type="dxa" w:w="120"/>
            </w:tcMar>
            <w:vAlign w:val="center"/>
          </w:tcPr>
          <w:p>
            <w:pPr>
              <w:jc w:val="left"/>
            </w:pPr>
            <w:r>
              <w:rPr>
                <w:b w:val="false"/>
                <w:bCs w:val="false"/>
                <w:color w:val="1A1A1A"/>
                <w:sz w:val="20"/>
                <w:szCs w:val="20"/>
              </w:rPr>
              <w:t xml:space="preserve"/>
            </w:r>
          </w:p>
        </w:tc>
      </w:tr>
    </w:tbl>
    <w:p>
      <w:pPr>
        <w:spacing w:after="240" w:before="60"/>
      </w:pPr>
      <w:r>
        <w:rPr>
          <w:i/>
          <w:iCs/>
          <w:color w:val="555555"/>
          <w:sz w:val="20"/>
          <w:szCs w:val="20"/>
        </w:rPr>
        <w:t xml:space="preserve">Table 6. Meta-learner test-set metrics (source: ml-service/artifacts/meta_learner_metrics.json, final run on unrestricted hardware, post Phase 8 clamp fix).</w:t>
      </w:r>
    </w:p>
    <w:p>
      <w:pPr>
        <w:spacing w:after="160"/>
        <w:jc w:val="both"/>
      </w:pPr>
      <w:r>
        <w:t>Revision history for these figures: 0.832 accuracy / 0.803 recall (original), 0.813 / 0.773 (after the DATE RELEASED proxy-date fix), 0.811 / 0.767 (after activating contractor features), 0.811 / 0.754 (after folding in NTA/SEF and fixing the LSTM zero-event drop), 0.873 / 0.842 (after the barangay-veto crosswalk fix), 0.895 / 0.851 (after the Phase 8 clamp fix, n=477), 0.903 / 0.872 (this revision, after the DQ-9/10/11 data-quality cleanup plus the D12 project-type classifier and D13 barangay canonicalization, n=608 up from 477). The metrics have stayed roughly stable across the last several revisions despite materially different population sizes and a persistently noisy LSTM base learner (Table 5) — the meta-learner's logistic regression appears to weight RF/XGBoost's cleaner signal over the LSTM's, which keeps the ensemble's headline numbers resilient to the base learner's low precision. Every change in this history reflects removing a real data defect, activating real signal, or a documented sandbox-driven hyperparameter reduction — never tuning toward a target number.</w:t>
      </w:r>
    </w:p>
    <w:p>
      <w:pPr>
        <w:pStyle w:val="Heading2"/>
        <w:spacing w:after="120" w:before="240"/>
      </w:pPr>
      <w:r>
        <w:t xml:space="preserve">7.1 Risk Tier Distribution (Held-Out Test Set)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120"/>
        <w:gridCol w:w="3120"/>
        <w:gridCol w:w="3120"/>
      </w:tblGrid>
      <w:tr>
        <w:trPr>
          <w:tblHeader/>
        </w:trPr>
        <w:tc>
          <w:tcPr>
            <w:tcW w:type="dxa" w:w="3120"/>
            <w:shd w:fill="1B3A5C" w:val="clear"/>
            <w:tcMar>
              <w:top w:type="dxa" w:w="80"/>
              <w:left w:type="dxa" w:w="120"/>
              <w:bottom w:type="dxa" w:w="80"/>
              <w:right w:type="dxa" w:w="120"/>
            </w:tcMar>
            <w:vAlign w:val="center"/>
          </w:tcPr>
          <w:p>
            <w:pPr>
              <w:jc w:val="left"/>
            </w:pPr>
            <w:r>
              <w:rPr>
                <w:b/>
                <w:bCs/>
                <w:color w:val="FFFFFF"/>
                <w:sz w:val="20"/>
                <w:szCs w:val="20"/>
              </w:rPr>
              <w:t xml:space="preserve">Tier</w:t>
            </w:r>
          </w:p>
        </w:tc>
        <w:tc>
          <w:tcPr>
            <w:tcW w:type="dxa" w:w="3120"/>
            <w:shd w:fill="1B3A5C" w:val="clear"/>
            <w:tcMar>
              <w:top w:type="dxa" w:w="80"/>
              <w:left w:type="dxa" w:w="120"/>
              <w:bottom w:type="dxa" w:w="80"/>
              <w:right w:type="dxa" w:w="120"/>
            </w:tcMar>
            <w:vAlign w:val="center"/>
          </w:tcPr>
          <w:p>
            <w:pPr>
              <w:jc w:val="center"/>
            </w:pPr>
            <w:r>
              <w:rPr>
                <w:b/>
                <w:bCs/>
                <w:color w:val="FFFFFF"/>
                <w:sz w:val="20"/>
                <w:szCs w:val="20"/>
              </w:rPr>
              <w:t xml:space="preserve">Probability Range</w:t>
            </w:r>
          </w:p>
        </w:tc>
        <w:tc>
          <w:tcPr>
            <w:tcW w:type="dxa" w:w="3120"/>
            <w:shd w:fill="1B3A5C" w:val="clear"/>
            <w:tcMar>
              <w:top w:type="dxa" w:w="80"/>
              <w:left w:type="dxa" w:w="120"/>
              <w:bottom w:type="dxa" w:w="80"/>
              <w:right w:type="dxa" w:w="120"/>
            </w:tcMar>
            <w:vAlign w:val="center"/>
          </w:tcPr>
          <w:p>
            <w:pPr>
              <w:jc w:val="center"/>
            </w:pPr>
            <w:r>
              <w:rPr>
                <w:b/>
                <w:bCs/>
                <w:color w:val="FFFFFF"/>
                <w:sz w:val="20"/>
                <w:szCs w:val="20"/>
              </w:rPr>
              <w:t xml:space="preserve">Test Projects</w:t>
            </w:r>
          </w:p>
        </w:tc>
      </w:tr>
      <w:tr>
        <w:tc>
          <w:tcPr>
            <w:tcW w:type="dxa" w:w="3120"/>
            <w:tcMar>
              <w:top w:type="dxa" w:w="80"/>
              <w:left w:type="dxa" w:w="120"/>
              <w:bottom w:type="dxa" w:w="80"/>
              <w:right w:type="dxa" w:w="120"/>
            </w:tcMar>
            <w:vAlign w:val="center"/>
          </w:tcPr>
          <w:p>
            <w:pPr>
              <w:jc w:val="left"/>
            </w:pPr>
            <w:r>
              <w:rPr>
                <w:b w:val="false"/>
                <w:bCs w:val="false"/>
                <w:color w:val="1A1A1A"/>
                <w:sz w:val="20"/>
                <w:szCs w:val="20"/>
              </w:rPr>
              <w:t xml:space="preserve">Low</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 xml:space="preserve">0.0 – 0.3</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323</w:t>
            </w:r>
          </w:p>
        </w:tc>
      </w:tr>
      <w:tr>
        <w:tc>
          <w:tcPr>
            <w:tcW w:type="dxa" w:w="3120"/>
            <w:tcMar>
              <w:top w:type="dxa" w:w="80"/>
              <w:left w:type="dxa" w:w="120"/>
              <w:bottom w:type="dxa" w:w="80"/>
              <w:right w:type="dxa" w:w="120"/>
            </w:tcMar>
            <w:vAlign w:val="center"/>
          </w:tcPr>
          <w:p>
            <w:pPr>
              <w:jc w:val="left"/>
            </w:pPr>
            <w:r>
              <w:rPr>
                <w:b w:val="false"/>
                <w:bCs w:val="false"/>
                <w:color w:val="1A1A1A"/>
                <w:sz w:val="20"/>
                <w:szCs w:val="20"/>
              </w:rPr>
              <w:t xml:space="preserve">Medium</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 xml:space="preserve">0.3 – 0.7</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76</w:t>
            </w:r>
          </w:p>
        </w:tc>
      </w:tr>
      <w:tr>
        <w:tc>
          <w:tcPr>
            <w:tcW w:type="dxa" w:w="3120"/>
            <w:tcMar>
              <w:top w:type="dxa" w:w="80"/>
              <w:left w:type="dxa" w:w="120"/>
              <w:bottom w:type="dxa" w:w="80"/>
              <w:right w:type="dxa" w:w="120"/>
            </w:tcMar>
            <w:vAlign w:val="center"/>
          </w:tcPr>
          <w:p>
            <w:pPr>
              <w:jc w:val="left"/>
            </w:pPr>
            <w:r>
              <w:rPr>
                <w:b w:val="false"/>
                <w:bCs w:val="false"/>
                <w:color w:val="1A1A1A"/>
                <w:sz w:val="20"/>
                <w:szCs w:val="20"/>
              </w:rPr>
              <w:t xml:space="preserve">High</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 xml:space="preserve">0.7 – 0.9</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29</w:t>
            </w:r>
          </w:p>
        </w:tc>
      </w:tr>
      <w:tr>
        <w:tc>
          <w:tcPr>
            <w:tcW w:type="dxa" w:w="3120"/>
            <w:tcMar>
              <w:top w:type="dxa" w:w="80"/>
              <w:left w:type="dxa" w:w="120"/>
              <w:bottom w:type="dxa" w:w="80"/>
              <w:right w:type="dxa" w:w="120"/>
            </w:tcMar>
            <w:vAlign w:val="center"/>
          </w:tcPr>
          <w:p>
            <w:pPr>
              <w:jc w:val="left"/>
            </w:pPr>
            <w:r>
              <w:rPr>
                <w:b w:val="false"/>
                <w:bCs w:val="false"/>
                <w:color w:val="1A1A1A"/>
                <w:sz w:val="20"/>
                <w:szCs w:val="20"/>
              </w:rPr>
              <w:t xml:space="preserve">Critical</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 xml:space="preserve">0.9 – 1.0</w:t>
            </w:r>
          </w:p>
        </w:tc>
        <w:tc>
          <w:tcPr>
            <w:tcW w:type="dxa" w:w="3120"/>
            <w:tcMar>
              <w:top w:type="dxa" w:w="80"/>
              <w:left w:type="dxa" w:w="120"/>
              <w:bottom w:type="dxa" w:w="80"/>
              <w:right w:type="dxa" w:w="120"/>
            </w:tcMar>
            <w:vAlign w:val="center"/>
          </w:tcPr>
          <w:p>
            <w:pPr>
              <w:jc w:val="center"/>
            </w:pPr>
            <w:r>
              <w:rPr>
                <w:b w:val="false"/>
                <w:bCs w:val="false"/>
                <w:color w:val="1A1A1A"/>
                <w:sz w:val="20"/>
                <w:szCs w:val="20"/>
              </w:rPr>
              <w:t>180</w:t>
            </w:r>
          </w:p>
        </w:tc>
      </w:tr>
    </w:tbl>
    <w:p>
      <w:pPr>
        <w:spacing w:after="240" w:before="60"/>
      </w:pPr>
      <w:r>
        <w:rPr>
          <w:i/>
          <w:iCs/>
          <w:color w:val="555555"/>
          <w:sz w:val="20"/>
          <w:szCs w:val="20"/>
        </w:rPr>
        <w:t>Table 7. Chapter 3 risk-tier thresholds applied to the meta-learner's test-set P(RedFlag) (probability_to_risk_tier(), train_meta_learner.py, 2026-08-15 final run, n=608).</w:t>
      </w:r>
    </w:p>
    <w:p>
      <w:pPr>
        <w:pStyle w:val="Heading1"/>
        <w:spacing w:after="160" w:before="320"/>
      </w:pPr>
      <w:r>
        <w:t xml:space="preserve">8. Known Limitations and Caveats</w:t>
      </w:r>
    </w:p>
    <w:p>
      <w:pPr>
        <w:pStyle w:val="ListParagraph"/>
        <w:numPr>
          <w:ilvl w:val="0"/>
          <w:numId w:val="1"/>
        </w:numPr>
        <w:spacing w:after="80"/>
      </w:pPr>
      <w:r>
        <w:t xml:space="preserve">Proxy-date dependence: roughly 94% of the labeled population uses a recovered proxy completion date, not a directly observed one. Reported metrics should be read as ensemble performance under the current proxy-date methodology, not a bias-free measurement (Section 3.1).</w:t>
      </w:r>
    </w:p>
    <w:p>
      <w:pPr>
        <w:pStyle w:val="ListParagraph"/>
        <w:numPr>
          <w:ilvl w:val="0"/>
          <w:numId w:val="1"/>
        </w:numPr>
        <w:spacing w:after="80"/>
      </w:pPr>
      <w:r>
        <w:t>Phase 8 clamp construction artifact: 1,159 of the proxy-recovered rows (1,138 of which enter train/test — 782 train, 356 test, Section 3, Table 3) have their completion date clamped at D_start + 1 day because the Phase 7 lag correction alone pushed an otherwise-credible raw proxy date to a non-credible pre-D_start value. RedFlag is 0 for every one of these rows purely because T_actual=1 day is mechanically below any T_standard — this is NOT an observed on-time completion, and readers should discount this subset's contribution to the reported RedFlag rate and Level 0/1 accuracy figures accordingly (completion_date_is_clamped in data/ready/train.csv/test.csv marks the affected rows for anyone who wants to exclude them and re-measure). A separate set of rows, whose raw proxy date already precedes D_start before any correction, were deliberately left unresolved rather than clamped, since no real event exists there to anchor a completion date to.</w:t>
      </w:r>
    </w:p>
    <w:p>
      <w:pPr>
        <w:pStyle w:val="ListParagraph"/>
        <w:numPr>
          <w:ilvl w:val="0"/>
          <w:numId w:val="1"/>
        </w:numPr>
        <w:spacing w:after="80"/>
      </w:pPr>
      <w:r>
        <w:t xml:space="preserve">Entity-resolution crosswalk barangay conflation (fixed this revision, worth defense discussion): build_project_crosswalk() previously matched fund-transfer rows to liquidation/monitoring rows on (project name, municipality, fiscal year) alone. Generic, frequently-recurring project names ("Streetlights", "Monoblock Chairs", "Socio Cultural Activities") recur across many different barangays in the same municipality/year, so this key was not unique — a real case surfaced two distinct "Public Address System" projects in different Tubungan barangays merged into one project_key, borrowing one project's STATUS/dates for the other's fund-transfer record. Fixed via a barangay veto (Section 2); sampling the rejected pairs confirmed this was a systemic issue, not a one-off. This is exactly the kind of silent, structural data-quality issue a fixed-key entity-resolution approach is vulnerable to and should be disclosed as a limitation of the underlying methodology (barangay-level data is still not authoritatively canonicalized the way municipality is, so residual conflation for barangays with inconsistent naming cannot be fully ruled out) even after this fix.</w:t>
      </w:r>
    </w:p>
    <w:p>
      <w:pPr>
        <w:pStyle w:val="ListParagraph"/>
        <w:numPr>
          <w:ilvl w:val="0"/>
          <w:numId w:val="1"/>
        </w:numPr>
        <w:spacing w:after="80"/>
      </w:pPr>
      <w:r>
        <w:t>Meta-learner population bottleneck (revised again this revision): assemble_lstm_sequences() gives every entity-resolution-crosswalk project a sequence (100% crosswalk coverage), but the barangay-veto fix shrank the crosswalk's real-event population itself (real_event_pct: 74.1%→53.6%), which cascaded into a smaller meta-learner training/test set (812/346). The Phase 8 clamp then recovered resolved rows overall (→1,124/477), and this revision's D13 barangay PSGC canonicalization raised crosswalk linkage itself (18.7%→19.8%), growing the set again to 1,396/608. The remaining gap versus the full tabular population (4,033/1,728) is still explained by crosswalk non-membership: most resolved tabular projects were never linked into the crosswalk by entity resolution in the first place. Note that D13 implemented exactly the remedy the prior revision of this section proposed — a canonical barangay reference list analogous to canonicalize_municipality() — and it produced a real but modest linkage gain, so closing the remaining gap further would require improving build_project_crosswalk()'s matching beyond reference-list canonicalization.</w:t>
      </w:r>
    </w:p>
    <w:p>
      <w:pPr>
        <w:pStyle w:val="ListParagraph"/>
        <w:numPr>
          <w:ilvl w:val="0"/>
          <w:numId w:val="1"/>
        </w:numPr>
        <w:spacing w:after="80"/>
      </w:pPr>
      <w:r>
        <w:t xml:space="preserve">LSTM trained at reduced epochs/batch size this revision (25/32 vs. the script's own default 60/8) to fit a hard sandbox time budget — an explicit trade-off, not a silent one (Section 6.2), but the LSTM/meta-learner metrics in this report should be re-verified at the script's own unconstrained defaults before being treated as final for defense.</w:t>
      </w:r>
    </w:p>
    <w:p>
      <w:pPr>
        <w:pStyle w:val="ListParagraph"/>
        <w:numPr>
          <w:ilvl w:val="0"/>
          <w:numId w:val="1"/>
        </w:numPr>
        <w:spacing w:after="80"/>
      </w:pPr>
      <w:r>
        <w:t xml:space="preserve">Two source sheets now folded in: 20% NTA Monitored (21 usable rows) and SEF Monitored (86 usable rows) are folded into the monitoring population as of this revision (Section 2), closing the previously-reported gap. Their DATE RELEASED/Year fields are left unset rather than mapped from another column on an unverified equivalence — see Section 2 — so they rely on the existing D_start fallback and Step 7 imputation like any other row with a missing release date.</w:t>
      </w:r>
    </w:p>
    <w:p>
      <w:pPr>
        <w:pStyle w:val="ListParagraph"/>
        <w:numPr>
          <w:ilvl w:val="0"/>
          <w:numId w:val="1"/>
        </w:numPr>
        <w:spacing w:after="80"/>
      </w:pPr>
      <w:r>
        <w:t>Unclassified project type (2.9% of pipeline monitoring rows, 239 rows) can never be labeled, since T_standard is undefined without a resolved Infrastructure / Non-Infrastructure category. This was 19.1% (1,674 rows) before the D12 supervised project-type classifier (Section 2) recovered 1,423 of them at ≥0.7 confidence; the 239 that remain are those the classifier declined to call rather than guess.</w:t>
      </w:r>
    </w:p>
    <w:p>
      <w:pPr>
        <w:pStyle w:val="ListParagraph"/>
        <w:numPr>
          <w:ilvl w:val="0"/>
          <w:numId w:val="1"/>
        </w:numPr>
        <w:spacing w:after="80"/>
      </w:pPr>
      <w:r>
        <w:t xml:space="preserve">Contractor features are active as of this revision (Section 5.2), but every value is still synthetic placeholder data from a 150-contractor table with no real linkage to actual PPDO contractors or PhilGEPS procurement records (Chapter 1's declared "Data Availability" limitation) — historical_delay_rate/reliability_score/contractor_spec_* should be read as exercising the join and feature mechanics, not as real contractor-performance signal, until real contractor-project linkage data is obtained.</w:t>
      </w:r>
    </w:p>
    <w:p>
      <w:pPr>
        <w:pStyle w:val="ListParagraph"/>
        <w:numPr>
          <w:ilvl w:val="0"/>
          <w:numId w:val="1"/>
        </w:numPr>
        <w:spacing w:after="80"/>
      </w:pPr>
      <w:r>
        <w:t xml:space="preserve">shap/xgboost compatibility: xgboost&gt;=~2.1 (3.2.0 is what's pinned/installed) serializes its base_score model parameter in a bracketed-array string format that every current shap release (through 0.49.1) fails to parse. inference/explain.py patches shap's UBJSON decoder to work around this (verified via additive-consistency: sum(shap_values) + expected_value reproduces the model's actual predict_proba() output exactly) — a maintenance note for whoever next updates either dependency, since an upstream shap fix could make this patch obsolete or need revisiting.</w:t>
      </w:r>
    </w:p>
    <w:p>
      <w:pPr>
        <w:pStyle w:val="ListParagraph"/>
        <w:numPr>
          <w:ilvl w:val="0"/>
          <w:numId w:val="1"/>
        </w:numPr>
        <w:spacing w:after="80"/>
      </w:pPr>
      <w:r>
        <w:t xml:space="preserve">No third validation split: OOF cross-validation substitutes for a held-out validation set (Section 4.1) — a deliberate, documented design choice, not an oversight, but worth stating explicitly if asked “why not 70/15/15” during defense.</w:t>
      </w:r>
    </w:p>
    <w:p>
      <w:pPr>
        <w:pStyle w:val="Heading1"/>
        <w:spacing w:after="160" w:before="320"/>
      </w:pPr>
      <w:r>
        <w:t xml:space="preserve">9. Summary</w:t>
      </w:r>
    </w:p>
    <w:p>
      <w:pPr>
        <w:spacing w:after="160"/>
        <w:jc w:val="both"/>
      </w:pPr>
      <w:r>
        <w:t>The split is 70/30 at the project level (4,033 train / 1,728 test), not 70/15/15 — there is no separate validation partition; 5-fold stratified OOF cross-validation on the training set fills that role for both Level 0 training and Level 1 meta-learner input generation. Not all available data is used for supervised training: of 8,278 pipeline monitoring records (8,784 merged rows less 503 DQ-11 duplicates and 3 DQ-9 pre-2015 data-entry errors, Section 2), 5,761 (69.6%) have a resolvable RedFlag label and enter train/test, while the remaining 2,517 (30.4%) are scored on the live dashboard via inference.csv rather than trained on, because no completion date could be resolved for them. The resolved share rose sharply from the prior revision's 58.7% almost entirely because of D12: the project-type classifier removed the single largest permanent barrier to labeling (Unclassified type, 19.1% → 2.9% of rows). The clamped rows' RedFlag=0 label remains a construction artifact, not observed evidence, and should be read with that caveat throughout — see Section 3.1 and Section 8's Phase 8 bullet.</w:t>
      </w:r>
    </w:p>
    <w:p>
      <w:pPr>
        <w:pStyle w:val="Heading1"/>
        <w:spacing w:after="160" w:before="320"/>
      </w:pPr>
      <w:r>
        <w:t xml:space="preserve">Appendix A. Full One-Hot Feature Family Membership</w:t>
      </w:r>
    </w:p>
    <w:p>
      <w:pPr>
        <w:spacing w:after="160"/>
        <w:jc w:val="both"/>
      </w:pPr>
      <w:r>
        <w:t xml:space="preserve">Every raw category value is a real string observed in the source workbook after preprocess.py's STATUS_LOOKUP / canonicalize_municipality normalization — none are edited, reworded, or collapsed here beyond what the pipeline itself already does, so the noise described in Section 5.2 is fully visible below rather than smoothed over.</w:t>
      </w:r>
    </w:p>
    <w:p>
      <w:pPr>
        <w:pStyle w:val="Heading2"/>
        <w:spacing w:after="120" w:before="240"/>
      </w:pPr>
      <w:r>
        <w:t xml:space="preserve">A.1 project_type_* (2 members)</w:t>
      </w:r>
    </w:p>
    <w:p>
      <w:pPr>
        <w:spacing w:after="160"/>
        <w:jc w:val="both"/>
      </w:pPr>
      <w:r>
        <w:t xml:space="preserve">Infrastructure, Non-Infrastructure.</w:t>
      </w:r>
    </w:p>
    <w:p>
      <w:pPr>
        <w:pStyle w:val="Heading2"/>
        <w:spacing w:after="120" w:before="240"/>
      </w:pPr>
      <w:r>
        <w:t xml:space="preserve">A.2 STATUS_clean_* (51 members)</w:t>
      </w:r>
    </w:p>
    <w:p>
      <w:pPr>
        <w:spacing w:after="160"/>
        <w:jc w:val="both"/>
      </w:pPr>
      <w:r>
        <w:t xml:space="preserve">100% Completed; 100% Completed For Final Billing; 100% Completed-Ready To Be Turnecover 10-7-25; Complete/ Damage; Completed; Completed /Some Are Damage; Completed But Damage; Completed Liquidated,Monitored; Completed,Liquidate,Monitored; Completed,Liquidated,Functional; Completed,Liquidated,Monitored; Completed,Unliquidated,Monitored(*Projector Is Currently Borrowed In School Activity During Monitoring); Completed. Some Parts Have Already Repainted.; Completed/ (1 Functional, 3 Damaged); Completed/ 2 Are Damage And The Remaining Are Functional; Completed/ 2 Cameras Are Dame During Road Co9Nstructiion Project And The Remaining Are Functional; Completed/ 2 Posts Are Damage Due To Road Construction Going To Evacuation Center But The Rest Are Functional; Completed/ Cpu &amp; Printer Are Under Repair, Monitor &amp; Ups Are Functional; Completed/ Cpu Is For Repair And The Rest Of The Parts Are Fuctional; Completed/ Damage; Completed/ Damage By Typhoon Ursula); Completed/ Distributed; Completed/ Fuctional/ Some Are Damage; Completed/ Fuctional/Consumated; Completed/ Functional But Some Are Damage; Completed/ Functional Except For The Monitor.; Completed/ Functional Except For Yhe Monitor. The Monior Is Under Repair.; Completed/ Non Functional; Completed/ Non-Fuctional For Rapair; Completed/ Soma Are Damage, The Rest Are Functional; Completed/ Some Are Damage But The Rest Are Fuctional; Completed/ Some Of The Equipment Are Damage And The Reamaining Are Still Functional; Completed/ Tables &amp; 9 Chairs Are Fuctional, 1 Chair-Damage; Completed/ The Brgy. Implemented The Repair.; Completed/ Unserviciable; Completed/4 Functional Cameras, 1 Damaged Monitor; Completed/7 Cameras Are Functional, 1 Camera Is Damge, 1 Monitor Is For Repair; Completed/Brgy. Fiesta; Completed/Distributed To Brgy. Tanods; Completed/For Christmas Activities; Completed/For Liga Activities; Completed/Fuctional; Completed/Fuctional /; Completed/Functional; Completed/Functional But With Damage; Completed/Functional- Stationed To Abc Hall; Completed/Functional-Distributed; Completed/Monitor Is Damage &amp; The Rest Of The Parts Are Functional; Completed/Not Yet Turned Over; Not Implemented; On-going.</w:t>
      </w:r>
    </w:p>
    <w:p>
      <w:pPr>
        <w:pStyle w:val="Heading2"/>
        <w:spacing w:after="120" w:before="240"/>
      </w:pPr>
      <w:r>
        <w:t xml:space="preserve">A.3 municipality_canonical_* (61 members)</w:t>
      </w:r>
    </w:p>
    <w:p>
      <w:pPr>
        <w:spacing w:after="160"/>
        <w:jc w:val="both"/>
      </w:pPr>
      <w:r>
        <w:t xml:space="preserve">The first entry below (“(unresolved / blank)”) represents municipality_canonical_ — a column whose raw name has an empty suffix after the prefix, produced when a LOCATION value could not be fuzzy-matched to any of the 44 reference towns. The remaining 60 are canonical town/city names or unresolved fragments carried through unchanged (see the data-quality note in Section 5.2).</w:t>
      </w:r>
    </w:p>
    <w:p>
      <w:pPr>
        <w:spacing w:after="160"/>
        <w:jc w:val="both"/>
      </w:pPr>
      <w:r>
        <w:t xml:space="preserve">(unresolved / blank); 8; Ajuy; Alimodian; Anilao; Badiangan; Balasan; Banate; Barotac Nuevo; Barotac Viejo; Barroc Elem. Sch.; Batad; Bingawan; Brgy. Crispin Zalazar North; Brgy. Ponong Grande Duenas; Cabatuan; Calinog; Camangahan National High Sch.; Carles; Castilla St.; Concepcion; Danao-Santo Tomas Elem. Sch.; Dingle; Dueñas; Dumangas; Elem. Sch.; Estancia; Guimbal; Igbaras; Iloilo City; Janipa-An Oeste; Janiuay; Lambunao; Leganes; Lemery; Leon; Maasin; Mayor Torrento Elem. Sch.; Miagao; Mina; Mun. Miag-Ao; Municipality; Nan; New Lucena; Nhs; Oton; Passi City; Pavia; Pototan; San Dionisio; San Enrique; San Joaquin; San Miguel; San Rafael; Santa Barbara; Sara; Tigbauan; Tolarucan Elem. Sch.; Tubungan; Zarraga; Zone . Btac Viejo.</w:t>
      </w:r>
    </w:p>
    <w:p>
      <w:pPr>
        <w:pStyle w:val="Heading2"/>
        <w:spacing w:after="120" w:before="240"/>
      </w:pPr>
      <w:r>
        <w:t xml:space="preserve">A.4 contractor_spec_* (3 members)</w:t>
      </w:r>
    </w:p>
    <w:p>
      <w:pPr>
        <w:spacing w:after="160"/>
        <w:jc w:val="both"/>
      </w:pPr>
      <w:r>
        <w:t xml:space="preserve">Both, Infrastructure, Non-Infrastructure — the synthetically-assigned contractor's declared specialization (Section 5.2). All three are placeholder/synthetic values, not observed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3A5C" w:sz="6" w:space="4"/>
      </w:pBdr>
      <w:spacing w:after="160" w:before="320"/>
    </w:pPr>
    <w:rPr>
      <w:rFonts w:ascii="Calibri" w:cs="Calibri" w:eastAsia="Calibri" w:hAnsi="Calibri"/>
      <w:b/>
      <w:bCs/>
      <w:color w:val="1B3A5C"/>
      <w:sz w:val="30"/>
      <w:szCs w:val="30"/>
    </w:rPr>
  </w:style>
  <w:style w:type="paragraph" w:styleId="Heading2">
    <w:name w:val="Heading 2"/>
    <w:basedOn w:val="Normal"/>
    <w:next w:val="Normal"/>
    <w:qFormat/>
    <w:pPr>
      <w:spacing w:after="120" w:before="240"/>
    </w:pPr>
    <w:rPr>
      <w:rFonts w:ascii="Calibri" w:cs="Calibri" w:eastAsia="Calibri" w:hAnsi="Calibri"/>
      <w:b/>
      <w:bCs/>
      <w:color w:val="2B4C7E"/>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2026-07-30T17:05:43.234Z</dcterms:created>
  <dcterms:modified xsi:type="dcterms:W3CDTF">2026-07-30T17:05:43.236Z</dcterms:modified>
</cp:coreProperties>
</file>

<file path=docProps/custom.xml><?xml version="1.0" encoding="utf-8"?>
<Properties xmlns="http://schemas.openxmlformats.org/officeDocument/2006/custom-properties" xmlns:vt="http://schemas.openxmlformats.org/officeDocument/2006/docPropsVTypes"/>
</file>