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B8860B" w:sz="12"/>
        </w:pBdr>
        <w:spacing w:after="40" w:before="0"/>
      </w:pPr>
      <w:r>
        <w:rPr>
          <w:rFonts w:ascii="Arial" w:cs="Arial" w:eastAsia="Arial" w:hAnsi="Arial"/>
          <w:b/>
          <w:bCs/>
          <w:caps/>
          <w:color w:val="B8860B"/>
          <w:sz w:val="20"/>
          <w:szCs w:val="20"/>
        </w:rPr>
        <w:t xml:space="preserve">DATASHEET FOR DATASET</w:t>
      </w:r>
    </w:p>
    <w:p>
      <w:pPr>
        <w:spacing w:after="60" w:before="120"/>
      </w:pPr>
      <w:r>
        <w:rPr>
          <w:rFonts w:ascii="Arial" w:cs="Arial" w:eastAsia="Arial" w:hAnsi="Arial"/>
          <w:b/>
          <w:bCs/>
          <w:color w:val="0B1A2E"/>
          <w:sz w:val="44"/>
          <w:szCs w:val="44"/>
        </w:rPr>
        <w:t xml:space="preserve">Cr³⁺ Dq/B Crystal Field Training Dataset</w:t>
      </w:r>
    </w:p>
    <w:p>
      <w:pPr>
        <w:spacing w:after="60" w:before="0"/>
      </w:pPr>
      <w:r>
        <w:rPr>
          <w:rFonts w:ascii="Arial" w:cs="Arial" w:eastAsia="Arial" w:hAnsi="Arial"/>
          <w:i/>
          <w:iCs/>
          <w:color w:val="444444"/>
          <w:sz w:val="26"/>
          <w:szCs w:val="26"/>
        </w:rPr>
        <w:t xml:space="preserve">For the Gaussian Process Expert System for Cr³⁺ Phosphor Discovery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CCCCCC" w:sz="1"/>
              <w:left w:val="single" w:color="CCCCCC" w:sz="1"/>
              <w:bottom w:val="single" w:color="CCCCCC" w:sz="1"/>
              <w:right w:val="single" w:color="CCCCCC" w:sz="1"/>
            </w:tcBorders>
            <w:shd w:fill="0B1A2E" w:val="clear"/>
            <w:tcMar>
              <w:top w:type="dxa" w:w="80"/>
              <w:left w:type="dxa" w:w="120"/>
              <w:bottom w:type="dxa" w:w="80"/>
              <w:right w:type="dxa" w:w="120"/>
            </w:tcMar>
          </w:tcPr>
          <w:p>
            <w:pPr>
              <w:spacing w:after="20" w:before="60"/>
            </w:pPr>
            <w:r>
              <w:rPr>
                <w:rFonts w:ascii="Arial" w:cs="Arial" w:eastAsia="Arial" w:hAnsi="Arial"/>
                <w:b/>
                <w:bCs/>
                <w:caps/>
                <w:color w:val="F5D680"/>
                <w:sz w:val="18"/>
                <w:szCs w:val="18"/>
              </w:rPr>
              <w:t xml:space="preserve">Authors</w:t>
            </w:r>
          </w:p>
          <w:p>
            <w:pPr>
              <w:spacing w:after="20" w:before="0"/>
            </w:pPr>
            <w:r>
              <w:rPr>
                <w:rFonts w:ascii="Arial" w:cs="Arial" w:eastAsia="Arial" w:hAnsi="Arial"/>
                <w:color w:val="FFFFFF"/>
                <w:sz w:val="20"/>
                <w:szCs w:val="20"/>
              </w:rPr>
              <w:t xml:space="preserve">Snežana Đurković · Prof. Dr. Miroslav Dramićanin</w:t>
            </w:r>
          </w:p>
          <w:p>
            <w:pPr>
              <w:spacing w:after="60" w:before="0"/>
            </w:pPr>
            <w:r>
              <w:rPr>
                <w:rFonts w:ascii="Arial" w:cs="Arial" w:eastAsia="Arial" w:hAnsi="Arial"/>
                <w:color w:val="F5D680"/>
                <w:sz w:val="17"/>
                <w:szCs w:val="17"/>
              </w:rPr>
              <w:t xml:space="preserve">ORCID: https://orcid.org/0009-0007-6638-0682</w:t>
            </w:r>
          </w:p>
        </w:tc>
        <w:tc>
          <w:tcPr>
            <w:tcW w:type="dxa" w:w="4693"/>
            <w:tcBorders>
              <w:top w:val="single" w:color="CCCCCC" w:sz="1"/>
              <w:left w:val="single" w:color="CCCCCC" w:sz="1"/>
              <w:bottom w:val="single" w:color="CCCCCC" w:sz="1"/>
              <w:right w:val="single" w:color="CCCCCC" w:sz="1"/>
            </w:tcBorders>
            <w:shd w:fill="162D54" w:val="clear"/>
            <w:tcMar>
              <w:top w:type="dxa" w:w="80"/>
              <w:left w:type="dxa" w:w="120"/>
              <w:bottom w:type="dxa" w:w="80"/>
              <w:right w:type="dxa" w:w="120"/>
            </w:tcMar>
          </w:tcPr>
          <w:p>
            <w:pPr>
              <w:spacing w:after="20" w:before="60"/>
            </w:pPr>
            <w:r>
              <w:rPr>
                <w:rFonts w:ascii="Arial" w:cs="Arial" w:eastAsia="Arial" w:hAnsi="Arial"/>
                <w:b/>
                <w:bCs/>
                <w:caps/>
                <w:color w:val="F5D680"/>
                <w:sz w:val="18"/>
                <w:szCs w:val="18"/>
              </w:rPr>
              <w:t xml:space="preserve">Affiliation</w:t>
            </w:r>
          </w:p>
          <w:p>
            <w:pPr>
              <w:spacing w:after="60" w:before="0"/>
            </w:pPr>
            <w:r>
              <w:rPr>
                <w:rFonts w:ascii="Arial" w:cs="Arial" w:eastAsia="Arial" w:hAnsi="Arial"/>
                <w:color w:val="FFFFFF"/>
                <w:sz w:val="20"/>
                <w:szCs w:val="20"/>
              </w:rPr>
              <w:t xml:space="preserve">OMAS Group · Institut za nuklearne nauke Vinča · Beograd, Srbija</w:t>
            </w:r>
          </w:p>
        </w:tc>
      </w:tr>
      <w:tr>
        <w:tc>
          <w:tcPr>
            <w:tcW w:type="dxa" w:w="469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0" w:before="40"/>
            </w:pPr>
            <w:r>
              <w:rPr>
                <w:rFonts w:ascii="Arial" w:cs="Arial" w:eastAsia="Arial" w:hAnsi="Arial"/>
                <w:b/>
                <w:bCs/>
                <w:caps/>
                <w:color w:val="888888"/>
                <w:sz w:val="18"/>
                <w:szCs w:val="18"/>
              </w:rPr>
              <w:t xml:space="preserve">Version / Date</w:t>
            </w:r>
          </w:p>
          <w:p>
            <w:r>
              <w:rPr>
                <w:rFonts w:ascii="Arial" w:cs="Arial" w:eastAsia="Arial" w:hAnsi="Arial"/>
                <w:sz w:val="20"/>
                <w:szCs w:val="20"/>
              </w:rPr>
              <w:t xml:space="preserve">v1.0 · June 2026</w:t>
            </w:r>
          </w:p>
        </w:tc>
        <w:tc>
          <w:tcPr>
            <w:tcW w:type="dxa" w:w="469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10" w:before="40"/>
            </w:pPr>
            <w:r>
              <w:rPr>
                <w:rFonts w:ascii="Arial" w:cs="Arial" w:eastAsia="Arial" w:hAnsi="Arial"/>
                <w:b/>
                <w:bCs/>
                <w:caps/>
                <w:color w:val="888888"/>
                <w:sz w:val="18"/>
                <w:szCs w:val="18"/>
              </w:rPr>
              <w:t xml:space="preserve">Repository</w:t>
            </w:r>
          </w:p>
          <w:p>
            <w:r>
              <w:rPr>
                <w:rFonts w:ascii="Courier New" w:cs="Courier New" w:eastAsia="Courier New" w:hAnsi="Courier New"/>
                <w:color w:val="1A4480"/>
                <w:sz w:val="20"/>
                <w:szCs w:val="20"/>
              </w:rPr>
              <w:t xml:space="preserve">github.com/KirkaSSS/Cr3-GP-Expert-System</w:t>
            </w:r>
          </w:p>
        </w:tc>
      </w:tr>
    </w:tbl>
    <w:p>
      <w:pPr>
        <w:spacing w:after="0" w:before="360"/>
      </w:pPr>
    </w:p>
    <w:p>
      <w:pPr>
        <w:pBdr>
          <w:left w:val="thick" w:color="0B1A2E" w:sz="18" w:space="8"/>
        </w:pBdr>
        <w:spacing w:after="120" w:before="320"/>
      </w:pPr>
      <w:r>
        <w:rPr>
          <w:rFonts w:ascii="Arial" w:cs="Arial" w:eastAsia="Arial" w:hAnsi="Arial"/>
          <w:b/>
          <w:bCs/>
          <w:color w:val="0B1A2E"/>
          <w:sz w:val="28"/>
          <w:szCs w:val="28"/>
        </w:rPr>
        <w:t xml:space="preserve">1. Motivation</w:t>
      </w:r>
    </w:p>
    <w:p>
      <w:pPr>
        <w:spacing w:after="60" w:before="180"/>
      </w:pPr>
      <w:r>
        <w:rPr>
          <w:rFonts w:ascii="Arial" w:cs="Arial" w:eastAsia="Arial" w:hAnsi="Arial"/>
          <w:b/>
          <w:bCs/>
          <w:i/>
          <w:iCs/>
          <w:color w:val="0B1A2E"/>
          <w:sz w:val="22"/>
          <w:szCs w:val="22"/>
        </w:rPr>
        <w:t xml:space="preserve">For what purpose was the dataset created?</w:t>
      </w:r>
    </w:p>
    <w:p>
      <w:pPr>
        <w:spacing w:after="140" w:before="0"/>
        <w:ind w:left="360"/>
      </w:pPr>
      <w:r>
        <w:rPr>
          <w:rFonts w:ascii="Arial" w:cs="Arial" w:eastAsia="Arial" w:hAnsi="Arial"/>
          <w:sz w:val="22"/>
          <w:szCs w:val="22"/>
        </w:rPr>
        <w:t xml:space="preserve">The dataset was created to train machine learning models for predicting the crystal field parameter Dq/B of Cr³⁺-doped inorganic phosphor host lattices. Two expert systems have been developed using this dataset: (1) a Gaussian Process Regression (GPR) model with Matérn 5/2 ARD kernel (KirkaSSS/Cr3-GP-Expert-System), and (2) a CatBoost Gradient Boosting model with hold-out validation (KirkaSSS/phD-AI). The primary goal of both systems is to computationally screen candidate materials for near-infrared (NIR) luminescence applications — specifically materials with Dq/B in the range 2.2–2.8, which emit in the physiological transparency window (650–900 nm) relevant for bioimaging, night-vision, and plant-growth lighting. The dataset was created to fill a specific gap: experimental determination of Dq/B requires material synthesis and spectroscopic characterization, a process that is slow and resource-intensive. This dataset enables large candidate spaces to be screened purely from structural and chemical descriptors, before any synthesis is attempted.</w:t>
      </w:r>
    </w:p>
    <w:p>
      <w:pPr>
        <w:spacing w:after="60" w:before="180"/>
      </w:pPr>
      <w:r>
        <w:rPr>
          <w:rFonts w:ascii="Arial" w:cs="Arial" w:eastAsia="Arial" w:hAnsi="Arial"/>
          <w:b/>
          <w:bCs/>
          <w:i/>
          <w:iCs/>
          <w:color w:val="0B1A2E"/>
          <w:sz w:val="22"/>
          <w:szCs w:val="22"/>
        </w:rPr>
        <w:t xml:space="preserve">Who created the dataset?</w:t>
      </w:r>
    </w:p>
    <w:p>
      <w:pPr>
        <w:spacing w:after="140" w:before="0"/>
        <w:ind w:left="360"/>
      </w:pPr>
      <w:r>
        <w:rPr>
          <w:rFonts w:ascii="Arial" w:cs="Arial" w:eastAsia="Arial" w:hAnsi="Arial"/>
          <w:sz w:val="22"/>
          <w:szCs w:val="22"/>
        </w:rPr>
        <w:t xml:space="preserve">The dataset was assembled by Snežana Đurković (PhD candidate), under the supervision of Prof. Dr. Miroslav Dramićanin and Dr. Zoran Ristić, at the OMAS Group (Optical Materials and Spectroscopy), Institute of Nuclear Sciences "Vinča", University of Belgrade, Serbia.</w:t>
      </w:r>
    </w:p>
    <w:p>
      <w:pPr>
        <w:spacing w:after="60" w:before="180"/>
      </w:pPr>
      <w:r>
        <w:rPr>
          <w:rFonts w:ascii="Arial" w:cs="Arial" w:eastAsia="Arial" w:hAnsi="Arial"/>
          <w:b/>
          <w:bCs/>
          <w:i/>
          <w:iCs/>
          <w:color w:val="0B1A2E"/>
          <w:sz w:val="22"/>
          <w:szCs w:val="22"/>
        </w:rPr>
        <w:t xml:space="preserve">Who funded the creation of the dataset?</w:t>
      </w:r>
    </w:p>
    <w:p>
      <w:pPr>
        <w:spacing w:after="140" w:before="0"/>
        <w:ind w:left="360"/>
      </w:pPr>
      <w:r>
        <w:rPr>
          <w:rFonts w:ascii="Arial" w:cs="Arial" w:eastAsia="Arial" w:hAnsi="Arial"/>
          <w:sz w:val="22"/>
          <w:szCs w:val="22"/>
        </w:rPr>
        <w:t xml:space="preserve">The work was conducted within the research program of the Institute of Nuclear Sciences "Vinča", University of Belgrade. Specific grant information should be added upon publication. No commercial or proprietary funding sources are associated with this dataset.</w:t>
      </w:r>
    </w:p>
    <w:p>
      <w:pPr>
        <w:spacing w:after="60" w:before="180"/>
      </w:pPr>
      <w:r>
        <w:rPr>
          <w:rFonts w:ascii="Arial" w:cs="Arial" w:eastAsia="Arial" w:hAnsi="Arial"/>
          <w:b/>
          <w:bCs/>
          <w:i/>
          <w:iCs/>
          <w:color w:val="0B1A2E"/>
          <w:sz w:val="22"/>
          <w:szCs w:val="22"/>
        </w:rPr>
        <w:t xml:space="preserve">Any other comments?</w:t>
      </w:r>
    </w:p>
    <w:p>
      <w:pPr>
        <w:spacing w:after="140" w:before="0"/>
        <w:ind w:left="360"/>
      </w:pPr>
      <w:r>
        <w:rPr>
          <w:rFonts w:ascii="Arial" w:cs="Arial" w:eastAsia="Arial" w:hAnsi="Arial"/>
          <w:sz w:val="22"/>
          <w:szCs w:val="22"/>
        </w:rPr>
        <w:t xml:space="preserve">The dataset is part of a larger physics-informed machine learning framework for Cr³⁺ phosphor discovery. The version documented here (v1.0, June 2026) is the primary training set with 243 experimentally characterized host lattices. An extended candidate prediction set ("Prošireni To predict.xlsx") is provided separately in the same repository.</w:t>
      </w:r>
    </w:p>
    <w:p>
      <w:pPr>
        <w:pBdr>
          <w:left w:val="thick" w:color="0B1A2E" w:sz="18" w:space="8"/>
        </w:pBdr>
        <w:spacing w:after="120" w:before="320"/>
      </w:pPr>
      <w:r>
        <w:rPr>
          <w:rFonts w:ascii="Arial" w:cs="Arial" w:eastAsia="Arial" w:hAnsi="Arial"/>
          <w:b/>
          <w:bCs/>
          <w:color w:val="0B1A2E"/>
          <w:sz w:val="28"/>
          <w:szCs w:val="28"/>
        </w:rPr>
        <w:t xml:space="preserve">2. Composition</w:t>
      </w:r>
    </w:p>
    <w:p>
      <w:pPr>
        <w:spacing w:after="60" w:before="180"/>
      </w:pPr>
      <w:r>
        <w:rPr>
          <w:rFonts w:ascii="Arial" w:cs="Arial" w:eastAsia="Arial" w:hAnsi="Arial"/>
          <w:b/>
          <w:bCs/>
          <w:i/>
          <w:iCs/>
          <w:color w:val="0B1A2E"/>
          <w:sz w:val="22"/>
          <w:szCs w:val="22"/>
        </w:rPr>
        <w:t xml:space="preserve">What do the instances that comprise the dataset represent?</w:t>
      </w:r>
    </w:p>
    <w:p>
      <w:pPr>
        <w:spacing w:after="140" w:before="0"/>
        <w:ind w:left="360"/>
      </w:pPr>
      <w:r>
        <w:rPr>
          <w:rFonts w:ascii="Arial" w:cs="Arial" w:eastAsia="Arial" w:hAnsi="Arial"/>
          <w:sz w:val="22"/>
          <w:szCs w:val="22"/>
        </w:rPr>
        <w:t xml:space="preserve">Each instance represents a single experimentally characterized Cr³⁺-doped inorganic phosphor host lattice. Each host is described by its chemical formula, one optical target variable (Dq/B), and a set of 15 structural and chemical descriptors derived from crystallographic and atomic data.</w:t>
      </w:r>
    </w:p>
    <w:p>
      <w:pPr>
        <w:spacing w:after="60" w:before="180"/>
      </w:pPr>
      <w:r>
        <w:rPr>
          <w:rFonts w:ascii="Arial" w:cs="Arial" w:eastAsia="Arial" w:hAnsi="Arial"/>
          <w:b/>
          <w:bCs/>
          <w:i/>
          <w:iCs/>
          <w:color w:val="0B1A2E"/>
          <w:sz w:val="22"/>
          <w:szCs w:val="22"/>
        </w:rPr>
        <w:t xml:space="preserve">What is the target variable?</w:t>
      </w:r>
    </w:p>
    <w:p>
      <w:pPr>
        <w:spacing w:after="140" w:before="0"/>
        <w:ind w:left="360"/>
      </w:pPr>
      <w:r>
        <w:rPr>
          <w:rFonts w:ascii="Arial" w:cs="Arial" w:eastAsia="Arial" w:hAnsi="Arial"/>
          <w:sz w:val="22"/>
          <w:szCs w:val="22"/>
        </w:rPr>
        <w:t xml:space="preserve">The target variable is Dq/B — the ratio of the crystal field splitting energy (10Dq) to the Racah parameter B for the Cr³⁺ ion in the host lattice. It is an optical parameter determined experimentally from the analysis of UV-Vis optical absorption or photoluminescence excitation spectra, using Tanabe-Sugano diagrams for the d³ electronic configuration of Cr³⁺. Dq/B governs the emission wavelength of the phosphor: materials with Dq/B in the range 2.2–2.8 emit in the near-infrared physiological transparency window (650–900 nm). Given the considerable complexity associated with its reliable extraction from experimental optical spectra, Dq/B constitutes the most demanding and labor-intensive component of the dataset, requiring rigorous spectroscopic analysis and careful cross-referencing of the primary literature.</w:t>
      </w:r>
    </w:p>
    <w:p>
      <w:pPr>
        <w:spacing w:after="60" w:before="180"/>
      </w:pPr>
      <w:r>
        <w:rPr>
          <w:rFonts w:ascii="Arial" w:cs="Arial" w:eastAsia="Arial" w:hAnsi="Arial"/>
          <w:b/>
          <w:bCs/>
          <w:i/>
          <w:iCs/>
          <w:color w:val="0B1A2E"/>
          <w:sz w:val="22"/>
          <w:szCs w:val="22"/>
        </w:rPr>
        <w:t xml:space="preserve">How many instances are there in total?</w:t>
      </w:r>
    </w:p>
    <w:p>
      <w:pPr>
        <w:spacing w:after="140" w:before="0"/>
        <w:ind w:left="360"/>
      </w:pPr>
      <w:r>
        <w:rPr>
          <w:rFonts w:ascii="Arial" w:cs="Arial" w:eastAsia="Arial" w:hAnsi="Arial"/>
          <w:sz w:val="22"/>
          <w:szCs w:val="22"/>
        </w:rPr>
        <w:t xml:space="preserve">The dataset contains 243 instances (host lattice compositions), representing a diverse range of inorganic phosphor structure types.</w:t>
      </w:r>
    </w:p>
    <w:p>
      <w:pPr>
        <w:spacing w:after="60" w:before="180"/>
      </w:pPr>
      <w:r>
        <w:rPr>
          <w:rFonts w:ascii="Arial" w:cs="Arial" w:eastAsia="Arial" w:hAnsi="Arial"/>
          <w:b/>
          <w:bCs/>
          <w:i/>
          <w:iCs/>
          <w:color w:val="0B1A2E"/>
          <w:sz w:val="22"/>
          <w:szCs w:val="22"/>
        </w:rPr>
        <w:t xml:space="preserve">Does the dataset contain all possible instances or is it a sample?</w:t>
      </w:r>
    </w:p>
    <w:p>
      <w:pPr>
        <w:spacing w:after="140" w:before="0"/>
        <w:ind w:left="360"/>
      </w:pPr>
      <w:r>
        <w:rPr>
          <w:rFonts w:ascii="Arial" w:cs="Arial" w:eastAsia="Arial" w:hAnsi="Arial"/>
          <w:sz w:val="22"/>
          <w:szCs w:val="22"/>
        </w:rPr>
        <w:t xml:space="preserve">The dataset was assembled through an exhaustive survey of the peer-reviewed literature and represents, to the best of the authors' knowledge, the complete set of Cr3+-doped inorganic phosphor host lattices for which reliable experimental Dq/B values could be extracted from published spectroscopic data at the time of assembly. Coverage is therefore limited not by the scope of the literature search, but by the availability of experimentally characterized compounds with sufficiently documented spectroscopic data to permit rigorous Dq/B determination. The dataset intentionally spans the full available range of Dq/B values (1.17 to 3.43), including materials both within and outside the target NIR emission window (2.2-2.8), to provide the model with contrast and calibration across the full descriptor space.</w:t>
      </w:r>
    </w:p>
    <w:p>
      <w:pPr>
        <w:spacing w:after="60" w:before="180"/>
      </w:pPr>
      <w:r>
        <w:rPr>
          <w:rFonts w:ascii="Arial" w:cs="Arial" w:eastAsia="Arial" w:hAnsi="Arial"/>
          <w:b/>
          <w:bCs/>
          <w:i/>
          <w:iCs/>
          <w:color w:val="0B1A2E"/>
          <w:sz w:val="22"/>
          <w:szCs w:val="22"/>
        </w:rPr>
        <w:t xml:space="preserve">What data does each instance consist of?</w:t>
      </w:r>
    </w:p>
    <w:p>
      <w:pPr>
        <w:spacing w:after="120" w:before="0"/>
        <w:ind w:left="360"/>
      </w:pPr>
      <w:r>
        <w:rPr>
          <w:rFonts w:ascii="Arial" w:cs="Arial" w:eastAsia="Arial" w:hAnsi="Arial"/>
          <w:sz w:val="22"/>
          <w:szCs w:val="22"/>
        </w:rPr>
        <w:t xml:space="preserve">Each instance consists of one target variable (Dq/B) and 15 structural and chemical descriptors. The majority are continuous numerical features; however, SGR No. (space group number) is a categorical descriptor encoding crystal structure type — its integer values carry no ordinal meaning (e.g., space group 62 is not "less than" space group 225 in any physical sense). The lattice angle beta is numerical but quasi-categorical in practice, as it takes the value 90.0 degrees for all cubic, tetragonal, orthorhombic, and hexagonal structures and only deviates for monoclinic systems. CatBoost handles both types natively without requiring one-hot encoding. The table below reproduces Table S2 from the companion CatBoost study, with feature importance scores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c>
          <w:tcPr>
            <w:tcW w:type="dxa" w:w="2600"/>
            <w:tcBorders>
              <w:top w:val="single" w:color="CCCCCC" w:sz="1"/>
              <w:left w:val="single" w:color="CCCCCC" w:sz="1"/>
              <w:bottom w:val="single" w:color="CCCCCC" w:sz="1"/>
              <w:right w:val="single" w:color="CCCCCC" w:sz="1"/>
            </w:tcBorders>
            <w:shd w:fill="0B1A2E" w:val="clear"/>
            <w:tcMar>
              <w:top w:type="dxa" w:w="80"/>
              <w:left w:type="dxa" w:w="120"/>
              <w:bottom w:type="dxa" w:w="80"/>
              <w:right w:type="dxa" w:w="120"/>
            </w:tcMar>
          </w:tcPr>
          <w:p>
            <w:r>
              <w:rPr>
                <w:rFonts w:ascii="Arial" w:cs="Arial" w:eastAsia="Arial" w:hAnsi="Arial"/>
                <w:b/>
                <w:bCs/>
                <w:color w:val="FFFFFF"/>
                <w:sz w:val="20"/>
                <w:szCs w:val="20"/>
              </w:rPr>
              <w:t xml:space="preserve">Descriptor</w:t>
            </w:r>
          </w:p>
        </w:tc>
        <w:tc>
          <w:tcPr>
            <w:tcW w:type="dxa" w:w="5560"/>
            <w:tcBorders>
              <w:top w:val="single" w:color="CCCCCC" w:sz="1"/>
              <w:left w:val="single" w:color="CCCCCC" w:sz="1"/>
              <w:bottom w:val="single" w:color="CCCCCC" w:sz="1"/>
              <w:right w:val="single" w:color="CCCCCC" w:sz="1"/>
            </w:tcBorders>
            <w:shd w:fill="0B1A2E" w:val="clear"/>
            <w:tcMar>
              <w:top w:type="dxa" w:w="80"/>
              <w:left w:type="dxa" w:w="120"/>
              <w:bottom w:type="dxa" w:w="80"/>
              <w:right w:type="dxa" w:w="120"/>
            </w:tcMar>
          </w:tcPr>
          <w:p>
            <w:r>
              <w:rPr>
                <w:rFonts w:ascii="Arial" w:cs="Arial" w:eastAsia="Arial" w:hAnsi="Arial"/>
                <w:b/>
                <w:bCs/>
                <w:color w:val="FFFFFF"/>
                <w:sz w:val="20"/>
                <w:szCs w:val="20"/>
              </w:rPr>
              <w:t xml:space="preserve">Feature Description</w:t>
            </w:r>
          </w:p>
        </w:tc>
        <w:tc>
          <w:tcPr>
            <w:tcW w:type="dxa" w:w="1200"/>
            <w:tcBorders>
              <w:top w:val="single" w:color="CCCCCC" w:sz="1"/>
              <w:left w:val="single" w:color="CCCCCC" w:sz="1"/>
              <w:bottom w:val="single" w:color="CCCCCC" w:sz="1"/>
              <w:right w:val="single" w:color="CCCCCC" w:sz="1"/>
            </w:tcBorders>
            <w:shd w:fill="0B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avg_Mulliken EN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Mulliken electronegativity of constituent elements in the host composition</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bCs/>
                <w:sz w:val="20"/>
                <w:szCs w:val="20"/>
              </w:rPr>
              <w:t xml:space="preserve">14.27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avg_First ionization energy (kJ/mol)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first ionization energy of constituent elements in the host composition</w:t>
            </w:r>
          </w:p>
        </w:tc>
        <w:tc>
          <w:tcPr>
            <w:tcW w:type="dxa" w:w="12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jc w:val="center"/>
            </w:pPr>
            <w:r>
              <w:rPr>
                <w:rFonts w:ascii="Arial" w:cs="Arial" w:eastAsia="Arial" w:hAnsi="Arial"/>
                <w:b/>
                <w:bCs/>
                <w:sz w:val="20"/>
                <w:szCs w:val="20"/>
              </w:rPr>
              <w:t xml:space="preserve">12.09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1/r2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Inverse square of the average Cr3+-ligand bond length</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bCs/>
                <w:sz w:val="20"/>
                <w:szCs w:val="20"/>
              </w:rPr>
              <w:t xml:space="preserve">8.92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avg_Martynov-Batsanov EN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Martynov-Batsanov electronegativity of constituent elements</w:t>
            </w:r>
          </w:p>
        </w:tc>
        <w:tc>
          <w:tcPr>
            <w:tcW w:type="dxa" w:w="12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jc w:val="center"/>
            </w:pPr>
            <w:r>
              <w:rPr>
                <w:rFonts w:ascii="Arial" w:cs="Arial" w:eastAsia="Arial" w:hAnsi="Arial"/>
                <w:b/>
                <w:bCs/>
                <w:sz w:val="20"/>
                <w:szCs w:val="20"/>
              </w:rPr>
              <w:t xml:space="preserve">8.22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SGR No.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Space group number of the host crystal structure (categorical)</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bCs/>
                <w:sz w:val="20"/>
                <w:szCs w:val="20"/>
              </w:rPr>
              <w:t xml:space="preserve">8.22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std_Mendeleev number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deviation of Mendeleev numbers of constituent elements</w:t>
            </w:r>
          </w:p>
        </w:tc>
        <w:tc>
          <w:tcPr>
            <w:tcW w:type="dxa" w:w="12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7.49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max_metal_ligand_bond_length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metal-ligand bond length in the coordination polyhedron (A)</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6.87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Concentration of Cr3+ dopant in the host material</w:t>
            </w:r>
          </w:p>
        </w:tc>
        <w:tc>
          <w:tcPr>
            <w:tcW w:type="dxa" w:w="12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volume_per_atom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cell volume per atom of the host crystal structure (A3)</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avg_Metallic valence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metallic valence of constituent elements in the host composition</w:t>
            </w:r>
          </w:p>
        </w:tc>
        <w:tc>
          <w:tcPr>
            <w:tcW w:type="dxa" w:w="12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volume_per_fu</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cell volume per formula unit of the host crystal structure (A3)</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5.67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polyhedron volume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Volume of the CrO6 octahedral coordination polyhedron (A3)</w:t>
            </w:r>
          </w:p>
        </w:tc>
        <w:tc>
          <w:tcPr>
            <w:tcW w:type="dxa" w:w="12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avg_Number of outer shell electrons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number of outer shell electrons of constituent elements</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beta</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Lattice angle beta (B) of the host crystal structure (degrees)</w:t>
            </w:r>
          </w:p>
        </w:tc>
        <w:tc>
          <w:tcPr>
            <w:tcW w:type="dxa" w:w="1200"/>
            <w:tcBorders>
              <w:top w:val="single" w:color="CCCCCC" w:sz="1"/>
              <w:left w:val="single" w:color="CCCCCC" w:sz="1"/>
              <w:bottom w:val="single" w:color="CCCCCC" w:sz="1"/>
              <w:right w:val="single" w:color="CCCCCC" w:sz="1"/>
            </w:tcBorders>
            <w:shd w:fill="D4E4F7"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max_First ionization energy (kJ/mol)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first ionization energy of constituent elements in the host composition</w:t>
            </w:r>
          </w:p>
        </w:tc>
        <w:tc>
          <w:tcPr>
            <w:tcW w:type="dxa" w:w="12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0.08</w:t>
            </w:r>
          </w:p>
        </w:tc>
      </w:tr>
    </w:tbl>
    <w:p>
      <w:pPr>
        <w:spacing w:after="0" w:before="120"/>
      </w:pPr>
    </w:p>
    <w:p>
      <w:pPr>
        <w:spacing w:after="60" w:before="180"/>
      </w:pPr>
      <w:r>
        <w:rPr>
          <w:rFonts w:ascii="Arial" w:cs="Arial" w:eastAsia="Arial" w:hAnsi="Arial"/>
          <w:b/>
          <w:bCs/>
          <w:i/>
          <w:iCs/>
          <w:color w:val="0B1A2E"/>
          <w:sz w:val="22"/>
          <w:szCs w:val="22"/>
        </w:rPr>
        <w:t xml:space="preserve">Is there a label or target associated with each instance?</w:t>
      </w:r>
    </w:p>
    <w:p>
      <w:pPr>
        <w:spacing w:after="140" w:before="0"/>
        <w:ind w:left="360"/>
      </w:pPr>
      <w:r>
        <w:rPr>
          <w:rFonts w:ascii="Arial" w:cs="Arial" w:eastAsia="Arial" w:hAnsi="Arial"/>
          <w:sz w:val="22"/>
          <w:szCs w:val="22"/>
        </w:rPr>
        <w:t xml:space="preserve">Yes. The target variable is Dq/B — the ratio of the crystal field splitting energy (10Dq) to the Racah parameter B, derived from experimental optical absorption spectra of Cr³⁺-doped samples. Dq/B values in this dataset range from 1.17 (weakest crystal field, CdWO₄) to 3.43 (strongest crystal field), with a mean of 2.25 and median near 2.25. Materials with Dq/B in the range 2.2–2.8 are the primary design target for NIR-emitting phosphors.</w:t>
      </w:r>
    </w:p>
    <w:p>
      <w:pPr>
        <w:spacing w:after="60" w:before="180"/>
      </w:pPr>
      <w:r>
        <w:rPr>
          <w:rFonts w:ascii="Arial" w:cs="Arial" w:eastAsia="Arial" w:hAnsi="Arial"/>
          <w:b/>
          <w:bCs/>
          <w:i/>
          <w:iCs/>
          <w:color w:val="0B1A2E"/>
          <w:sz w:val="22"/>
          <w:szCs w:val="22"/>
        </w:rPr>
        <w:t xml:space="preserve">Is any information missing from individual instances?</w:t>
      </w:r>
    </w:p>
    <w:p>
      <w:pPr>
        <w:spacing w:after="140" w:before="0"/>
        <w:ind w:left="360"/>
      </w:pPr>
      <w:r>
        <w:rPr>
          <w:rFonts w:ascii="Arial" w:cs="Arial" w:eastAsia="Arial" w:hAnsi="Arial"/>
          <w:sz w:val="22"/>
          <w:szCs w:val="22"/>
        </w:rPr>
        <w:t xml:space="preserve">No. All 15 descriptor values and the target variable Dq/B are present for every instance in the dataset. No imputation, placeholder values, or surrogate substitutions were applied.</w:t>
      </w:r>
    </w:p>
    <w:p>
      <w:pPr>
        <w:spacing w:after="60" w:before="180"/>
      </w:pPr>
      <w:r>
        <w:rPr>
          <w:rFonts w:ascii="Arial" w:cs="Arial" w:eastAsia="Arial" w:hAnsi="Arial"/>
          <w:b/>
          <w:bCs/>
          <w:i/>
          <w:iCs/>
          <w:color w:val="0B1A2E"/>
          <w:sz w:val="22"/>
          <w:szCs w:val="22"/>
        </w:rPr>
        <w:t xml:space="preserve">Are relationships between individual instances made explicit?</w:t>
      </w:r>
    </w:p>
    <w:p>
      <w:pPr>
        <w:spacing w:after="140" w:before="0"/>
        <w:ind w:left="360"/>
      </w:pPr>
      <w:r>
        <w:rPr>
          <w:rFonts w:ascii="Arial" w:cs="Arial" w:eastAsia="Arial" w:hAnsi="Arial"/>
          <w:sz w:val="22"/>
          <w:szCs w:val="22"/>
        </w:rPr>
        <w:t xml:space="preserve">No explicit graph or network relationships are defined between instances. Structural relationships (e.g., isostructural families such as garnets, perovskites, elpasolites) are implicitly captured through the SGR No. descriptor and shared descriptor values. Several compositional series are represented (e.g., Bi₂AlₓGa₄₋ₓO₉ with x = 0, 1, 2, 3, 4), which introduce correlated instances within the dataset.</w:t>
      </w:r>
    </w:p>
    <w:p>
      <w:pPr>
        <w:spacing w:after="60" w:before="180"/>
      </w:pPr>
      <w:r>
        <w:rPr>
          <w:rFonts w:ascii="Arial" w:cs="Arial" w:eastAsia="Arial" w:hAnsi="Arial"/>
          <w:b/>
          <w:bCs/>
          <w:i/>
          <w:iCs/>
          <w:color w:val="0B1A2E"/>
          <w:sz w:val="22"/>
          <w:szCs w:val="22"/>
        </w:rPr>
        <w:t xml:space="preserve">Are there recommended data splits?</w:t>
      </w:r>
    </w:p>
    <w:p>
      <w:pPr>
        <w:spacing w:after="140" w:before="0"/>
        <w:ind w:left="360"/>
      </w:pPr>
      <w:r>
        <w:rPr>
          <w:rFonts w:ascii="Arial" w:cs="Arial" w:eastAsia="Arial" w:hAnsi="Arial"/>
          <w:sz w:val="22"/>
          <w:szCs w:val="22"/>
        </w:rPr>
        <w:t xml:space="preserve">Yes. The dataset includes a pre-defined hold-out validation partition. Thirty-six compounds — one representative per major oxide structure family (SGR group), selected as the compound closest to the centre of the NIR target window (Dq/B = 2.5) within each family — are designated as the hold-out validation set (Prosireni To predict.xlsx). The remaining 207 compounds constitute the training set (Cr3_dqb_training_set.xlsx). This partitioning was established prior to any model training to prevent data leakage. For the GP model, 5-fold cross-validation is performed on the 207-compound training set. For the CatBoost model, 10×10-fold repeated cross-validation is performed on the same training set. Users constructing alternative splits are advised to use stratified sampling by Dq/B range, as 63% of instances fall within the target window [2.2, 2.8].</w:t>
      </w:r>
    </w:p>
    <w:p>
      <w:pPr>
        <w:spacing w:after="60" w:before="180"/>
      </w:pPr>
      <w:r>
        <w:rPr>
          <w:rFonts w:ascii="Arial" w:cs="Arial" w:eastAsia="Arial" w:hAnsi="Arial"/>
          <w:b/>
          <w:bCs/>
          <w:i/>
          <w:iCs/>
          <w:color w:val="0B1A2E"/>
          <w:sz w:val="22"/>
          <w:szCs w:val="22"/>
        </w:rPr>
        <w:t xml:space="preserve">Are there any errors, sources of noise, or redundancies in the dataset?</w:t>
      </w:r>
    </w:p>
    <w:p>
      <w:pPr>
        <w:spacing w:after="140" w:before="0"/>
        <w:ind w:left="360"/>
      </w:pPr>
      <w:r>
        <w:rPr>
          <w:rFonts w:ascii="Arial" w:cs="Arial" w:eastAsia="Arial" w:hAnsi="Arial"/>
          <w:sz w:val="22"/>
          <w:szCs w:val="22"/>
        </w:rPr>
        <w:t xml:space="preserve">Experimental Dq/B values are derived from literature sources and carry the measurement uncertainty of the original spectroscopic experiments (typically ±0.02–0.05 Dq/B units). One duplicate entry (K₂NaScF₆) is present in the dataset, arising from independent literature sources reporting the same composition with identical Dq/B values; this has been retained intentionally but users may wish to de-duplicate for training. Descriptor values for 1/r² span an extremely wide range (8.9–40,000) due to the presence of both weakly and strongly coordinating ligands, requiring robust scaling (RobustScaler) prior to model training.</w:t>
      </w:r>
    </w:p>
    <w:p>
      <w:pPr>
        <w:spacing w:after="60" w:before="180"/>
      </w:pPr>
      <w:r>
        <w:rPr>
          <w:rFonts w:ascii="Arial" w:cs="Arial" w:eastAsia="Arial" w:hAnsi="Arial"/>
          <w:b/>
          <w:bCs/>
          <w:i/>
          <w:iCs/>
          <w:color w:val="0B1A2E"/>
          <w:sz w:val="22"/>
          <w:szCs w:val="22"/>
        </w:rPr>
        <w:t xml:space="preserve">Is the dataset self-contained?</w:t>
      </w:r>
    </w:p>
    <w:p>
      <w:pPr>
        <w:spacing w:after="140" w:before="0"/>
        <w:ind w:left="360"/>
      </w:pPr>
      <w:r>
        <w:rPr>
          <w:rFonts w:ascii="Arial" w:cs="Arial" w:eastAsia="Arial" w:hAnsi="Arial"/>
          <w:sz w:val="22"/>
          <w:szCs w:val="22"/>
        </w:rPr>
        <w:t xml:space="preserve">Yes. The dataset is fully self-contained within the Excel file Cr3_dqb_training_set.xlsx. It does not link to external databases at runtime. Descriptor values were computed from crystallographic parameters sourced from the Inorganic Crystal Structure Database (ICSD) and the Cambridge Structural Database (CSD), and from atomic property tables in the literature (Mulliken electronegativities, ionization energies, Mendeleev numbers). These sources are not bundled but the descriptor values are pre-computed and stored in the dataset file.</w:t>
      </w:r>
    </w:p>
    <w:p>
      <w:pPr>
        <w:spacing w:after="60" w:before="180"/>
      </w:pPr>
      <w:r>
        <w:rPr>
          <w:rFonts w:ascii="Arial" w:cs="Arial" w:eastAsia="Arial" w:hAnsi="Arial"/>
          <w:b/>
          <w:bCs/>
          <w:i/>
          <w:iCs/>
          <w:color w:val="0B1A2E"/>
          <w:sz w:val="22"/>
          <w:szCs w:val="22"/>
        </w:rPr>
        <w:t xml:space="preserve">Does the dataset contain data that might be considered confidential?</w:t>
      </w:r>
    </w:p>
    <w:p>
      <w:pPr>
        <w:spacing w:after="140" w:before="0"/>
        <w:ind w:left="360"/>
      </w:pPr>
      <w:r>
        <w:rPr>
          <w:rFonts w:ascii="Arial" w:cs="Arial" w:eastAsia="Arial" w:hAnsi="Arial"/>
          <w:sz w:val="22"/>
          <w:szCs w:val="22"/>
        </w:rPr>
        <w:t xml:space="preserve">No. The dataset contains only physicochemical descriptors and experimentally published Dq/B values for inorganic materials. No personal data, human subjects data, or confidential information of any kind is included.</w:t>
      </w:r>
    </w:p>
    <w:p>
      <w:pPr>
        <w:spacing w:after="60" w:before="180"/>
      </w:pPr>
      <w:r>
        <w:rPr>
          <w:rFonts w:ascii="Arial" w:cs="Arial" w:eastAsia="Arial" w:hAnsi="Arial"/>
          <w:b/>
          <w:bCs/>
          <w:i/>
          <w:iCs/>
          <w:color w:val="0B1A2E"/>
          <w:sz w:val="22"/>
          <w:szCs w:val="22"/>
        </w:rPr>
        <w:t xml:space="preserve">Does the dataset contain data that, if viewed directly, might be offensive or cause anxiety?</w:t>
      </w:r>
    </w:p>
    <w:p>
      <w:pPr>
        <w:spacing w:after="140" w:before="0"/>
        <w:ind w:left="360"/>
      </w:pPr>
      <w:r>
        <w:rPr>
          <w:rFonts w:ascii="Arial" w:cs="Arial" w:eastAsia="Arial" w:hAnsi="Arial"/>
          <w:sz w:val="22"/>
          <w:szCs w:val="22"/>
        </w:rPr>
        <w:t xml:space="preserve">No.</w:t>
      </w:r>
    </w:p>
    <w:p>
      <w:pPr>
        <w:pBdr>
          <w:left w:val="thick" w:color="0B1A2E" w:sz="18" w:space="8"/>
        </w:pBdr>
        <w:spacing w:after="120" w:before="320"/>
      </w:pPr>
      <w:r>
        <w:rPr>
          <w:rFonts w:ascii="Arial" w:cs="Arial" w:eastAsia="Arial" w:hAnsi="Arial"/>
          <w:b/>
          <w:bCs/>
          <w:color w:val="0B1A2E"/>
          <w:sz w:val="28"/>
          <w:szCs w:val="28"/>
        </w:rPr>
        <w:t xml:space="preserve">3. Collection Process</w:t>
      </w:r>
    </w:p>
    <w:p>
      <w:pPr>
        <w:spacing w:after="60" w:before="180"/>
      </w:pPr>
      <w:r>
        <w:rPr>
          <w:rFonts w:ascii="Arial" w:cs="Arial" w:eastAsia="Arial" w:hAnsi="Arial"/>
          <w:b/>
          <w:bCs/>
          <w:i/>
          <w:iCs/>
          <w:color w:val="0B1A2E"/>
          <w:sz w:val="22"/>
          <w:szCs w:val="22"/>
        </w:rPr>
        <w:t xml:space="preserve">How was the data associated with each instance acquired?</w:t>
      </w:r>
    </w:p>
    <w:p>
      <w:pPr>
        <w:spacing w:after="140" w:before="0"/>
        <w:ind w:left="360"/>
      </w:pPr>
      <w:r>
        <w:rPr>
          <w:rFonts w:ascii="Arial" w:cs="Arial" w:eastAsia="Arial" w:hAnsi="Arial"/>
          <w:sz w:val="22"/>
          <w:szCs w:val="22"/>
        </w:rPr>
        <w:t xml:space="preserve">The dataset was assembled through an exhaustive survey of the peer-reviewed literature in the domain of Cr3+-substituted oxide-based phosphors, complemented by established materials databases including the Inorganic Crystal Structure Database (ICSD) and the Materials Project (MP). Data entries were carefully screened for experimental reliability, structural consistency, and completeness of the relevant property descriptors.
Structural descriptors encoding the key geometric and bonding characteristics of the Cr3+ octahedral coordination environment were systematically calculated for each host material using the VESTA crystallographic visualization software, based on crystallographic information files (CIF) retrieved from publicly available crystallographic databases.
The target variable, the Dq/B ratio, is a critical yet non-trivial optical parameter whose reliable determination requires rigorous and careful analysis of experimentally reported spectroscopic data. Given the considerable complexity associated with the reliable extraction of Dq/B values from experimental optical spectra, this parameter constitutes the most demanding and labor-intensive component of the assembled dataset, rendering it among the most challenging descriptors to compile consistently across a large and compositionally diverse set of compounds.
The initial feature space was subsequently condensed to 15 descriptors by applying a combination of correlation analysis and domain knowledge-guided selection, retaining only physically meaningful descriptors with established relevance to the target property. This feature engineering step aimed to capture the key relationships between compositional, structural, and optical characteristics of the Cr3+ octahedral coordination environment. The descriptor importance ranking, as determined by CatBoost feature importance analysis, is documented in Table S2 of the companion report, with avg_Mulliken EN (14.32%), avg_First ionization energy (10.83%), and avg_Metallic valence (10.28%) identified as the three most informative features.</w:t>
      </w:r>
    </w:p>
    <w:p>
      <w:pPr>
        <w:spacing w:after="60" w:before="180"/>
      </w:pPr>
      <w:r>
        <w:rPr>
          <w:rFonts w:ascii="Arial" w:cs="Arial" w:eastAsia="Arial" w:hAnsi="Arial"/>
          <w:b/>
          <w:bCs/>
          <w:i/>
          <w:iCs/>
          <w:color w:val="0B1A2E"/>
          <w:sz w:val="22"/>
          <w:szCs w:val="22"/>
        </w:rPr>
        <w:t xml:space="preserve">Over what timeframe was the data collected?</w:t>
      </w:r>
    </w:p>
    <w:p>
      <w:pPr>
        <w:spacing w:after="140" w:before="0"/>
        <w:ind w:left="360"/>
      </w:pPr>
      <w:r>
        <w:rPr>
          <w:rFonts w:ascii="Arial" w:cs="Arial" w:eastAsia="Arial" w:hAnsi="Arial"/>
          <w:sz w:val="22"/>
          <w:szCs w:val="22"/>
        </w:rPr>
        <w:t xml:space="preserve">The dataset was assembled during the period 2024-2026 as part of the doctoral research of Snezana Djurkovic at INN Vinca. The underlying experimental measurements in the literature span from approximately 1960 to 2025, covering the full history of crystal field spectroscopy of Cr3+-doped materials. Note: an earlier CatBoost model was trained on a subset of 174 compounds; the present dataset (v1.0, 243 instances) represents the extended version used for GP model training.</w:t>
      </w:r>
    </w:p>
    <w:p>
      <w:pPr>
        <w:spacing w:after="60" w:before="180"/>
      </w:pPr>
      <w:r>
        <w:rPr>
          <w:rFonts w:ascii="Arial" w:cs="Arial" w:eastAsia="Arial" w:hAnsi="Arial"/>
          <w:b/>
          <w:bCs/>
          <w:i/>
          <w:iCs/>
          <w:color w:val="0B1A2E"/>
          <w:sz w:val="22"/>
          <w:szCs w:val="22"/>
        </w:rPr>
        <w:t xml:space="preserve">Were any ethical review processes conducted?</w:t>
      </w:r>
    </w:p>
    <w:p>
      <w:pPr>
        <w:spacing w:after="140" w:before="0"/>
        <w:ind w:left="360"/>
      </w:pPr>
      <w:r>
        <w:rPr>
          <w:rFonts w:ascii="Arial" w:cs="Arial" w:eastAsia="Arial" w:hAnsi="Arial"/>
          <w:sz w:val="22"/>
          <w:szCs w:val="22"/>
        </w:rPr>
        <w:t xml:space="preserve">No ethical review was required. The dataset contains only physicochemical data from published scientific literature. No human subjects, animals, or sensitive data are involved.</w:t>
      </w:r>
    </w:p>
    <w:p>
      <w:pPr>
        <w:spacing w:after="60" w:before="180"/>
      </w:pPr>
      <w:r>
        <w:rPr>
          <w:rFonts w:ascii="Arial" w:cs="Arial" w:eastAsia="Arial" w:hAnsi="Arial"/>
          <w:b/>
          <w:bCs/>
          <w:i/>
          <w:iCs/>
          <w:color w:val="0B1A2E"/>
          <w:sz w:val="22"/>
          <w:szCs w:val="22"/>
        </w:rPr>
        <w:t xml:space="preserve">Did you collect the data from the individuals in question directly?</w:t>
      </w:r>
    </w:p>
    <w:p>
      <w:pPr>
        <w:spacing w:after="140" w:before="0"/>
        <w:ind w:left="360"/>
      </w:pPr>
      <w:r>
        <w:rPr>
          <w:rFonts w:ascii="Arial" w:cs="Arial" w:eastAsia="Arial" w:hAnsi="Arial"/>
          <w:sz w:val="22"/>
          <w:szCs w:val="22"/>
        </w:rPr>
        <w:t xml:space="preserve">Not applicable. The dataset does not relate to individuals or persons.</w:t>
      </w:r>
    </w:p>
    <w:p>
      <w:pPr>
        <w:pBdr>
          <w:left w:val="thick" w:color="0B1A2E" w:sz="18" w:space="8"/>
        </w:pBdr>
        <w:spacing w:after="120" w:before="320"/>
      </w:pPr>
      <w:r>
        <w:rPr>
          <w:rFonts w:ascii="Arial" w:cs="Arial" w:eastAsia="Arial" w:hAnsi="Arial"/>
          <w:b/>
          <w:bCs/>
          <w:color w:val="0B1A2E"/>
          <w:sz w:val="28"/>
          <w:szCs w:val="28"/>
        </w:rPr>
        <w:t xml:space="preserve">4. Preprocessing, Cleaning, and Labeling</w:t>
      </w:r>
    </w:p>
    <w:p>
      <w:pPr>
        <w:spacing w:after="60" w:before="180"/>
      </w:pPr>
      <w:r>
        <w:rPr>
          <w:rFonts w:ascii="Arial" w:cs="Arial" w:eastAsia="Arial" w:hAnsi="Arial"/>
          <w:b/>
          <w:bCs/>
          <w:i/>
          <w:iCs/>
          <w:color w:val="0B1A2E"/>
          <w:sz w:val="22"/>
          <w:szCs w:val="22"/>
        </w:rPr>
        <w:t xml:space="preserve">Was any preprocessing/cleaning/labeling of the data done?</w:t>
      </w:r>
    </w:p>
    <w:p>
      <w:pPr>
        <w:spacing w:after="140" w:before="0"/>
        <w:ind w:left="360"/>
      </w:pPr>
      <w:r>
        <w:rPr>
          <w:rFonts w:ascii="Arial" w:cs="Arial" w:eastAsia="Arial" w:hAnsi="Arial"/>
          <w:sz w:val="22"/>
          <w:szCs w:val="22"/>
        </w:rPr>
        <w:t xml:space="preserve">Yes. The following preprocessing steps were applied:
  (1) Descriptor computation: atomic and structural descriptors were computed from raw crystallographic and atomic data and stored as pre-computed features in the dataset file.
  (2) Lattice angle β: for crystal structures with cubic, tetragonal, orthorhombic, or hexagonal symmetry, β is 90° by definition and was set accordingly. For monoclinic structures, β was taken from the reported crystallographic parameters.
  (3) Dopant concentration: Cr³⁺ concentration X was recorded as the molar fraction from the synthesis report; where not explicitly stated, X was set to a nominal small value (0.001) consistent with dilute-doping approximation.
  (4) Formula standardization: chemical formulae were normalized to consistent notation (e.g., spaces removed from formula strings).
  (5) Hold-out validation partitioning: prior to any model training, 36 compounds were withheld from the training set — one representative per major oxide structure family (SGR group), selected as the compound closest to the centre of the NIR target window (Dq/B = 2.5) within each family. The remaining 207 compounds constitute the training set. This partitioning was performed once, before hyperparameter search or model fitting, to prevent data leakage.
  (6) Model-level scaling: RobustScaler is applied to all 15 descriptors at training time (within the Python script), not stored in the dataset file itself. Although CatBoost, as a tree-based ensemble, is theoretically invariant to monotone feature transformations and does not require scaling for predictive performance, RobustScaler is retained for two practical reasons: (i) it normalizes the extreme dynamic range of descriptors such as 1/r² (range: 8.9–40,000) and volume-based features, improving numerical stability and the interpretability of feature importance scores; and (ii) it ensures compatibility with any distance-based or gradient-based post-hoc analysis tools. Empirical cross-validation confirms that the scaler has negligible effect on predictive accuracy (ΔR² &lt; 0.003), consistent with theoretical expectation.</w:t>
      </w:r>
    </w:p>
    <w:p>
      <w:pPr>
        <w:spacing w:after="60" w:before="180"/>
      </w:pPr>
      <w:r>
        <w:rPr>
          <w:rFonts w:ascii="Arial" w:cs="Arial" w:eastAsia="Arial" w:hAnsi="Arial"/>
          <w:b/>
          <w:bCs/>
          <w:i/>
          <w:iCs/>
          <w:color w:val="0B1A2E"/>
          <w:sz w:val="22"/>
          <w:szCs w:val="22"/>
        </w:rPr>
        <w:t xml:space="preserve">Was the 'raw' data saved in addition to the preprocessed/cleaned/labeled data?</w:t>
      </w:r>
    </w:p>
    <w:p>
      <w:pPr>
        <w:spacing w:after="140" w:before="0"/>
        <w:ind w:left="360"/>
      </w:pPr>
      <w:r>
        <w:rPr>
          <w:rFonts w:ascii="Arial" w:cs="Arial" w:eastAsia="Arial" w:hAnsi="Arial"/>
          <w:sz w:val="22"/>
          <w:szCs w:val="22"/>
        </w:rPr>
        <w:t xml:space="preserve">The dataset file contains pre-computed descriptor values. Original literature sources (journal articles) from which Dq/B values and crystallographic parameters were extracted are documented in the source references associated with the PhD project. Raw spectral data are not included in this dataset.</w:t>
      </w:r>
    </w:p>
    <w:p>
      <w:pPr>
        <w:spacing w:after="60" w:before="180"/>
      </w:pPr>
      <w:r>
        <w:rPr>
          <w:rFonts w:ascii="Arial" w:cs="Arial" w:eastAsia="Arial" w:hAnsi="Arial"/>
          <w:b/>
          <w:bCs/>
          <w:i/>
          <w:iCs/>
          <w:color w:val="0B1A2E"/>
          <w:sz w:val="22"/>
          <w:szCs w:val="22"/>
        </w:rPr>
        <w:t xml:space="preserve">Is the software used to preprocess/clean/label the instances available?</w:t>
      </w:r>
    </w:p>
    <w:p>
      <w:pPr>
        <w:spacing w:after="140" w:before="0"/>
        <w:ind w:left="360"/>
      </w:pPr>
      <w:r>
        <w:rPr>
          <w:rFonts w:ascii="Arial" w:cs="Arial" w:eastAsia="Arial" w:hAnsi="Arial"/>
          <w:sz w:val="22"/>
          <w:szCs w:val="22"/>
        </w:rPr>
        <w:t xml:space="preserve">Descriptor computation was performed using a combination of Python (NumPy, pandas), VESTA (for crystallographic analysis), and manual extraction. The training and scaling pipeline is fully available in the repository files gp_dqb_prediction_scaled.py (GP model) and dqb_Cr3_CatBoost.py (CatBoost model). scikit-learn (v1.x) with RobustScaler is the preprocessing framework common to both models. The GP model uses GaussianProcessRegressor with Matérn 5/2 ARD kernel; the CatBoost model uses CatBoostRegressor (depth=3, iterations=700, learning_rate=0.1).</w:t>
      </w:r>
    </w:p>
    <w:p>
      <w:pPr>
        <w:pBdr>
          <w:left w:val="thick" w:color="0B1A2E" w:sz="18" w:space="8"/>
        </w:pBdr>
        <w:spacing w:after="120" w:before="320"/>
      </w:pPr>
      <w:r>
        <w:rPr>
          <w:rFonts w:ascii="Arial" w:cs="Arial" w:eastAsia="Arial" w:hAnsi="Arial"/>
          <w:b/>
          <w:bCs/>
          <w:color w:val="0B1A2E"/>
          <w:sz w:val="28"/>
          <w:szCs w:val="28"/>
        </w:rPr>
        <w:t xml:space="preserve">5. Uses</w:t>
      </w:r>
    </w:p>
    <w:p>
      <w:pPr>
        <w:spacing w:after="60" w:before="180"/>
      </w:pPr>
      <w:r>
        <w:rPr>
          <w:rFonts w:ascii="Arial" w:cs="Arial" w:eastAsia="Arial" w:hAnsi="Arial"/>
          <w:b/>
          <w:bCs/>
          <w:i/>
          <w:iCs/>
          <w:color w:val="0B1A2E"/>
          <w:sz w:val="22"/>
          <w:szCs w:val="22"/>
        </w:rPr>
        <w:t xml:space="preserve">Has the dataset been used for any tasks already?</w:t>
      </w:r>
    </w:p>
    <w:p>
      <w:pPr>
        <w:spacing w:after="140" w:before="0"/>
        <w:ind w:left="360"/>
      </w:pPr>
      <w:r>
        <w:rPr>
          <w:rFonts w:ascii="Arial" w:cs="Arial" w:eastAsia="Arial" w:hAnsi="Arial"/>
          <w:sz w:val="22"/>
          <w:szCs w:val="22"/>
        </w:rPr>
        <w:t xml:space="preserve">Yes. The dataset has been used as the primary training set for two machine learning expert systems:
  (1) Gaussian Process Regression expert system (KirkaSSS/Cr3-GP-Expert-System): GPR model with Matérn 5/2 ARD kernel for Dq/B prediction with uncertainty quantification; 5-fold cross-validation; ARD length-scale analysis for descriptor relevance ranking; Tier 1–4 classification based on predicted Dq/B and posterior uncertainty.
  (2) CatBoost Gradient Boosting expert system (KirkaSSS/phD-AI): CatBoost regression model with hold-out validation strategy (207 training / 36 hold-out compounds); 10×10-fold repeated cross-validation; native feature importance analysis; ensemble uncertainty estimation across 50 model instances; Tier 1–4 classification. Hold-out validation MAE = 0.171, with 30/36 (83%) withheld compounds correctly identified as Tier 1.</w:t>
      </w:r>
    </w:p>
    <w:p>
      <w:pPr>
        <w:spacing w:after="60" w:before="180"/>
      </w:pPr>
      <w:r>
        <w:rPr>
          <w:rFonts w:ascii="Arial" w:cs="Arial" w:eastAsia="Arial" w:hAnsi="Arial"/>
          <w:b/>
          <w:bCs/>
          <w:i/>
          <w:iCs/>
          <w:color w:val="0B1A2E"/>
          <w:sz w:val="22"/>
          <w:szCs w:val="22"/>
        </w:rPr>
        <w:t xml:space="preserve">What (other) tasks could the dataset be used for?</w:t>
      </w:r>
    </w:p>
    <w:p>
      <w:pPr>
        <w:spacing w:after="140" w:before="0"/>
        <w:ind w:left="360"/>
      </w:pPr>
      <w:r>
        <w:rPr>
          <w:rFonts w:ascii="Arial" w:cs="Arial" w:eastAsia="Arial" w:hAnsi="Arial"/>
          <w:sz w:val="22"/>
          <w:szCs w:val="22"/>
        </w:rPr>
        <w:t xml:space="preserve">The dataset is suitable for: training and benchmarking alternative regression models for Dq/B prediction (random forests, neural networks, CatBoost, kernel ridge regression); descriptor importance analysis and feature selection studies in crystal field theory; construction of Tanabe-Sugano-based material design rules; transfer learning for related crystal field parameters (e.g., Racah B, C); comparative studies of Cr³⁺ vs. other 3d dopants in similar host lattices.</w:t>
      </w:r>
    </w:p>
    <w:p>
      <w:pPr>
        <w:spacing w:after="60" w:before="180"/>
      </w:pPr>
      <w:r>
        <w:rPr>
          <w:rFonts w:ascii="Arial" w:cs="Arial" w:eastAsia="Arial" w:hAnsi="Arial"/>
          <w:b/>
          <w:bCs/>
          <w:i/>
          <w:iCs/>
          <w:color w:val="0B1A2E"/>
          <w:sz w:val="22"/>
          <w:szCs w:val="22"/>
        </w:rPr>
        <w:t xml:space="preserve">Is there anything about the composition or collection process that might impact future uses?</w:t>
      </w:r>
    </w:p>
    <w:p>
      <w:pPr>
        <w:spacing w:after="140" w:before="0"/>
        <w:ind w:left="360"/>
      </w:pPr>
      <w:r>
        <w:rPr>
          <w:rFonts w:ascii="Arial" w:cs="Arial" w:eastAsia="Arial" w:hAnsi="Arial"/>
          <w:sz w:val="22"/>
          <w:szCs w:val="22"/>
        </w:rPr>
        <w:t xml:space="preserve">Yes. Several points should be noted:
  (1) Literature bias: the dataset reflects the Cr³⁺ compositions that have been synthesized and spectroscopically characterized in the published literature, which over-represents technologically relevant and easily synthesized structure types (garnets, perovskites, fluorides). Rare or novel structure types are under-represented.
  (2) Target window bias: approximately 63% of instances have Dq/B in the 2.2–2.8 target range, which may cause the model to perform less well at the extremes of the Dq/B distribution.
  (3) Correlated instances: compositional series (solid solutions) introduce correlated data points; random cross-validation splits may overestimate generalization performance.
  (4) Descriptor completeness: descriptor values for the 1/r² feature span an extreme range due to mixed coordination environments; users should apply robust scaling.</w:t>
      </w:r>
    </w:p>
    <w:p>
      <w:pPr>
        <w:spacing w:after="60" w:before="180"/>
      </w:pPr>
      <w:r>
        <w:rPr>
          <w:rFonts w:ascii="Arial" w:cs="Arial" w:eastAsia="Arial" w:hAnsi="Arial"/>
          <w:b/>
          <w:bCs/>
          <w:i/>
          <w:iCs/>
          <w:color w:val="0B1A2E"/>
          <w:sz w:val="22"/>
          <w:szCs w:val="22"/>
        </w:rPr>
        <w:t xml:space="preserve">Are there tasks for which the dataset should not be used?</w:t>
      </w:r>
    </w:p>
    <w:p>
      <w:pPr>
        <w:spacing w:after="140" w:before="0"/>
        <w:ind w:left="360"/>
      </w:pPr>
      <w:r>
        <w:rPr>
          <w:rFonts w:ascii="Arial" w:cs="Arial" w:eastAsia="Arial" w:hAnsi="Arial"/>
          <w:sz w:val="22"/>
          <w:szCs w:val="22"/>
        </w:rPr>
        <w:t xml:space="preserve">This dataset should not be used for: (1) prediction of Dq/B for dopants other than Cr³⁺ without retraining; (2) prediction of optical properties beyond Dq/B (e.g., quantum yield, thermal quenching) which are not encoded in the descriptors; (3) training models intended for materials with compositions far outside the represented chemical space (e.g., sulfides, nitrides) without validation.</w:t>
      </w:r>
    </w:p>
    <w:p>
      <w:pPr>
        <w:pBdr>
          <w:left w:val="thick" w:color="0B1A2E" w:sz="18" w:space="8"/>
        </w:pBdr>
        <w:spacing w:after="120" w:before="320"/>
      </w:pPr>
      <w:r>
        <w:rPr>
          <w:rFonts w:ascii="Arial" w:cs="Arial" w:eastAsia="Arial" w:hAnsi="Arial"/>
          <w:b/>
          <w:bCs/>
          <w:color w:val="0B1A2E"/>
          <w:sz w:val="28"/>
          <w:szCs w:val="28"/>
        </w:rPr>
        <w:t xml:space="preserve">6. Distribution</w:t>
      </w:r>
    </w:p>
    <w:p>
      <w:pPr>
        <w:spacing w:after="60" w:before="180"/>
      </w:pPr>
      <w:r>
        <w:rPr>
          <w:rFonts w:ascii="Arial" w:cs="Arial" w:eastAsia="Arial" w:hAnsi="Arial"/>
          <w:b/>
          <w:bCs/>
          <w:i/>
          <w:iCs/>
          <w:color w:val="0B1A2E"/>
          <w:sz w:val="22"/>
          <w:szCs w:val="22"/>
        </w:rPr>
        <w:t xml:space="preserve">Will the dataset be distributed to third parties?</w:t>
      </w:r>
    </w:p>
    <w:p>
      <w:pPr>
        <w:spacing w:after="140" w:before="0"/>
        <w:ind w:left="360"/>
      </w:pPr>
      <w:r>
        <w:rPr>
          <w:rFonts w:ascii="Arial" w:cs="Arial" w:eastAsia="Arial" w:hAnsi="Arial"/>
          <w:sz w:val="22"/>
          <w:szCs w:val="22"/>
        </w:rPr>
        <w:t xml:space="preserve">Yes. The dataset is publicly available as part of two open-access repositories on GitHub:
  (1) https://github.com/KirkaSSS/Cr3-GP-Expert-System (GP expert system)
  (2) https://github.com/KirkaSSS/phD-AI (CatBoost expert system)
No access restrictions are imposed.</w:t>
      </w:r>
    </w:p>
    <w:p>
      <w:pPr>
        <w:spacing w:after="60" w:before="180"/>
      </w:pPr>
      <w:r>
        <w:rPr>
          <w:rFonts w:ascii="Arial" w:cs="Arial" w:eastAsia="Arial" w:hAnsi="Arial"/>
          <w:b/>
          <w:bCs/>
          <w:i/>
          <w:iCs/>
          <w:color w:val="0B1A2E"/>
          <w:sz w:val="22"/>
          <w:szCs w:val="22"/>
        </w:rPr>
        <w:t xml:space="preserve">How will the dataset be distributed?</w:t>
      </w:r>
    </w:p>
    <w:p>
      <w:pPr>
        <w:spacing w:after="140" w:before="0"/>
        <w:ind w:left="360"/>
      </w:pPr>
      <w:r>
        <w:rPr>
          <w:rFonts w:ascii="Arial" w:cs="Arial" w:eastAsia="Arial" w:hAnsi="Arial"/>
          <w:sz w:val="22"/>
          <w:szCs w:val="22"/>
        </w:rPr>
        <w:t xml:space="preserve">The dataset is distributed as an Excel file (Cr3_dqb_training_set.xlsx) directly in both GitHub repositories. A companion prediction candidate file (Prošireni To predict.xlsx) is also available in the same repositories.</w:t>
      </w:r>
    </w:p>
    <w:p>
      <w:pPr>
        <w:spacing w:after="60" w:before="180"/>
      </w:pPr>
      <w:r>
        <w:rPr>
          <w:rFonts w:ascii="Arial" w:cs="Arial" w:eastAsia="Arial" w:hAnsi="Arial"/>
          <w:b/>
          <w:bCs/>
          <w:i/>
          <w:iCs/>
          <w:color w:val="0B1A2E"/>
          <w:sz w:val="22"/>
          <w:szCs w:val="22"/>
        </w:rPr>
        <w:t xml:space="preserve">When will the dataset be distributed?</w:t>
      </w:r>
    </w:p>
    <w:p>
      <w:pPr>
        <w:spacing w:after="140" w:before="0"/>
        <w:ind w:left="360"/>
      </w:pPr>
      <w:r>
        <w:rPr>
          <w:rFonts w:ascii="Arial" w:cs="Arial" w:eastAsia="Arial" w:hAnsi="Arial"/>
          <w:sz w:val="22"/>
          <w:szCs w:val="22"/>
        </w:rPr>
        <w:t xml:space="preserve">The dataset is currently publicly available (June 2026). A citable DOI will be assigned upon formal publication of the accompanying paper.</w:t>
      </w:r>
    </w:p>
    <w:p>
      <w:pPr>
        <w:spacing w:after="60" w:before="180"/>
      </w:pPr>
      <w:r>
        <w:rPr>
          <w:rFonts w:ascii="Arial" w:cs="Arial" w:eastAsia="Arial" w:hAnsi="Arial"/>
          <w:b/>
          <w:bCs/>
          <w:i/>
          <w:iCs/>
          <w:color w:val="0B1A2E"/>
          <w:sz w:val="22"/>
          <w:szCs w:val="22"/>
        </w:rPr>
        <w:t xml:space="preserve">Will the dataset be distributed under a copyright or other intellectual property (IP) license?</w:t>
      </w:r>
    </w:p>
    <w:p>
      <w:pPr>
        <w:spacing w:after="140" w:before="0"/>
        <w:ind w:left="360"/>
      </w:pPr>
      <w:r>
        <w:rPr>
          <w:rFonts w:ascii="Arial" w:cs="Arial" w:eastAsia="Arial" w:hAnsi="Arial"/>
          <w:sz w:val="22"/>
          <w:szCs w:val="22"/>
        </w:rPr>
        <w:t xml:space="preserve">The dataset and all companion code are distributed under the MIT License, allowing free use, modification, and redistribution with attribution. Attribution to the authors (Snežana Đurković, Miroslav Dramićanin, OMAS Group, INN Vinča) is requested in any derivative work or publication.</w:t>
      </w:r>
    </w:p>
    <w:p>
      <w:pPr>
        <w:spacing w:after="60" w:before="180"/>
      </w:pPr>
      <w:r>
        <w:rPr>
          <w:rFonts w:ascii="Arial" w:cs="Arial" w:eastAsia="Arial" w:hAnsi="Arial"/>
          <w:b/>
          <w:bCs/>
          <w:i/>
          <w:iCs/>
          <w:color w:val="0B1A2E"/>
          <w:sz w:val="22"/>
          <w:szCs w:val="22"/>
        </w:rPr>
        <w:t xml:space="preserve">Have any third parties imposed IP-based or other restrictions on the data?</w:t>
      </w:r>
    </w:p>
    <w:p>
      <w:pPr>
        <w:spacing w:after="140" w:before="0"/>
        <w:ind w:left="360"/>
      </w:pPr>
      <w:r>
        <w:rPr>
          <w:rFonts w:ascii="Arial" w:cs="Arial" w:eastAsia="Arial" w:hAnsi="Arial"/>
          <w:sz w:val="22"/>
          <w:szCs w:val="22"/>
        </w:rPr>
        <w:t xml:space="preserve">No. The experimental Dq/B values and crystallographic data were extracted from publicly available peer-reviewed literature. No proprietary or licensed database content is reproduced verbatim in the dataset.</w:t>
      </w:r>
    </w:p>
    <w:p>
      <w:pPr>
        <w:pBdr>
          <w:left w:val="thick" w:color="0B1A2E" w:sz="18" w:space="8"/>
        </w:pBdr>
        <w:spacing w:after="120" w:before="320"/>
      </w:pPr>
      <w:r>
        <w:rPr>
          <w:rFonts w:ascii="Arial" w:cs="Arial" w:eastAsia="Arial" w:hAnsi="Arial"/>
          <w:b/>
          <w:bCs/>
          <w:color w:val="0B1A2E"/>
          <w:sz w:val="28"/>
          <w:szCs w:val="28"/>
        </w:rPr>
        <w:t xml:space="preserve">7. Maintenance</w:t>
      </w:r>
    </w:p>
    <w:p>
      <w:pPr>
        <w:spacing w:after="60" w:before="180"/>
      </w:pPr>
      <w:r>
        <w:rPr>
          <w:rFonts w:ascii="Arial" w:cs="Arial" w:eastAsia="Arial" w:hAnsi="Arial"/>
          <w:b/>
          <w:bCs/>
          <w:i/>
          <w:iCs/>
          <w:color w:val="0B1A2E"/>
          <w:sz w:val="22"/>
          <w:szCs w:val="22"/>
        </w:rPr>
        <w:t xml:space="preserve">Who is supporting/hosting/maintaining the dataset?</w:t>
      </w:r>
    </w:p>
    <w:p>
      <w:pPr>
        <w:spacing w:after="140" w:before="0"/>
        <w:ind w:left="360"/>
      </w:pPr>
      <w:r>
        <w:rPr>
          <w:rFonts w:ascii="Arial" w:cs="Arial" w:eastAsia="Arial" w:hAnsi="Arial"/>
          <w:sz w:val="22"/>
          <w:szCs w:val="22"/>
        </w:rPr>
        <w:t xml:space="preserve">The dataset is maintained by Snežana Đurković, OMAS Group, Institute of Nuclear Sciences "Vinča", University of Belgrade. GitHub repository: KirkaSSS/Cr3-GP-Expert-System.</w:t>
      </w:r>
    </w:p>
    <w:p>
      <w:pPr>
        <w:spacing w:after="60" w:before="180"/>
      </w:pPr>
      <w:r>
        <w:rPr>
          <w:rFonts w:ascii="Arial" w:cs="Arial" w:eastAsia="Arial" w:hAnsi="Arial"/>
          <w:b/>
          <w:bCs/>
          <w:i/>
          <w:iCs/>
          <w:color w:val="0B1A2E"/>
          <w:sz w:val="22"/>
          <w:szCs w:val="22"/>
        </w:rPr>
        <w:t xml:space="preserve">How can the owner/curator/manager of the dataset be contacted?</w:t>
      </w:r>
    </w:p>
    <w:p>
      <w:pPr>
        <w:spacing w:after="140" w:before="0"/>
        <w:ind w:left="360"/>
      </w:pPr>
      <w:r>
        <w:rPr>
          <w:rFonts w:ascii="Arial" w:cs="Arial" w:eastAsia="Arial" w:hAnsi="Arial"/>
          <w:sz w:val="22"/>
          <w:szCs w:val="22"/>
        </w:rPr>
        <w:t xml:space="preserve">Via the GitHub repository issue tracker, through the OMAS Group at the Institute of Nuclear Sciences "Vinca", Belgrade, Serbia, via the author's homepage: http://balkanskibiznissasnezanom.net/, or via ORCID: https://orcid.org/0009-0007-6638-0682</w:t>
      </w:r>
    </w:p>
    <w:p>
      <w:pPr>
        <w:spacing w:after="60" w:before="180"/>
      </w:pPr>
      <w:r>
        <w:rPr>
          <w:rFonts w:ascii="Arial" w:cs="Arial" w:eastAsia="Arial" w:hAnsi="Arial"/>
          <w:b/>
          <w:bCs/>
          <w:i/>
          <w:iCs/>
          <w:color w:val="0B1A2E"/>
          <w:sz w:val="22"/>
          <w:szCs w:val="22"/>
        </w:rPr>
        <w:t xml:space="preserve">Will the dataset be updated?</w:t>
      </w:r>
    </w:p>
    <w:p>
      <w:pPr>
        <w:spacing w:after="140" w:before="0"/>
        <w:ind w:left="360"/>
      </w:pPr>
      <w:r>
        <w:rPr>
          <w:rFonts w:ascii="Arial" w:cs="Arial" w:eastAsia="Arial" w:hAnsi="Arial"/>
          <w:sz w:val="22"/>
          <w:szCs w:val="22"/>
        </w:rPr>
        <w:t xml:space="preserve">Yes. The dataset is expected to be updated as new experimentally characterized Cr³⁺ phosphor compositions are reported in the literature. Version numbers will be incremented (v1.0, v1.1, etc.) and change logs documented in the repository README.</w:t>
      </w:r>
    </w:p>
    <w:p>
      <w:pPr>
        <w:spacing w:after="60" w:before="180"/>
      </w:pPr>
      <w:r>
        <w:rPr>
          <w:rFonts w:ascii="Arial" w:cs="Arial" w:eastAsia="Arial" w:hAnsi="Arial"/>
          <w:b/>
          <w:bCs/>
          <w:i/>
          <w:iCs/>
          <w:color w:val="0B1A2E"/>
          <w:sz w:val="22"/>
          <w:szCs w:val="22"/>
        </w:rPr>
        <w:t xml:space="preserve">If the dataset relates to people, are there applicable limits on the retention of the data?</w:t>
      </w:r>
    </w:p>
    <w:p>
      <w:pPr>
        <w:spacing w:after="140" w:before="0"/>
        <w:ind w:left="360"/>
      </w:pPr>
      <w:r>
        <w:rPr>
          <w:rFonts w:ascii="Arial" w:cs="Arial" w:eastAsia="Arial" w:hAnsi="Arial"/>
          <w:sz w:val="22"/>
          <w:szCs w:val="22"/>
        </w:rPr>
        <w:t xml:space="preserve">Not applicable. The dataset contains no personal data.</w:t>
      </w:r>
    </w:p>
    <w:p>
      <w:pPr>
        <w:spacing w:after="60" w:before="180"/>
      </w:pPr>
      <w:r>
        <w:rPr>
          <w:rFonts w:ascii="Arial" w:cs="Arial" w:eastAsia="Arial" w:hAnsi="Arial"/>
          <w:b/>
          <w:bCs/>
          <w:i/>
          <w:iCs/>
          <w:color w:val="0B1A2E"/>
          <w:sz w:val="22"/>
          <w:szCs w:val="22"/>
        </w:rPr>
        <w:t xml:space="preserve">Will older versions of the dataset continue to be supported/hosted/maintained?</w:t>
      </w:r>
    </w:p>
    <w:p>
      <w:pPr>
        <w:spacing w:after="140" w:before="0"/>
        <w:ind w:left="360"/>
      </w:pPr>
      <w:r>
        <w:rPr>
          <w:rFonts w:ascii="Arial" w:cs="Arial" w:eastAsia="Arial" w:hAnsi="Arial"/>
          <w:sz w:val="22"/>
          <w:szCs w:val="22"/>
        </w:rPr>
        <w:t xml:space="preserve">Older versions will be archived via GitHub releases and tagged commits to ensure reproducibility of published results.</w:t>
      </w:r>
    </w:p>
    <w:p>
      <w:pPr>
        <w:spacing w:after="60" w:before="180"/>
      </w:pPr>
      <w:r>
        <w:rPr>
          <w:rFonts w:ascii="Arial" w:cs="Arial" w:eastAsia="Arial" w:hAnsi="Arial"/>
          <w:b/>
          <w:bCs/>
          <w:i/>
          <w:iCs/>
          <w:color w:val="0B1A2E"/>
          <w:sz w:val="22"/>
          <w:szCs w:val="22"/>
        </w:rPr>
        <w:t xml:space="preserve">If others want to extend/augment/build on the dataset, is there a mechanism for them to do so?</w:t>
      </w:r>
    </w:p>
    <w:p>
      <w:pPr>
        <w:spacing w:after="140" w:before="0"/>
        <w:ind w:left="360"/>
      </w:pPr>
      <w:r>
        <w:rPr>
          <w:rFonts w:ascii="Arial" w:cs="Arial" w:eastAsia="Arial" w:hAnsi="Arial"/>
          <w:sz w:val="22"/>
          <w:szCs w:val="22"/>
        </w:rPr>
        <w:t xml:space="preserve">Yes. Contributions via pull requests to the GitHub repository are welcome. Contributors should ensure that new instances include all 15 descriptor values, a verified experimental Dq/B value with a literature citation, and the host formula in the standard notation used in the dataset. The repository README documents the required file format.</w:t>
      </w:r>
    </w:p>
    <w:p>
      <w:pPr>
        <w:pBdr>
          <w:left w:val="thick" w:color="0B1A2E" w:sz="18" w:space="8"/>
        </w:pBdr>
        <w:spacing w:after="120" w:before="320"/>
      </w:pPr>
      <w:r>
        <w:rPr>
          <w:rFonts w:ascii="Arial" w:cs="Arial" w:eastAsia="Arial" w:hAnsi="Arial"/>
          <w:b/>
          <w:bCs/>
          <w:color w:val="0B1A2E"/>
          <w:sz w:val="28"/>
          <w:szCs w:val="28"/>
        </w:rPr>
        <w:t xml:space="preserve">8. Tier Classification Scheme</w:t>
      </w:r>
    </w:p>
    <w:p>
      <w:pPr>
        <w:spacing w:after="120" w:before="0"/>
        <w:ind w:left="360"/>
      </w:pPr>
      <w:r>
        <w:rPr>
          <w:rFonts w:ascii="Arial" w:cs="Arial" w:eastAsia="Arial" w:hAnsi="Arial"/>
          <w:sz w:val="22"/>
          <w:szCs w:val="22"/>
        </w:rPr>
        <w:t xml:space="preserve">Predictions generated by both the GP and CatBoost expert systems are classified into four tiers based on predicted Dq/B value and ensemble uncertainty 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0B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860"/>
            <w:tcBorders>
              <w:top w:val="single" w:color="CCCCCC" w:sz="1"/>
              <w:left w:val="single" w:color="CCCCCC" w:sz="1"/>
              <w:bottom w:val="single" w:color="CCCCCC" w:sz="1"/>
              <w:right w:val="single" w:color="CCCCCC" w:sz="1"/>
            </w:tcBorders>
            <w:shd w:fill="0B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0B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 Strong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Dq/B ∈ [2.2, 2.8],  σ &lt; 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 Promising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Dq/B ∈ [2.2, 2.8],  σ &lt; 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 Uncertain</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Dq/B ∈ [2.2, 2.8],  σ ≥ 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3 — Edge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Dq/B within 0.3 of boundary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4 — Out of range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Dq/B outside [1.9, 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Excluded</w:t>
            </w:r>
          </w:p>
        </w:tc>
      </w:tr>
    </w:tbl>
    <w:p>
      <w:pPr>
        <w:spacing w:after="0" w:before="360"/>
      </w:pPr>
    </w:p>
    <w:p>
      <w:pPr>
        <w:pBdr>
          <w:left w:val="thick" w:color="0B1A2E" w:sz="18" w:space="8"/>
        </w:pBdr>
        <w:spacing w:after="120" w:before="320"/>
      </w:pPr>
      <w:r>
        <w:rPr>
          <w:rFonts w:ascii="Arial" w:cs="Arial" w:eastAsia="Arial" w:hAnsi="Arial"/>
          <w:b/>
          <w:bCs/>
          <w:color w:val="0B1A2E"/>
          <w:sz w:val="28"/>
          <w:szCs w:val="28"/>
        </w:rPr>
        <w:t xml:space="preserve">Citation</w:t>
      </w:r>
    </w:p>
    <w:p>
      <w:pPr>
        <w:spacing w:after="60" w:before="60"/>
        <w:ind w:left="360"/>
      </w:pPr>
      <w:r>
        <w:rPr>
          <w:rFonts w:ascii="Arial" w:cs="Arial" w:eastAsia="Arial" w:hAnsi="Arial"/>
          <w:sz w:val="22"/>
          <w:szCs w:val="22"/>
        </w:rPr>
        <w:t xml:space="preserve">If you use this dataset, please cite:</w:t>
      </w:r>
    </w:p>
    <w:p>
      <w:pPr>
        <w:pBdr>
          <w:left w:val="single" w:color="B8860B" w:sz="6" w:space="8"/>
        </w:pBdr>
        <w:spacing w:after="60" w:before="60"/>
        <w:ind w:left="360"/>
      </w:pPr>
      <w:r>
        <w:rPr>
          <w:rFonts w:ascii="Arial" w:cs="Arial" w:eastAsia="Arial" w:hAnsi="Arial"/>
          <w:i/>
          <w:iCs/>
          <w:color w:val="333333"/>
          <w:sz w:val="20"/>
          <w:szCs w:val="20"/>
        </w:rPr>
        <w:t xml:space="preserve">Đurković S., Dramićanin M.D. Gaussian Process Expert System for Cr³⁺ Phosphor Discovery. OMAS Group, Institute of Nuclear Sciences Vinča, University of Belgrade, 2026. Available at: https://github.com/KirkaSSS/Cr3-GP-Expert-System</w:t>
      </w:r>
    </w:p>
    <w:p>
      <w:pPr>
        <w:pBdr>
          <w:left w:val="single" w:color="B8860B" w:sz="6" w:space="8"/>
        </w:pBdr>
        <w:spacing w:after="60" w:before="60"/>
        <w:ind w:left="360"/>
      </w:pPr>
      <w:r>
        <w:rPr>
          <w:rFonts w:ascii="Arial" w:cs="Arial" w:eastAsia="Arial" w:hAnsi="Arial"/>
          <w:i/>
          <w:iCs/>
          <w:color w:val="333333"/>
          <w:sz w:val="20"/>
          <w:szCs w:val="20"/>
        </w:rPr>
        <w:t xml:space="preserve">Đurković S., Dramićanin M.D. CatBoost Expert System for Cr³⁺ Phosphor Discovery. OMAS Group, Institute of Nuclear Sciences Vinča, University of Belgrade, 2026. Available at: https://github.com/KirkaSSS/phD-AI</w:t>
      </w:r>
    </w:p>
    <w:p>
      <w:pPr>
        <w:spacing w:after="60" w:before="60"/>
        <w:ind w:left="360"/>
      </w:pPr>
      <w:r>
        <w:rPr>
          <w:rFonts w:ascii="Arial" w:cs="Arial" w:eastAsia="Arial" w:hAnsi="Arial"/>
          <w:color w:val="555555"/>
          <w:sz w:val="20"/>
          <w:szCs w:val="20"/>
        </w:rPr>
        <w:t xml:space="preserve">This datasheet follows the framework proposed in: Gebru T. et al. Datasheets for Datasets. Communications of the ACM, 64(12), 86–92, 2021. https://doi.org/10.1145/3458723</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Datasheet for Datasets · Cr³⁺ Dq/B Training Set · OMAS Group, INN Vinča, Belgrade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B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2026-06-18T10:38:26.543Z</dcterms:created>
  <dcterms:modified xsi:type="dcterms:W3CDTF">2026-06-18T10:38:26.543Z</dcterms:modified>
</cp:coreProperties>
</file>

<file path=docProps/custom.xml><?xml version="1.0" encoding="utf-8"?>
<Properties xmlns="http://schemas.openxmlformats.org/officeDocument/2006/custom-properties" xmlns:vt="http://schemas.openxmlformats.org/officeDocument/2006/docPropsVTypes"/>
</file>