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模型如下：</w:t>
      </w:r>
    </w:p>
    <w:p w:rsidR="009A0D09" w:rsidRPr="009A0D09" w:rsidRDefault="009A07AD" w:rsidP="00B34EA4">
      <w:pPr>
        <w:ind w:firstLineChars="200" w:firstLine="420"/>
      </w:pPr>
      <m:oMathPara>
        <m:oMath>
          <m:sSub>
            <m:sSubPr>
              <m:ctrlPr>
                <w:rPr>
                  <w:rFonts w:ascii="Cambria Math" w:hAnsi="Cambria Math"/>
                </w:rPr>
              </m:ctrlPr>
            </m:sSubPr>
            <m:e>
              <m:r>
                <w:rPr>
                  <w:rFonts w:ascii="Cambria Math" w:hAnsi="Cambria Math"/>
                </w:rPr>
                <m:t>D</m:t>
              </m:r>
            </m:e>
            <m:sub>
              <m:r>
                <w:rPr>
                  <w:rFonts w:ascii="Cambria Math" w:hAnsi="Cambria Math" w:hint="eastAsia"/>
                </w:rPr>
                <m:t>ab</m:t>
              </m:r>
            </m:sub>
          </m:sSub>
          <m:r>
            <w:rPr>
              <w:rFonts w:ascii="Cambria Math" w:hAnsi="Cambria Math" w:hint="eastAsia"/>
            </w:rPr>
            <m:t>=</m:t>
          </m:r>
          <m:r>
            <w:rPr>
              <w:rFonts w:ascii="Cambria Math" w:hAnsi="Cambria Math"/>
            </w:rPr>
            <m:t>d/(1+</m:t>
          </m:r>
          <m:rad>
            <m:radPr>
              <m:degHide m:val="1"/>
              <m:ctrlPr>
                <w:rPr>
                  <w:rFonts w:ascii="Cambria Math" w:hAnsi="Cambria Math"/>
                  <w:i/>
                </w:rPr>
              </m:ctrlPr>
            </m:radPr>
            <m:deg/>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a</m:t>
                      </m:r>
                    </m:sub>
                  </m:sSub>
                </m:den>
              </m:f>
            </m:e>
          </m:rad>
          <m:r>
            <w:rPr>
              <w:rFonts w:ascii="Cambria Math" w:hAnsi="Cambria Math"/>
            </w:rPr>
            <m:t>)</m:t>
          </m:r>
        </m:oMath>
      </m:oMathPara>
    </w:p>
    <w:p w:rsidR="009A0D09" w:rsidRPr="009A0D09" w:rsidRDefault="009A07AD" w:rsidP="009A0D09">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hint="eastAsia"/>
              </w:rPr>
              <m:t>ab</m:t>
            </m:r>
          </m:sub>
        </m:sSub>
      </m:oMath>
      <w:r>
        <w:rPr>
          <w:rFonts w:hint="eastAsia"/>
        </w:rPr>
        <w:t>是A</w:t>
      </w:r>
      <w:r w:rsidR="00231F03">
        <w:rPr>
          <w:rFonts w:hint="eastAsia"/>
        </w:rPr>
        <w:t>城市</w:t>
      </w:r>
      <w:r>
        <w:rPr>
          <w:rFonts w:hint="eastAsia"/>
        </w:rPr>
        <w:t>的辐射范围（与B相比），</w:t>
      </w:r>
      <m:oMath>
        <m:r>
          <w:rPr>
            <w:rFonts w:ascii="Cambria Math" w:hAnsi="Cambria Math"/>
          </w:rPr>
          <m:t>d</m:t>
        </m:r>
      </m:oMath>
      <w:r w:rsidR="00231F03">
        <w:rPr>
          <w:rFonts w:hint="eastAsia"/>
        </w:rPr>
        <w:t>为</w:t>
      </w:r>
      <w:r w:rsidR="00231F03">
        <w:rPr>
          <w:rFonts w:hint="eastAsia"/>
        </w:rPr>
        <w:t>城市</w:t>
      </w:r>
      <w:r w:rsidR="00231F03">
        <w:rPr>
          <w:rFonts w:hint="eastAsia"/>
        </w:rPr>
        <w:t>A和B之间的距离，</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231F03">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231F03">
        <w:rPr>
          <w:rFonts w:hint="eastAsia"/>
        </w:rPr>
        <w:t>分别是两个城市的人口。</w:t>
      </w:r>
      <w:r w:rsidRPr="009A07AD">
        <w:rPr>
          <w:rFonts w:hint="eastAsia"/>
          <w:color w:val="00B0F0"/>
        </w:rPr>
        <w:t>在计算过程中，为了更加符合实际以及方便计算，我们</w:t>
      </w:r>
      <w:r w:rsidR="00231F03">
        <w:rPr>
          <w:rFonts w:hint="eastAsia"/>
          <w:color w:val="00B0F0"/>
        </w:rPr>
        <w:t>用商圈代替城市，</w:t>
      </w:r>
      <w:r w:rsidRPr="009A07AD">
        <w:rPr>
          <w:rFonts w:hint="eastAsia"/>
          <w:color w:val="00B0F0"/>
        </w:rPr>
        <w:t>时间成本代替距离，商圈所在行政区人口总数进行计算</w:t>
      </w:r>
      <w:r>
        <w:rPr>
          <w:rFonts w:hint="eastAsia"/>
          <w:color w:val="00B0F0"/>
        </w:rPr>
        <w:t>（考虑是否需要说明）</w:t>
      </w:r>
      <w:r w:rsidRPr="009A07AD">
        <w:rPr>
          <w:rFonts w:hint="eastAsia"/>
          <w:color w:val="00B0F0"/>
        </w:rPr>
        <w:t>。</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sidR="00231F03">
        <w:rPr>
          <w:rFonts w:hint="eastAsia"/>
        </w:rPr>
        <w:t>在一定程度上能够确立</w:t>
      </w:r>
      <w:r>
        <w:rPr>
          <w:rFonts w:hint="eastAsia"/>
        </w:rPr>
        <w:t>商圈</w:t>
      </w:r>
      <w:r w:rsidR="00231F03">
        <w:rPr>
          <w:rFonts w:hint="eastAsia"/>
        </w:rPr>
        <w:t>辐射</w:t>
      </w:r>
      <w:r>
        <w:rPr>
          <w:rFonts w:hint="eastAsia"/>
        </w:rPr>
        <w:t>范围，但是由于它考虑的因素过少，导致误差十分大，</w:t>
      </w:r>
      <w:r w:rsidR="00231F03">
        <w:rPr>
          <w:rFonts w:hint="eastAsia"/>
        </w:rPr>
        <w:t>我们使用</w:t>
      </w:r>
      <w:r w:rsidR="00231F03" w:rsidRPr="00231F03">
        <w:rPr>
          <w:rFonts w:hint="eastAsia"/>
          <w:color w:val="FF0000"/>
        </w:rPr>
        <w:t>康帕斯法则</w:t>
      </w:r>
      <w:r w:rsidR="00231F03">
        <w:rPr>
          <w:rFonts w:hint="eastAsia"/>
        </w:rPr>
        <w:t>得到了商圈辐射范围，但是和实际有很大误差，</w:t>
      </w:r>
      <w:r>
        <w:rPr>
          <w:rFonts w:hint="eastAsia"/>
        </w:rPr>
        <w:t>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bookmarkStart w:id="0" w:name="_GoBack"/>
      <w:bookmarkEnd w:id="0"/>
    </w:p>
    <w:p w:rsidR="00FD44D5" w:rsidRPr="00FD44D5" w:rsidRDefault="002B0053"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1" w:name="OLE_LINK1"/>
      <w:bookmarkStart w:id="2"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1"/>
      <w:bookmarkEnd w:id="2"/>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lastRenderedPageBreak/>
        <w:t>商业面积：</w:t>
      </w:r>
      <w:r w:rsidR="0020459A">
        <w:rPr>
          <w:rFonts w:hint="eastAsia"/>
        </w:rPr>
        <w:t>在商圈吸引力研究中，商业面积也具有很高的地位。但是对商业面积的测定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这部分主要分析上班族群体的移动行为特征与聚集地划分。</w:t>
      </w:r>
      <w:r>
        <w:rPr>
          <w:rFonts w:hint="eastAsia"/>
        </w:rPr>
        <w:t>如果一个人的刷卡记录满足：</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个乘客若满足至少在工作日连续四天存在刷卡记录并出现在相同的始发站和目的站，则认为该乘客属于上班族群体。</w:t>
      </w:r>
    </w:p>
    <w:p w:rsidR="002459FC" w:rsidRDefault="002A45AE" w:rsidP="002A45AE">
      <w:pPr>
        <w:ind w:firstLineChars="200" w:firstLine="420"/>
        <w:rPr>
          <w:snapToGrid w:val="0"/>
        </w:rPr>
      </w:pPr>
      <w:r>
        <w:rPr>
          <w:rFonts w:hint="eastAsia"/>
          <w:snapToGrid w:val="0"/>
        </w:rPr>
        <w:t>此外，为了进一步分析上班族的地铁移动行为特征，这部分定义了常规的上班族和非常规的上班族。常规的上班族是指那些一周最多连续工作五天的人；非常规的上班族是指连续工作大于五天的人，通常会在周六或者周日加班。</w:t>
      </w:r>
    </w:p>
    <w:p w:rsidR="002A45AE" w:rsidRPr="002459FC" w:rsidRDefault="002A45AE" w:rsidP="002A45AE">
      <w:pPr>
        <w:ind w:firstLineChars="200" w:firstLine="420"/>
      </w:pPr>
      <w:r>
        <w:rPr>
          <w:rFonts w:hint="eastAsia"/>
        </w:rPr>
        <w:t>之后，通过可视化的形式，我们得到了上班族的居住地点和工作地点（</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），有助于进一步分析该群体的出行行为特征。</w:t>
      </w:r>
    </w:p>
    <w:p w:rsidR="002A45AE" w:rsidRPr="002459FC" w:rsidRDefault="002A45AE" w:rsidP="002A45AE">
      <w:pPr>
        <w:ind w:firstLineChars="200" w:firstLine="420"/>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0A5F6C" w:rsidRPr="000A5F6C" w:rsidRDefault="000A5F6C" w:rsidP="000A5F6C"/>
    <w:p w:rsidR="00D0487B" w:rsidRDefault="00D0487B" w:rsidP="00D0487B">
      <w:pPr>
        <w:pStyle w:val="2"/>
        <w:numPr>
          <w:ilvl w:val="1"/>
          <w:numId w:val="1"/>
        </w:numPr>
      </w:pPr>
      <w:r>
        <w:rPr>
          <w:rFonts w:hint="eastAsia"/>
        </w:rPr>
        <w:lastRenderedPageBreak/>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053" w:rsidRDefault="002B0053" w:rsidP="00392FD6">
      <w:r>
        <w:separator/>
      </w:r>
    </w:p>
  </w:endnote>
  <w:endnote w:type="continuationSeparator" w:id="0">
    <w:p w:rsidR="002B0053" w:rsidRDefault="002B0053"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053" w:rsidRDefault="002B0053" w:rsidP="00392FD6">
      <w:r>
        <w:separator/>
      </w:r>
    </w:p>
  </w:footnote>
  <w:footnote w:type="continuationSeparator" w:id="0">
    <w:p w:rsidR="002B0053" w:rsidRDefault="002B0053"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tDA0NDUxsjAysjBT0lEKTi0uzszPAykwqgUABEBusywAAAA="/>
  </w:docVars>
  <w:rsids>
    <w:rsidRoot w:val="006C7F86"/>
    <w:rsid w:val="000929E4"/>
    <w:rsid w:val="000A5F6C"/>
    <w:rsid w:val="0020459A"/>
    <w:rsid w:val="00231F03"/>
    <w:rsid w:val="002459FC"/>
    <w:rsid w:val="00246675"/>
    <w:rsid w:val="002A45AE"/>
    <w:rsid w:val="002B0053"/>
    <w:rsid w:val="003339E9"/>
    <w:rsid w:val="00392FD6"/>
    <w:rsid w:val="004178DE"/>
    <w:rsid w:val="00504A4C"/>
    <w:rsid w:val="00543C34"/>
    <w:rsid w:val="00641909"/>
    <w:rsid w:val="0066500C"/>
    <w:rsid w:val="00685B03"/>
    <w:rsid w:val="006B0E26"/>
    <w:rsid w:val="006C7F86"/>
    <w:rsid w:val="007D45B9"/>
    <w:rsid w:val="00852A51"/>
    <w:rsid w:val="008D0A7A"/>
    <w:rsid w:val="00946B71"/>
    <w:rsid w:val="009A07AD"/>
    <w:rsid w:val="009A0D09"/>
    <w:rsid w:val="00A27B37"/>
    <w:rsid w:val="00AB1441"/>
    <w:rsid w:val="00AD156C"/>
    <w:rsid w:val="00B23C4D"/>
    <w:rsid w:val="00B34EA4"/>
    <w:rsid w:val="00BB675C"/>
    <w:rsid w:val="00BE6935"/>
    <w:rsid w:val="00C529F5"/>
    <w:rsid w:val="00C91C6D"/>
    <w:rsid w:val="00CE534F"/>
    <w:rsid w:val="00D0487B"/>
    <w:rsid w:val="00D10178"/>
    <w:rsid w:val="00E768D8"/>
    <w:rsid w:val="00EB0E25"/>
    <w:rsid w:val="00F76C23"/>
    <w:rsid w:val="00F858F4"/>
    <w:rsid w:val="00F87288"/>
    <w:rsid w:val="00FD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4BC57"/>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3418-CBD5-47C0-8FF8-48E1CD99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4</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Colin L</cp:lastModifiedBy>
  <cp:revision>12</cp:revision>
  <dcterms:created xsi:type="dcterms:W3CDTF">2017-07-20T00:42:00Z</dcterms:created>
  <dcterms:modified xsi:type="dcterms:W3CDTF">2017-07-23T12:00:00Z</dcterms:modified>
</cp:coreProperties>
</file>