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2D3A" w14:textId="77777777" w:rsidR="00131993" w:rsidRPr="00131993" w:rsidRDefault="00131993" w:rsidP="00131993">
      <w:pPr>
        <w:jc w:val="center"/>
        <w:rPr>
          <w:rFonts w:asciiTheme="majorBidi" w:hAnsiTheme="majorBidi" w:cstheme="majorBidi"/>
          <w:sz w:val="18"/>
          <w:szCs w:val="18"/>
        </w:rPr>
      </w:pPr>
      <w:r w:rsidRPr="00131993">
        <w:rPr>
          <w:rFonts w:asciiTheme="majorBidi" w:hAnsiTheme="majorBidi" w:cstheme="majorBidi"/>
          <w:sz w:val="18"/>
          <w:szCs w:val="18"/>
        </w:rPr>
        <w:t>Министерство науки и высшего образования Российской Федерации</w:t>
      </w:r>
    </w:p>
    <w:p w14:paraId="1A8CCEC8" w14:textId="77777777" w:rsidR="00131993" w:rsidRPr="00131993" w:rsidRDefault="00131993" w:rsidP="00131993">
      <w:pPr>
        <w:jc w:val="center"/>
        <w:rPr>
          <w:rFonts w:asciiTheme="majorBidi" w:hAnsiTheme="majorBidi" w:cstheme="majorBidi"/>
          <w:sz w:val="18"/>
          <w:szCs w:val="18"/>
        </w:rPr>
      </w:pPr>
      <w:r w:rsidRPr="00131993">
        <w:rPr>
          <w:rFonts w:asciiTheme="majorBidi" w:hAnsiTheme="majorBidi" w:cstheme="majorBidi"/>
          <w:sz w:val="18"/>
          <w:szCs w:val="18"/>
        </w:rPr>
        <w:t>Федеральное государственное автономное образовательное учреждение</w:t>
      </w:r>
    </w:p>
    <w:p w14:paraId="26E597CA" w14:textId="77777777" w:rsidR="00131993" w:rsidRPr="00131993" w:rsidRDefault="00131993" w:rsidP="00131993">
      <w:pPr>
        <w:jc w:val="center"/>
        <w:rPr>
          <w:rFonts w:asciiTheme="majorBidi" w:hAnsiTheme="majorBidi" w:cstheme="majorBidi"/>
          <w:sz w:val="18"/>
          <w:szCs w:val="18"/>
        </w:rPr>
      </w:pPr>
      <w:r w:rsidRPr="00131993">
        <w:rPr>
          <w:rFonts w:asciiTheme="majorBidi" w:hAnsiTheme="majorBidi" w:cstheme="majorBidi"/>
          <w:sz w:val="18"/>
          <w:szCs w:val="18"/>
        </w:rPr>
        <w:t>высшего образования «Уральский федеральный университет</w:t>
      </w:r>
    </w:p>
    <w:p w14:paraId="50FCDEA6" w14:textId="77777777" w:rsidR="00131993" w:rsidRPr="00131993" w:rsidRDefault="00131993" w:rsidP="00131993">
      <w:pPr>
        <w:jc w:val="center"/>
        <w:rPr>
          <w:rFonts w:asciiTheme="majorBidi" w:hAnsiTheme="majorBidi" w:cstheme="majorBidi"/>
          <w:sz w:val="18"/>
          <w:szCs w:val="18"/>
        </w:rPr>
      </w:pPr>
      <w:r w:rsidRPr="00131993">
        <w:rPr>
          <w:rFonts w:asciiTheme="majorBidi" w:hAnsiTheme="majorBidi" w:cstheme="majorBidi"/>
          <w:sz w:val="18"/>
          <w:szCs w:val="18"/>
        </w:rPr>
        <w:t>имени первого Президента России Б. Н. Ельцина»</w:t>
      </w:r>
    </w:p>
    <w:p w14:paraId="0FF65DF9" w14:textId="77777777" w:rsidR="00131993" w:rsidRPr="00131993" w:rsidRDefault="00131993" w:rsidP="00131993">
      <w:pPr>
        <w:jc w:val="center"/>
        <w:rPr>
          <w:rFonts w:asciiTheme="majorBidi" w:hAnsiTheme="majorBidi" w:cstheme="majorBidi"/>
          <w:sz w:val="18"/>
          <w:szCs w:val="18"/>
        </w:rPr>
      </w:pPr>
      <w:r w:rsidRPr="00131993">
        <w:rPr>
          <w:rFonts w:asciiTheme="majorBidi" w:hAnsiTheme="majorBidi" w:cstheme="majorBidi"/>
          <w:sz w:val="18"/>
          <w:szCs w:val="18"/>
        </w:rPr>
        <w:t>Институт радиоэлектроники и информационных технологий – РТФ</w:t>
      </w:r>
    </w:p>
    <w:p w14:paraId="797FE0DC" w14:textId="77777777" w:rsidR="00131993" w:rsidRPr="00131993" w:rsidRDefault="00131993" w:rsidP="00131993">
      <w:pPr>
        <w:jc w:val="center"/>
        <w:rPr>
          <w:rFonts w:asciiTheme="majorBidi" w:hAnsiTheme="majorBidi" w:cstheme="majorBidi"/>
          <w:sz w:val="18"/>
          <w:szCs w:val="18"/>
        </w:rPr>
      </w:pPr>
      <w:r w:rsidRPr="00131993">
        <w:rPr>
          <w:rFonts w:asciiTheme="majorBidi" w:hAnsiTheme="majorBidi" w:cstheme="majorBidi"/>
          <w:sz w:val="18"/>
          <w:szCs w:val="18"/>
        </w:rPr>
        <w:t>Школа бакалавриата</w:t>
      </w:r>
    </w:p>
    <w:p w14:paraId="3BF3EE71" w14:textId="77777777" w:rsidR="00131993" w:rsidRPr="00502839" w:rsidRDefault="00131993" w:rsidP="00131993">
      <w:pPr>
        <w:rPr>
          <w:rFonts w:asciiTheme="majorBidi" w:hAnsiTheme="majorBidi" w:cstheme="majorBidi"/>
        </w:rPr>
      </w:pPr>
    </w:p>
    <w:p w14:paraId="180F4A35" w14:textId="77777777" w:rsidR="00131993" w:rsidRPr="00502839" w:rsidRDefault="00131993" w:rsidP="00131993">
      <w:pPr>
        <w:jc w:val="center"/>
        <w:rPr>
          <w:rFonts w:asciiTheme="majorBidi" w:hAnsiTheme="majorBidi" w:cstheme="majorBidi"/>
        </w:rPr>
      </w:pPr>
    </w:p>
    <w:p w14:paraId="1D9E8EF9" w14:textId="77777777" w:rsidR="00131993" w:rsidRPr="00502839" w:rsidRDefault="00131993" w:rsidP="00131993">
      <w:pPr>
        <w:jc w:val="center"/>
        <w:rPr>
          <w:rFonts w:asciiTheme="majorBidi" w:hAnsiTheme="majorBidi" w:cstheme="majorBidi"/>
        </w:rPr>
      </w:pPr>
      <w:r w:rsidRPr="00502839">
        <w:rPr>
          <w:rFonts w:asciiTheme="majorBidi" w:hAnsiTheme="majorBidi" w:cstheme="majorBidi"/>
        </w:rPr>
        <w:t>ОТЧЕТ ПО ПРОЕКТУ</w:t>
      </w:r>
    </w:p>
    <w:p w14:paraId="66DFB761" w14:textId="77777777" w:rsidR="00131993" w:rsidRPr="00502839" w:rsidRDefault="00131993" w:rsidP="00131993">
      <w:pPr>
        <w:jc w:val="center"/>
        <w:rPr>
          <w:rFonts w:asciiTheme="majorBidi" w:hAnsiTheme="majorBidi" w:cstheme="majorBidi"/>
        </w:rPr>
      </w:pPr>
      <w:r w:rsidRPr="00502839">
        <w:rPr>
          <w:rFonts w:asciiTheme="majorBidi" w:hAnsiTheme="majorBidi" w:cstheme="majorBidi"/>
        </w:rPr>
        <w:t>133/ЛКП-4469-2025</w:t>
      </w:r>
    </w:p>
    <w:p w14:paraId="2F8AE4AC" w14:textId="77777777" w:rsidR="00131993" w:rsidRPr="00502839" w:rsidRDefault="00131993" w:rsidP="00131993">
      <w:pPr>
        <w:jc w:val="center"/>
        <w:rPr>
          <w:rFonts w:asciiTheme="majorBidi" w:hAnsiTheme="majorBidi" w:cstheme="majorBidi"/>
        </w:rPr>
      </w:pPr>
    </w:p>
    <w:p w14:paraId="7E736B8E" w14:textId="77777777" w:rsidR="00131993" w:rsidRPr="00502839" w:rsidRDefault="00131993" w:rsidP="00131993">
      <w:pPr>
        <w:spacing w:line="360" w:lineRule="auto"/>
        <w:jc w:val="center"/>
        <w:rPr>
          <w:rFonts w:asciiTheme="majorBidi" w:hAnsiTheme="majorBidi" w:cstheme="majorBidi"/>
          <w:b/>
        </w:rPr>
      </w:pPr>
      <w:r w:rsidRPr="00502839">
        <w:rPr>
          <w:rFonts w:asciiTheme="majorBidi" w:hAnsiTheme="majorBidi" w:cstheme="majorBidi"/>
          <w:b/>
        </w:rPr>
        <w:t>«ПРОЕКТИРОВАНИЕ И МОДЕЛИРОВАНИЕ БЕСПРОВОДНЫХ СЕТЕЙ ПЕРЕДАЧИ ДАННЫХ С ИСПОЛЬЗОВАНИЕМ ПРОГРАММНО-АППАРАТНОГО КОМПЛЕКСА EKAHAU IEEE 802.11 (WIFI)»</w:t>
      </w:r>
    </w:p>
    <w:p w14:paraId="2CF214F5" w14:textId="77777777" w:rsidR="00131993" w:rsidRPr="00502839" w:rsidRDefault="00131993" w:rsidP="00131993">
      <w:pPr>
        <w:jc w:val="center"/>
        <w:rPr>
          <w:rFonts w:asciiTheme="majorBidi" w:hAnsiTheme="majorBidi" w:cstheme="majorBidi"/>
          <w:rtl/>
        </w:rPr>
      </w:pPr>
    </w:p>
    <w:p w14:paraId="5E1AC3E8" w14:textId="77777777" w:rsidR="00131993" w:rsidRPr="00502839" w:rsidRDefault="00131993" w:rsidP="00131993">
      <w:pPr>
        <w:jc w:val="center"/>
        <w:rPr>
          <w:rFonts w:asciiTheme="majorBidi" w:hAnsiTheme="majorBidi" w:cstheme="majorBidi"/>
          <w:rtl/>
        </w:rPr>
      </w:pPr>
    </w:p>
    <w:p w14:paraId="43DA915E" w14:textId="77777777" w:rsidR="00131993" w:rsidRPr="00502839" w:rsidRDefault="00131993" w:rsidP="00131993">
      <w:pPr>
        <w:rPr>
          <w:rFonts w:asciiTheme="majorBidi" w:hAnsiTheme="majorBidi" w:cstheme="majorBidi"/>
          <w:rtl/>
        </w:rPr>
      </w:pPr>
    </w:p>
    <w:p w14:paraId="3307A72E" w14:textId="77777777" w:rsidR="00131993" w:rsidRPr="00502839" w:rsidRDefault="00131993" w:rsidP="00131993">
      <w:pPr>
        <w:jc w:val="center"/>
        <w:rPr>
          <w:rFonts w:asciiTheme="majorBidi" w:hAnsiTheme="majorBidi" w:cstheme="majorBidi"/>
          <w:rtl/>
        </w:rPr>
      </w:pPr>
    </w:p>
    <w:p w14:paraId="47A555FE" w14:textId="77777777" w:rsidR="00131993" w:rsidRPr="00502839" w:rsidRDefault="00131993" w:rsidP="00131993">
      <w:pPr>
        <w:rPr>
          <w:rFonts w:asciiTheme="majorBidi" w:hAnsiTheme="majorBidi" w:cstheme="majorBidi"/>
          <w:rtl/>
        </w:rPr>
      </w:pPr>
    </w:p>
    <w:p w14:paraId="2CE0D9A6" w14:textId="77777777" w:rsidR="00131993" w:rsidRPr="00502839" w:rsidRDefault="00131993" w:rsidP="00131993">
      <w:pPr>
        <w:rPr>
          <w:rFonts w:asciiTheme="majorBidi" w:hAnsiTheme="majorBidi" w:cstheme="majorBidi"/>
          <w:u w:val="single"/>
        </w:rPr>
      </w:pPr>
      <w:r w:rsidRPr="00502839">
        <w:rPr>
          <w:rFonts w:asciiTheme="majorBidi" w:hAnsiTheme="majorBidi" w:cstheme="majorBidi"/>
        </w:rPr>
        <w:t>Куратор проекта: Сергеев Алексей Анатольевич</w:t>
      </w:r>
    </w:p>
    <w:p w14:paraId="490A901E" w14:textId="77777777" w:rsidR="00131993" w:rsidRPr="00502839" w:rsidRDefault="00131993" w:rsidP="00131993">
      <w:pPr>
        <w:rPr>
          <w:rFonts w:asciiTheme="majorBidi" w:hAnsiTheme="majorBidi" w:cstheme="majorBidi"/>
        </w:rPr>
      </w:pPr>
      <w:r w:rsidRPr="00502839">
        <w:rPr>
          <w:rFonts w:asciiTheme="majorBidi" w:hAnsiTheme="majorBidi" w:cstheme="majorBidi"/>
        </w:rPr>
        <w:t xml:space="preserve"> </w:t>
      </w:r>
    </w:p>
    <w:p w14:paraId="3547AE6F" w14:textId="77777777" w:rsidR="00131993" w:rsidRDefault="00131993" w:rsidP="00131993">
      <w:pPr>
        <w:rPr>
          <w:rFonts w:asciiTheme="majorBidi" w:hAnsiTheme="majorBidi" w:cstheme="majorBidi"/>
          <w:lang w:val="en-US"/>
        </w:rPr>
      </w:pPr>
      <w:r w:rsidRPr="00502839">
        <w:rPr>
          <w:rFonts w:asciiTheme="majorBidi" w:hAnsiTheme="majorBidi" w:cstheme="majorBidi"/>
        </w:rPr>
        <w:t>Авторы:</w:t>
      </w:r>
    </w:p>
    <w:p w14:paraId="6D4EBBA5" w14:textId="40760DCB" w:rsidR="00131993" w:rsidRDefault="00131993" w:rsidP="00131993">
      <w:pPr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Элия Киролос Хацри Фавзи</w:t>
      </w:r>
    </w:p>
    <w:p w14:paraId="4D9870E6" w14:textId="3A665FCB" w:rsidR="00CF31B5" w:rsidRDefault="00131993">
      <w:pPr>
        <w:widowControl w:val="0"/>
        <w:tabs>
          <w:tab w:val="left" w:pos="3847"/>
        </w:tabs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pacing w:val="-2"/>
          <w:sz w:val="24"/>
          <w:szCs w:val="24"/>
        </w:rPr>
      </w:pPr>
      <w:r w:rsidRPr="00131993">
        <w:rPr>
          <w:rFonts w:asciiTheme="majorBidi" w:hAnsiTheme="majorBidi" w:cstheme="majorBidi"/>
          <w:lang w:bidi="ar-EG"/>
        </w:rPr>
        <w:t>Эльбьяри Мохамед Айман Хассан Эльсайед</w:t>
      </w:r>
      <w:r w:rsidR="00000000" w:rsidRPr="00131993">
        <w:rPr>
          <w:rFonts w:asciiTheme="majorBidi" w:eastAsia="Trebuchet MS" w:hAnsiTheme="majorBidi" w:cstheme="majorBidi"/>
          <w:bCs/>
          <w:i/>
          <w:spacing w:val="-2"/>
          <w:sz w:val="24"/>
          <w:szCs w:val="24"/>
        </w:rPr>
        <w:tab/>
      </w:r>
    </w:p>
    <w:p w14:paraId="035C6FA9" w14:textId="77777777" w:rsidR="00131993" w:rsidRDefault="00131993">
      <w:pPr>
        <w:widowControl w:val="0"/>
        <w:tabs>
          <w:tab w:val="left" w:pos="3847"/>
        </w:tabs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pacing w:val="-2"/>
          <w:sz w:val="24"/>
          <w:szCs w:val="24"/>
          <w:rtl/>
          <w:lang w:val="en-US"/>
        </w:rPr>
      </w:pPr>
    </w:p>
    <w:sdt>
      <w:sdtPr>
        <w:id w:val="-3475606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300C1B" w14:textId="77777777" w:rsidR="00CF31B5" w:rsidRDefault="00000000">
          <w:pPr>
            <w:widowControl w:val="0"/>
            <w:autoSpaceDE w:val="0"/>
            <w:autoSpaceDN w:val="0"/>
            <w:spacing w:before="30" w:after="0" w:line="360" w:lineRule="auto"/>
            <w:jc w:val="both"/>
            <w:rPr>
              <w:rFonts w:asciiTheme="majorBidi" w:eastAsia="Trebuchet MS" w:hAnsiTheme="majorBidi" w:cstheme="majorBidi"/>
              <w:bCs/>
              <w:i/>
              <w:spacing w:val="-2"/>
              <w:sz w:val="24"/>
              <w:szCs w:val="24"/>
              <w:lang w:val="en-US"/>
            </w:rPr>
          </w:pPr>
          <w:proofErr w:type="spellStart"/>
          <w:r>
            <w:rPr>
              <w:rFonts w:asciiTheme="majorBidi" w:eastAsia="Trebuchet MS" w:hAnsiTheme="majorBidi" w:cstheme="majorBidi"/>
              <w:bCs/>
              <w:i/>
              <w:spacing w:val="-2"/>
              <w:sz w:val="24"/>
              <w:szCs w:val="24"/>
              <w:lang w:val="en-US"/>
            </w:rPr>
            <w:t>Оглавление</w:t>
          </w:r>
          <w:proofErr w:type="spellEnd"/>
        </w:p>
        <w:p w14:paraId="0A4D5EE0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827673" w:history="1">
            <w:r>
              <w:rPr>
                <w:rStyle w:val="Hyperlink"/>
                <w:rFonts w:asciiTheme="majorBidi" w:hAnsiTheme="majorBidi"/>
                <w:rtl/>
              </w:rPr>
              <w:t>1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</w:rPr>
              <w:t>Описание объекта</w:t>
            </w:r>
            <w:r>
              <w:tab/>
            </w:r>
            <w:r>
              <w:fldChar w:fldCharType="begin"/>
            </w:r>
            <w:r>
              <w:instrText xml:space="preserve"> PAGEREF _Toc201827673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53D5C9D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74" w:history="1">
            <w:r>
              <w:rPr>
                <w:rStyle w:val="Hyperlink"/>
                <w:rFonts w:asciiTheme="majorBidi" w:hAnsiTheme="majorBidi"/>
                <w:rtl/>
              </w:rPr>
              <w:t>2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</w:rPr>
              <w:t>Требования к Wi-Fi (из ТЗ к Договору)</w:t>
            </w:r>
            <w:r>
              <w:tab/>
            </w:r>
            <w:r>
              <w:fldChar w:fldCharType="begin"/>
            </w:r>
            <w:r>
              <w:instrText xml:space="preserve"> PAGEREF _Toc201827674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E16D771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75" w:history="1">
            <w:r>
              <w:rPr>
                <w:rStyle w:val="Hyperlink"/>
                <w:rFonts w:asciiTheme="majorBidi" w:hAnsiTheme="majorBidi"/>
                <w:rtl/>
              </w:rPr>
              <w:t>3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</w:rPr>
              <w:t>Инженерные требования к Wi-Fi сети</w:t>
            </w:r>
            <w:r>
              <w:tab/>
            </w:r>
            <w:r>
              <w:fldChar w:fldCharType="begin"/>
            </w:r>
            <w:r>
              <w:instrText xml:space="preserve"> PAGEREF _Toc201827675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D53CCD0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76" w:history="1">
            <w:r>
              <w:rPr>
                <w:rStyle w:val="Hyperlink"/>
                <w:rFonts w:asciiTheme="majorBidi" w:hAnsiTheme="majorBidi"/>
                <w:rtl/>
              </w:rPr>
              <w:t>4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</w:rPr>
              <w:t>Цели проведения радиообследования и анализа</w:t>
            </w:r>
            <w:r>
              <w:tab/>
            </w:r>
            <w:r>
              <w:fldChar w:fldCharType="begin"/>
            </w:r>
            <w:r>
              <w:instrText xml:space="preserve"> PAGEREF _Toc201827676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2E51B55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77" w:history="1">
            <w:r>
              <w:rPr>
                <w:rStyle w:val="Hyperlink"/>
                <w:rFonts w:asciiTheme="majorBidi" w:hAnsiTheme="majorBidi"/>
                <w:rtl/>
              </w:rPr>
              <w:t>5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</w:rPr>
              <w:t>Оборудование</w:t>
            </w:r>
            <w:r>
              <w:tab/>
            </w:r>
            <w:r>
              <w:fldChar w:fldCharType="begin"/>
            </w:r>
            <w:r>
              <w:instrText xml:space="preserve"> PAGEREF _Toc201827677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A566891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78" w:history="1">
            <w:r>
              <w:rPr>
                <w:rStyle w:val="Hyperlink"/>
                <w:rFonts w:asciiTheme="majorBidi" w:hAnsiTheme="majorBidi"/>
                <w:rtl/>
                <w:lang w:bidi="ar-EG"/>
              </w:rPr>
              <w:t>6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  <w:lang w:bidi="ar-EG"/>
              </w:rPr>
              <w:t>Методика обследования и интерпретации результатов</w:t>
            </w:r>
            <w:r>
              <w:tab/>
            </w:r>
            <w:r>
              <w:fldChar w:fldCharType="begin"/>
            </w:r>
            <w:r>
              <w:instrText xml:space="preserve"> PAGEREF _Toc201827678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FF6509A" w14:textId="77777777" w:rsidR="00CF31B5" w:rsidRDefault="00000000">
          <w:pPr>
            <w:pStyle w:val="10"/>
            <w:tabs>
              <w:tab w:val="left" w:pos="440"/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79" w:history="1">
            <w:r>
              <w:rPr>
                <w:rStyle w:val="Hyperlink"/>
                <w:rFonts w:asciiTheme="majorBidi" w:hAnsiTheme="majorBidi"/>
              </w:rPr>
              <w:t>7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Theme="majorBidi" w:hAnsiTheme="majorBidi"/>
              </w:rPr>
              <w:t>Радиообследование и анализ</w:t>
            </w:r>
            <w:r>
              <w:tab/>
            </w:r>
            <w:r>
              <w:fldChar w:fldCharType="begin"/>
            </w:r>
            <w:r>
              <w:instrText xml:space="preserve"> PAGEREF _Toc201827679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77EFA30" w14:textId="77777777" w:rsidR="00CF31B5" w:rsidRDefault="00000000">
          <w:pPr>
            <w:pStyle w:val="2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0" w:history="1">
            <w:r>
              <w:rPr>
                <w:rStyle w:val="Hyperlink"/>
                <w:rFonts w:asciiTheme="majorBidi" w:hAnsiTheme="majorBidi"/>
                <w:rtl/>
              </w:rPr>
              <w:t>7.1</w:t>
            </w:r>
            <w:r>
              <w:rPr>
                <w:rStyle w:val="Hyperlink"/>
                <w:rFonts w:asciiTheme="majorBidi" w:hAnsiTheme="majorBidi"/>
              </w:rPr>
              <w:t xml:space="preserve"> Маршрут и ТД</w:t>
            </w:r>
            <w:r>
              <w:tab/>
            </w:r>
            <w:r>
              <w:fldChar w:fldCharType="begin"/>
            </w:r>
            <w:r>
              <w:instrText xml:space="preserve"> PAGEREF _Toc201827680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50DFE6" w14:textId="77777777" w:rsidR="00CF31B5" w:rsidRDefault="00000000">
          <w:pPr>
            <w:pStyle w:val="2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1" w:history="1">
            <w:r>
              <w:rPr>
                <w:rStyle w:val="Hyperlink"/>
                <w:rFonts w:asciiTheme="majorBidi" w:hAnsiTheme="majorBidi"/>
              </w:rPr>
              <w:t>7.2.Уровень сигнала первой ТД</w:t>
            </w:r>
            <w:r>
              <w:tab/>
            </w:r>
            <w:r>
              <w:fldChar w:fldCharType="begin"/>
            </w:r>
            <w:r>
              <w:instrText xml:space="preserve"> PAGEREF _Toc201827681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2AA59F0" w14:textId="77777777" w:rsidR="00CF31B5" w:rsidRDefault="00000000">
          <w:pPr>
            <w:pStyle w:val="3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2" w:history="1">
            <w:r>
              <w:rPr>
                <w:rStyle w:val="Hyperlink"/>
                <w:rFonts w:asciiTheme="majorBidi" w:hAnsiTheme="majorBidi"/>
              </w:rPr>
              <w:t>7.2.1 Уровень сигнала первой ТД в диапазоне 5ГГц</w:t>
            </w:r>
            <w:r>
              <w:tab/>
            </w:r>
            <w:r>
              <w:fldChar w:fldCharType="begin"/>
            </w:r>
            <w:r>
              <w:instrText xml:space="preserve"> PAGEREF _Toc201827682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C492EDE" w14:textId="77777777" w:rsidR="00CF31B5" w:rsidRDefault="00000000">
          <w:pPr>
            <w:pStyle w:val="2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3" w:history="1">
            <w:r>
              <w:rPr>
                <w:rStyle w:val="Hyperlink"/>
                <w:rFonts w:asciiTheme="majorBidi" w:hAnsiTheme="majorBidi"/>
                <w:lang w:bidi="ar-EG"/>
              </w:rPr>
              <w:t>7.3 Уровень сигнала второй ТД</w:t>
            </w:r>
            <w:r>
              <w:tab/>
            </w:r>
            <w:r>
              <w:fldChar w:fldCharType="begin"/>
            </w:r>
            <w:r>
              <w:instrText xml:space="preserve"> PAGEREF _Toc201827683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E97DCF4" w14:textId="77777777" w:rsidR="00CF31B5" w:rsidRDefault="00000000">
          <w:pPr>
            <w:pStyle w:val="3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4" w:history="1">
            <w:r>
              <w:rPr>
                <w:rStyle w:val="Hyperlink"/>
                <w:rFonts w:asciiTheme="majorBidi" w:hAnsiTheme="majorBidi"/>
                <w:lang w:bidi="ar-EG"/>
              </w:rPr>
              <w:t>7.3.1.Уровень сигнала второй ТД в диапазоне 5ГГц</w:t>
            </w:r>
            <w:r>
              <w:tab/>
            </w:r>
            <w:r>
              <w:fldChar w:fldCharType="begin"/>
            </w:r>
            <w:r>
              <w:instrText xml:space="preserve"> PAGEREF _Toc201827684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3046278" w14:textId="77777777" w:rsidR="00CF31B5" w:rsidRDefault="00000000">
          <w:pPr>
            <w:pStyle w:val="2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5" w:history="1">
            <w:r>
              <w:rPr>
                <w:rStyle w:val="Hyperlink"/>
                <w:rFonts w:asciiTheme="majorBidi" w:hAnsiTheme="majorBidi"/>
                <w:lang w:bidi="ar-EG"/>
              </w:rPr>
              <w:t>7.4 Пересечение каналов</w:t>
            </w:r>
            <w:r>
              <w:tab/>
            </w:r>
            <w:r>
              <w:fldChar w:fldCharType="begin"/>
            </w:r>
            <w:r>
              <w:instrText xml:space="preserve"> PAGEREF _Toc201827685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A4269AA" w14:textId="77777777" w:rsidR="00CF31B5" w:rsidRDefault="00000000">
          <w:pPr>
            <w:pStyle w:val="3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6" w:history="1">
            <w:r>
              <w:rPr>
                <w:rStyle w:val="Hyperlink"/>
                <w:rFonts w:asciiTheme="majorBidi" w:hAnsiTheme="majorBidi"/>
                <w:lang w:bidi="ar-EG"/>
              </w:rPr>
              <w:t>7.4.1 Пересечение каналов в диапазоне 5ГГц</w:t>
            </w:r>
            <w:r>
              <w:tab/>
            </w:r>
            <w:r>
              <w:fldChar w:fldCharType="begin"/>
            </w:r>
            <w:r>
              <w:instrText xml:space="preserve"> PAGEREF _Toc201827686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0DC70F4" w14:textId="77777777" w:rsidR="00CF31B5" w:rsidRDefault="00000000">
          <w:pPr>
            <w:pStyle w:val="3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7" w:history="1">
            <w:r>
              <w:rPr>
                <w:rStyle w:val="Hyperlink"/>
                <w:rFonts w:asciiTheme="majorBidi" w:hAnsiTheme="majorBidi"/>
                <w:lang w:bidi="ar-EG"/>
              </w:rPr>
              <w:t>7.4.2 Пересечение каналов в диапазоне 2,4ГГц</w:t>
            </w:r>
            <w:r>
              <w:tab/>
            </w:r>
            <w:r>
              <w:fldChar w:fldCharType="begin"/>
            </w:r>
            <w:r>
              <w:instrText xml:space="preserve"> PAGEREF _Toc201827687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3E62472" w14:textId="77777777" w:rsidR="00CF31B5" w:rsidRDefault="00000000">
          <w:pPr>
            <w:pStyle w:val="10"/>
            <w:tabs>
              <w:tab w:val="right" w:leader="dot" w:pos="647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1827689" w:history="1">
            <w:r>
              <w:rPr>
                <w:rStyle w:val="Hyperlink"/>
                <w:rFonts w:asciiTheme="majorBidi" w:hAnsiTheme="majorBidi"/>
                <w:lang w:bidi="ar-EG"/>
              </w:rPr>
              <w:t>Общие выводы</w:t>
            </w:r>
            <w:r>
              <w:tab/>
            </w:r>
            <w:r>
              <w:fldChar w:fldCharType="begin"/>
            </w:r>
            <w:r>
              <w:instrText xml:space="preserve"> PAGEREF _Toc201827689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F110128" w14:textId="77777777" w:rsidR="00CF31B5" w:rsidRDefault="00000000">
          <w:r>
            <w:rPr>
              <w:b/>
              <w:bCs/>
            </w:rPr>
            <w:fldChar w:fldCharType="end"/>
          </w:r>
        </w:p>
      </w:sdtContent>
    </w:sdt>
    <w:p w14:paraId="0A6629E9" w14:textId="77777777" w:rsidR="00CF31B5" w:rsidRDefault="00CF31B5">
      <w:pPr>
        <w:widowControl w:val="0"/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z w:val="24"/>
          <w:szCs w:val="24"/>
          <w:rtl/>
          <w:lang w:val="en-US"/>
        </w:rPr>
      </w:pPr>
    </w:p>
    <w:p w14:paraId="0C6282F9" w14:textId="77777777" w:rsidR="00CF31B5" w:rsidRDefault="00CF31B5">
      <w:pPr>
        <w:widowControl w:val="0"/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z w:val="24"/>
          <w:szCs w:val="24"/>
          <w:rtl/>
          <w:lang w:val="en-US"/>
        </w:rPr>
      </w:pPr>
    </w:p>
    <w:p w14:paraId="3A474E31" w14:textId="77777777" w:rsidR="00CF31B5" w:rsidRDefault="00CF31B5">
      <w:pPr>
        <w:widowControl w:val="0"/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z w:val="24"/>
          <w:szCs w:val="24"/>
          <w:rtl/>
          <w:lang w:val="en-US"/>
        </w:rPr>
      </w:pPr>
    </w:p>
    <w:p w14:paraId="5C8F8F6E" w14:textId="77777777" w:rsidR="00CF31B5" w:rsidRDefault="00CF31B5">
      <w:pPr>
        <w:widowControl w:val="0"/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z w:val="24"/>
          <w:szCs w:val="24"/>
          <w:rtl/>
          <w:lang w:val="en-US"/>
        </w:rPr>
      </w:pPr>
    </w:p>
    <w:p w14:paraId="0A7E62CE" w14:textId="77777777" w:rsidR="00CF31B5" w:rsidRDefault="00CF31B5">
      <w:pPr>
        <w:widowControl w:val="0"/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z w:val="24"/>
          <w:szCs w:val="24"/>
          <w:rtl/>
          <w:lang w:val="en-US"/>
        </w:rPr>
      </w:pPr>
    </w:p>
    <w:p w14:paraId="2DA12545" w14:textId="77777777" w:rsidR="00CF31B5" w:rsidRDefault="00CF31B5">
      <w:pPr>
        <w:widowControl w:val="0"/>
        <w:autoSpaceDE w:val="0"/>
        <w:autoSpaceDN w:val="0"/>
        <w:spacing w:before="30" w:after="0" w:line="360" w:lineRule="auto"/>
        <w:jc w:val="both"/>
        <w:rPr>
          <w:rFonts w:asciiTheme="majorBidi" w:eastAsia="Trebuchet MS" w:hAnsiTheme="majorBidi" w:cstheme="majorBidi"/>
          <w:bCs/>
          <w:i/>
          <w:sz w:val="24"/>
          <w:szCs w:val="24"/>
          <w:lang w:val="en-US"/>
        </w:rPr>
      </w:pPr>
    </w:p>
    <w:p w14:paraId="1A1F96E5" w14:textId="77777777" w:rsidR="00CF31B5" w:rsidRDefault="00000000">
      <w:pPr>
        <w:pStyle w:val="1"/>
        <w:numPr>
          <w:ilvl w:val="0"/>
          <w:numId w:val="3"/>
        </w:numPr>
        <w:spacing w:line="276" w:lineRule="auto"/>
        <w:rPr>
          <w:rFonts w:asciiTheme="majorBidi" w:hAnsiTheme="majorBidi"/>
          <w:b w:val="0"/>
          <w:color w:val="auto"/>
          <w:rtl/>
        </w:rPr>
      </w:pPr>
      <w:bookmarkStart w:id="0" w:name="_Toc201827673"/>
      <w:r>
        <w:rPr>
          <w:rFonts w:asciiTheme="majorBidi" w:hAnsiTheme="majorBidi"/>
          <w:b w:val="0"/>
          <w:color w:val="auto"/>
        </w:rPr>
        <w:lastRenderedPageBreak/>
        <w:t>Описание объекта</w:t>
      </w:r>
      <w:bookmarkEnd w:id="0"/>
      <w:r>
        <w:rPr>
          <w:rFonts w:asciiTheme="majorBidi" w:hAnsiTheme="majorBidi"/>
          <w:b w:val="0"/>
          <w:color w:val="auto"/>
        </w:rPr>
        <w:t xml:space="preserve"> </w:t>
      </w:r>
    </w:p>
    <w:p w14:paraId="48EC85F7" w14:textId="77777777" w:rsidR="00CF31B5" w:rsidRDefault="0000000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Объектом обследования является здание Института радиоэлектроники и информационных технологий — ИРИТ-РТФ Уральского федерального университета. Здание построено в традиционном стиле из кирпича и состоит из четырёх этажей. Радиопланирование проводится только для четвёртого этажа, имеющего форму буквы «Г» и общую площадь покрытия около 2700 м².</w:t>
      </w:r>
    </w:p>
    <w:p w14:paraId="34DC261B" w14:textId="77777777" w:rsidR="00CF31B5" w:rsidRDefault="0000000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Высота потолков составляет примерно 2,5 метра. Подвесных потолков нет. Точки доступа предполагается размещать на высоте около 2,4 м.</w:t>
      </w:r>
    </w:p>
    <w:p w14:paraId="7CAE9752" w14:textId="77777777" w:rsidR="00CF31B5" w:rsidRDefault="0000000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Материалы здания, влияющие на распространение радиосигнала:</w:t>
      </w:r>
    </w:p>
    <w:p w14:paraId="50F029DC" w14:textId="77777777" w:rsidR="00CF31B5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Кирпич — наружные и внутренние несущие стены, а также лестничные клетки;</w:t>
      </w:r>
    </w:p>
    <w:p w14:paraId="2882CD8A" w14:textId="77777777" w:rsidR="00CF31B5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Стекло — внутренние и внешние окна;</w:t>
      </w:r>
    </w:p>
    <w:p w14:paraId="3D140132" w14:textId="77777777" w:rsidR="00CF31B5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Двери — в основном деревянные либо облегчённые конструкции.</w:t>
      </w:r>
    </w:p>
    <w:p w14:paraId="437EC1BE" w14:textId="77777777" w:rsidR="00CF31B5" w:rsidRDefault="0000000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Планировка этажа включает аудитории, лаборатории, кабинеты преподавателей и длинные узкие коридоры, что требует аккуратного проектирования сети.</w:t>
      </w:r>
    </w:p>
    <w:p w14:paraId="70DB630C" w14:textId="77777777" w:rsidR="00CF31B5" w:rsidRDefault="0000000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Клиентские устройства в сети </w:t>
      </w:r>
      <w:r>
        <w:rPr>
          <w:rFonts w:asciiTheme="majorBidi" w:hAnsiTheme="majorBidi" w:cstheme="majorBidi"/>
          <w:lang w:val="en-US"/>
        </w:rPr>
        <w:t>Wi</w:t>
      </w:r>
      <w:r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  <w:lang w:val="en-US"/>
        </w:rPr>
        <w:t>Fi</w:t>
      </w:r>
      <w:r>
        <w:rPr>
          <w:rFonts w:asciiTheme="majorBidi" w:hAnsiTheme="majorBidi" w:cstheme="majorBidi"/>
        </w:rPr>
        <w:t>:</w:t>
      </w:r>
    </w:p>
    <w:p w14:paraId="2B73B913" w14:textId="77777777" w:rsidR="00CF31B5" w:rsidRDefault="00000000">
      <w:pPr>
        <w:numPr>
          <w:ilvl w:val="0"/>
          <w:numId w:val="5"/>
        </w:numPr>
        <w:tabs>
          <w:tab w:val="left" w:pos="720"/>
        </w:tabs>
        <w:spacing w:line="240" w:lineRule="auto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Студенческие</w:t>
      </w:r>
      <w:proofErr w:type="spellEnd"/>
      <w:r>
        <w:rPr>
          <w:rFonts w:asciiTheme="majorBidi" w:hAnsiTheme="majorBidi" w:cstheme="majorBidi"/>
          <w:lang w:val="en-US"/>
        </w:rPr>
        <w:t xml:space="preserve"> и </w:t>
      </w:r>
      <w:proofErr w:type="spellStart"/>
      <w:r>
        <w:rPr>
          <w:rFonts w:asciiTheme="majorBidi" w:hAnsiTheme="majorBidi" w:cstheme="majorBidi"/>
          <w:lang w:val="en-US"/>
        </w:rPr>
        <w:t>преподавательские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/>
        </w:rPr>
        <w:t>ноутбуки</w:t>
      </w:r>
      <w:proofErr w:type="spellEnd"/>
      <w:r>
        <w:rPr>
          <w:rFonts w:asciiTheme="majorBidi" w:hAnsiTheme="majorBidi" w:cstheme="majorBidi"/>
          <w:lang w:val="en-US"/>
        </w:rPr>
        <w:t>;</w:t>
      </w:r>
      <w:proofErr w:type="gramEnd"/>
    </w:p>
    <w:p w14:paraId="118FCF2B" w14:textId="77777777" w:rsidR="00CF31B5" w:rsidRDefault="00000000">
      <w:pPr>
        <w:numPr>
          <w:ilvl w:val="0"/>
          <w:numId w:val="5"/>
        </w:numPr>
        <w:tabs>
          <w:tab w:val="left" w:pos="720"/>
        </w:tabs>
        <w:spacing w:line="240" w:lineRule="auto"/>
        <w:rPr>
          <w:rFonts w:asciiTheme="majorBidi" w:hAnsiTheme="majorBidi" w:cstheme="majorBidi"/>
          <w:lang w:val="en-US"/>
        </w:rPr>
      </w:pPr>
      <w:proofErr w:type="spellStart"/>
      <w:proofErr w:type="gramStart"/>
      <w:r>
        <w:rPr>
          <w:rFonts w:asciiTheme="majorBidi" w:hAnsiTheme="majorBidi" w:cstheme="majorBidi"/>
          <w:lang w:val="en-US"/>
        </w:rPr>
        <w:t>Смартфоны</w:t>
      </w:r>
      <w:proofErr w:type="spellEnd"/>
      <w:r>
        <w:rPr>
          <w:rFonts w:asciiTheme="majorBidi" w:hAnsiTheme="majorBidi" w:cstheme="majorBidi"/>
          <w:lang w:val="en-US"/>
        </w:rPr>
        <w:t>;</w:t>
      </w:r>
      <w:proofErr w:type="gramEnd"/>
    </w:p>
    <w:p w14:paraId="550B601D" w14:textId="77777777" w:rsidR="00CF31B5" w:rsidRDefault="00000000">
      <w:pPr>
        <w:spacing w:line="360" w:lineRule="auto"/>
        <w:rPr>
          <w:rFonts w:asciiTheme="majorBidi" w:hAnsiTheme="majorBidi" w:cstheme="majorBidi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FB6135" wp14:editId="74CCE3D3">
                <wp:simplePos x="0" y="0"/>
                <wp:positionH relativeFrom="column">
                  <wp:posOffset>2242820</wp:posOffset>
                </wp:positionH>
                <wp:positionV relativeFrom="paragraph">
                  <wp:posOffset>1494790</wp:posOffset>
                </wp:positionV>
                <wp:extent cx="1623695" cy="635"/>
                <wp:effectExtent l="0" t="0" r="0" b="3810"/>
                <wp:wrapSquare wrapText="bothSides"/>
                <wp:docPr id="35745160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4A300" w14:textId="77777777" w:rsidR="00CF31B5" w:rsidRDefault="00000000">
                            <w:pPr>
                              <w:pStyle w:val="a6"/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  <w:t xml:space="preserve">Рисунок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  <w:sz w:val="16"/>
                                <w:szCs w:val="16"/>
                                <w:lang w:bidi="ar-EG"/>
                              </w:rPr>
                              <w:t xml:space="preserve"> – навигатор института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مربع نص 1" o:spid="_x0000_s1026" o:spt="202" type="#_x0000_t202" style="position:absolute;left:0pt;margin-left:176.6pt;margin-top:117.7pt;height:0.05pt;width:127.85pt;mso-wrap-distance-bottom:0pt;mso-wrap-distance-left:9pt;mso-wrap-distance-right:9pt;mso-wrap-distance-top:0pt;z-index:251660288;mso-width-relative:page;mso-height-relative:page;" fillcolor="#FFFFFF" filled="t" stroked="f" coordsize="21600,21600" o:gfxdata="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9MZ+lNsAAAALAQAADwAAAAAAAAAB&#10;ACAAAAAiAAAAZHJzL2Rvd25yZXYueG1sUEsBAhQAFAAAAAgAh07iQNPmreBGAgAAfgQAAA4AAAAA&#10;AAAAAQAgAAAAKgEAAGRycy9lMm9Eb2MueG1sUEsFBgAAAAAGAAYAWQEAAOIFAAAAAA=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43017B02">
                      <w:pPr>
                        <w:pStyle w:val="8"/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  <w:t xml:space="preserve">Рисунок </w:t>
                      </w: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  <w:instrText xml:space="preserve"> SEQ Рисунок \* ARABIC </w:instrText>
                      </w: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Theme="majorBidi" w:hAnsiTheme="majorBidi" w:cstheme="majorBidi"/>
                          <w:color w:val="auto"/>
                          <w:sz w:val="16"/>
                          <w:szCs w:val="16"/>
                          <w:lang w:bidi="ar-EG"/>
                        </w:rPr>
                        <w:t xml:space="preserve"> – навигатор института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734D10FB" wp14:editId="6E916CC9">
            <wp:simplePos x="0" y="0"/>
            <wp:positionH relativeFrom="column">
              <wp:posOffset>2324100</wp:posOffset>
            </wp:positionH>
            <wp:positionV relativeFrom="paragraph">
              <wp:posOffset>0</wp:posOffset>
            </wp:positionV>
            <wp:extent cx="1371600" cy="1466215"/>
            <wp:effectExtent l="19050" t="0" r="19050" b="438785"/>
            <wp:wrapSquare wrapText="bothSides"/>
            <wp:docPr id="8794885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8566" name="صورة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9" r="18171" b="147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62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rFonts w:asciiTheme="majorBidi" w:hAnsiTheme="majorBidi" w:cstheme="majorBidi"/>
        </w:rPr>
        <w:t>На рисунке 1 представлена планировка четвёртого этажа, использованная для построения радиомодели</w:t>
      </w:r>
    </w:p>
    <w:p w14:paraId="30731AEB" w14:textId="77777777" w:rsidR="00CF31B5" w:rsidRDefault="00000000">
      <w:pPr>
        <w:pStyle w:val="1"/>
        <w:numPr>
          <w:ilvl w:val="0"/>
          <w:numId w:val="3"/>
        </w:numPr>
        <w:spacing w:line="360" w:lineRule="auto"/>
        <w:rPr>
          <w:rFonts w:asciiTheme="majorBidi" w:hAnsiTheme="majorBidi"/>
          <w:b w:val="0"/>
          <w:color w:val="auto"/>
          <w:rtl/>
        </w:rPr>
      </w:pPr>
      <w:bookmarkStart w:id="1" w:name="_Toc201827674"/>
      <w:r>
        <w:rPr>
          <w:rFonts w:asciiTheme="majorBidi" w:hAnsiTheme="majorBidi"/>
          <w:b w:val="0"/>
          <w:color w:val="auto"/>
        </w:rPr>
        <w:t>Требования к Wi-Fi (из ТЗ к Договору)</w:t>
      </w:r>
      <w:bookmarkEnd w:id="1"/>
    </w:p>
    <w:p w14:paraId="4ADC6FCE" w14:textId="77777777" w:rsidR="00CF31B5" w:rsidRDefault="00000000">
      <w:pPr>
        <w:widowControl w:val="0"/>
        <w:autoSpaceDE w:val="0"/>
        <w:autoSpaceDN w:val="0"/>
        <w:spacing w:after="0" w:line="360" w:lineRule="auto"/>
        <w:jc w:val="both"/>
        <w:rPr>
          <w:rFonts w:asciiTheme="majorBidi" w:eastAsia="Trebuchet MS" w:hAnsiTheme="majorBidi" w:cstheme="majorBidi"/>
          <w:bCs/>
          <w:i/>
          <w:iCs/>
          <w:spacing w:val="-4"/>
          <w:sz w:val="24"/>
          <w:szCs w:val="24"/>
        </w:rPr>
      </w:pP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Требования</w:t>
      </w:r>
      <w:r>
        <w:rPr>
          <w:rFonts w:asciiTheme="majorBidi" w:eastAsia="Trebuchet MS" w:hAnsiTheme="majorBidi" w:cstheme="majorBidi"/>
          <w:bCs/>
          <w:i/>
          <w:iCs/>
          <w:spacing w:val="-3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к</w:t>
      </w:r>
      <w:r>
        <w:rPr>
          <w:rFonts w:asciiTheme="majorBidi" w:eastAsia="Trebuchet MS" w:hAnsiTheme="majorBidi" w:cstheme="majorBidi"/>
          <w:bCs/>
          <w:i/>
          <w:iCs/>
          <w:spacing w:val="-7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  <w:lang w:val="en-US"/>
        </w:rPr>
        <w:t>Wi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-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  <w:lang w:val="en-US"/>
        </w:rPr>
        <w:t>Fi</w:t>
      </w:r>
      <w:r>
        <w:rPr>
          <w:rFonts w:asciiTheme="majorBidi" w:eastAsia="Trebuchet MS" w:hAnsiTheme="majorBidi" w:cstheme="majorBidi"/>
          <w:bCs/>
          <w:i/>
          <w:iCs/>
          <w:spacing w:val="-1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сети</w:t>
      </w:r>
      <w:r>
        <w:rPr>
          <w:rFonts w:asciiTheme="majorBidi" w:eastAsia="Trebuchet MS" w:hAnsiTheme="majorBidi" w:cstheme="majorBidi"/>
          <w:bCs/>
          <w:i/>
          <w:iCs/>
          <w:spacing w:val="-1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указаны</w:t>
      </w:r>
      <w:r>
        <w:rPr>
          <w:rFonts w:asciiTheme="majorBidi" w:eastAsia="Trebuchet MS" w:hAnsiTheme="majorBidi" w:cstheme="majorBidi"/>
          <w:bCs/>
          <w:i/>
          <w:iCs/>
          <w:spacing w:val="-1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в</w:t>
      </w:r>
      <w:r>
        <w:rPr>
          <w:rFonts w:asciiTheme="majorBidi" w:eastAsia="Trebuchet MS" w:hAnsiTheme="majorBidi" w:cstheme="majorBidi"/>
          <w:bCs/>
          <w:i/>
          <w:iCs/>
          <w:spacing w:val="-1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z w:val="24"/>
          <w:szCs w:val="24"/>
        </w:rPr>
        <w:t>таблице</w:t>
      </w:r>
      <w:r>
        <w:rPr>
          <w:rFonts w:asciiTheme="majorBidi" w:eastAsia="Trebuchet MS" w:hAnsiTheme="majorBidi" w:cstheme="majorBidi"/>
          <w:bCs/>
          <w:i/>
          <w:iCs/>
          <w:spacing w:val="-7"/>
          <w:sz w:val="24"/>
          <w:szCs w:val="24"/>
        </w:rPr>
        <w:t xml:space="preserve"> </w:t>
      </w:r>
      <w:r>
        <w:rPr>
          <w:rFonts w:asciiTheme="majorBidi" w:eastAsia="Trebuchet MS" w:hAnsiTheme="majorBidi" w:cstheme="majorBidi"/>
          <w:bCs/>
          <w:i/>
          <w:iCs/>
          <w:spacing w:val="-4"/>
          <w:sz w:val="24"/>
          <w:szCs w:val="24"/>
        </w:rPr>
        <w:t>2–1.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5"/>
        <w:gridCol w:w="1951"/>
        <w:gridCol w:w="2384"/>
      </w:tblGrid>
      <w:tr w:rsidR="00CF31B5" w14:paraId="542C4337" w14:textId="77777777">
        <w:tc>
          <w:tcPr>
            <w:tcW w:w="2880" w:type="dxa"/>
          </w:tcPr>
          <w:p w14:paraId="05BA01CA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Требование</w:t>
            </w:r>
          </w:p>
        </w:tc>
        <w:tc>
          <w:tcPr>
            <w:tcW w:w="2880" w:type="dxa"/>
          </w:tcPr>
          <w:p w14:paraId="4BE34E97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Значение</w:t>
            </w:r>
          </w:p>
        </w:tc>
        <w:tc>
          <w:tcPr>
            <w:tcW w:w="2880" w:type="dxa"/>
          </w:tcPr>
          <w:p w14:paraId="6A4AD723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Пояснение</w:t>
            </w:r>
          </w:p>
        </w:tc>
      </w:tr>
      <w:tr w:rsidR="00CF31B5" w14:paraId="13385BC0" w14:textId="77777777">
        <w:tc>
          <w:tcPr>
            <w:tcW w:w="2880" w:type="dxa"/>
          </w:tcPr>
          <w:p w14:paraId="411B653B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Тип точек доступа (ТД)</w:t>
            </w:r>
          </w:p>
        </w:tc>
        <w:tc>
          <w:tcPr>
            <w:tcW w:w="2880" w:type="dxa"/>
          </w:tcPr>
          <w:p w14:paraId="53075084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Cisco Aironet 3702i</w:t>
            </w:r>
          </w:p>
        </w:tc>
        <w:tc>
          <w:tcPr>
            <w:tcW w:w="2880" w:type="dxa"/>
          </w:tcPr>
          <w:p w14:paraId="5AA8A7C0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С интегрированными антеннами, поддержка диапазонов 2.4 ГГц и 5 ГГц</w:t>
            </w:r>
          </w:p>
        </w:tc>
      </w:tr>
      <w:tr w:rsidR="00CF31B5" w14:paraId="2B925C38" w14:textId="77777777">
        <w:tc>
          <w:tcPr>
            <w:tcW w:w="2880" w:type="dxa"/>
          </w:tcPr>
          <w:p w14:paraId="742496E9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Минимальный уровень сигнала от 1-й ТД</w:t>
            </w:r>
          </w:p>
        </w:tc>
        <w:tc>
          <w:tcPr>
            <w:tcW w:w="2880" w:type="dxa"/>
          </w:tcPr>
          <w:p w14:paraId="3ABE5165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–67.0 дБм</w:t>
            </w:r>
          </w:p>
        </w:tc>
        <w:tc>
          <w:tcPr>
            <w:tcW w:w="2880" w:type="dxa"/>
          </w:tcPr>
          <w:p w14:paraId="32456722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Для обеспечения стабильной связи на чувствительном клиентском устройстве</w:t>
            </w:r>
          </w:p>
        </w:tc>
      </w:tr>
      <w:tr w:rsidR="00CF31B5" w14:paraId="16C62AFC" w14:textId="77777777">
        <w:tc>
          <w:tcPr>
            <w:tcW w:w="2880" w:type="dxa"/>
          </w:tcPr>
          <w:p w14:paraId="28E89428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Минимальный уровень сигнала от 2-й ТД</w:t>
            </w:r>
          </w:p>
        </w:tc>
        <w:tc>
          <w:tcPr>
            <w:tcW w:w="2880" w:type="dxa"/>
          </w:tcPr>
          <w:p w14:paraId="7D8884C4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–75.0 дБм</w:t>
            </w:r>
          </w:p>
        </w:tc>
        <w:tc>
          <w:tcPr>
            <w:tcW w:w="2880" w:type="dxa"/>
          </w:tcPr>
          <w:p w14:paraId="795A42EB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Для обеспечения покрытия в случае отказа основной ТД</w:t>
            </w:r>
          </w:p>
        </w:tc>
      </w:tr>
      <w:tr w:rsidR="00CF31B5" w14:paraId="75F73483" w14:textId="77777777">
        <w:tc>
          <w:tcPr>
            <w:tcW w:w="2880" w:type="dxa"/>
          </w:tcPr>
          <w:p w14:paraId="4B6BB188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Соотношение сигнал/шум (SNR)</w:t>
            </w:r>
          </w:p>
        </w:tc>
        <w:tc>
          <w:tcPr>
            <w:tcW w:w="2880" w:type="dxa"/>
          </w:tcPr>
          <w:p w14:paraId="7D8679C8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≥ 20 дБ</w:t>
            </w:r>
          </w:p>
        </w:tc>
        <w:tc>
          <w:tcPr>
            <w:tcW w:w="2880" w:type="dxa"/>
          </w:tcPr>
          <w:p w14:paraId="2AFAE385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Для стабильной передачи данных</w:t>
            </w:r>
          </w:p>
        </w:tc>
      </w:tr>
      <w:tr w:rsidR="00CF31B5" w14:paraId="75607FF4" w14:textId="77777777">
        <w:tc>
          <w:tcPr>
            <w:tcW w:w="2880" w:type="dxa"/>
          </w:tcPr>
          <w:p w14:paraId="27A68592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Перекрытие каналов (со-канальные помехи)</w:t>
            </w:r>
          </w:p>
        </w:tc>
        <w:tc>
          <w:tcPr>
            <w:tcW w:w="2880" w:type="dxa"/>
          </w:tcPr>
          <w:p w14:paraId="3A5EEECE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≤ 1 (для 5 ГГц)</w:t>
            </w:r>
            <w:r>
              <w:rPr>
                <w:rFonts w:asciiTheme="majorBidi" w:hAnsiTheme="majorBidi" w:cstheme="majorBidi"/>
              </w:rPr>
              <w:br/>
              <w:t>≤ 3 (для 2.4 ГГц)</w:t>
            </w:r>
          </w:p>
        </w:tc>
        <w:tc>
          <w:tcPr>
            <w:tcW w:w="2880" w:type="dxa"/>
          </w:tcPr>
          <w:p w14:paraId="66FC3A96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При уровне сигнала выше –85.0 дБм</w:t>
            </w:r>
          </w:p>
        </w:tc>
      </w:tr>
      <w:tr w:rsidR="00CF31B5" w14:paraId="0533C571" w14:textId="77777777">
        <w:tc>
          <w:tcPr>
            <w:tcW w:w="2880" w:type="dxa"/>
          </w:tcPr>
          <w:p w14:paraId="1219B053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Пропускная способность (Data Rate)</w:t>
            </w:r>
          </w:p>
        </w:tc>
        <w:tc>
          <w:tcPr>
            <w:tcW w:w="2880" w:type="dxa"/>
          </w:tcPr>
          <w:p w14:paraId="7E8E1D37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≥ 24 Мбит/с</w:t>
            </w:r>
          </w:p>
        </w:tc>
        <w:tc>
          <w:tcPr>
            <w:tcW w:w="2880" w:type="dxa"/>
          </w:tcPr>
          <w:p w14:paraId="2D03C89C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Минимальный уровень для устойчивой передачи данных</w:t>
            </w:r>
          </w:p>
        </w:tc>
      </w:tr>
      <w:tr w:rsidR="00CF31B5" w14:paraId="0DEC857B" w14:textId="77777777">
        <w:tc>
          <w:tcPr>
            <w:tcW w:w="2880" w:type="dxa"/>
          </w:tcPr>
          <w:p w14:paraId="2E2A3F71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RTS/CTS</w:t>
            </w:r>
          </w:p>
        </w:tc>
        <w:tc>
          <w:tcPr>
            <w:tcW w:w="2880" w:type="dxa"/>
          </w:tcPr>
          <w:p w14:paraId="25D09F27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Включено</w:t>
            </w:r>
          </w:p>
        </w:tc>
        <w:tc>
          <w:tcPr>
            <w:tcW w:w="2880" w:type="dxa"/>
          </w:tcPr>
          <w:p w14:paraId="4F76717C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Для предотвращения коллизий в плотных средах</w:t>
            </w:r>
          </w:p>
        </w:tc>
      </w:tr>
      <w:tr w:rsidR="00CF31B5" w14:paraId="2A897741" w14:textId="77777777">
        <w:tc>
          <w:tcPr>
            <w:tcW w:w="2880" w:type="dxa"/>
          </w:tcPr>
          <w:p w14:paraId="45C97495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Типовые клиентские устройства</w:t>
            </w:r>
          </w:p>
        </w:tc>
        <w:tc>
          <w:tcPr>
            <w:tcW w:w="2880" w:type="dxa"/>
          </w:tcPr>
          <w:p w14:paraId="5C8A5B1C" w14:textId="77777777" w:rsidR="00CF31B5" w:rsidRDefault="00000000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1. Generic Smartphone (Wi-Fi 5, 2x2, 80 MHz)</w:t>
            </w:r>
            <w:r>
              <w:rPr>
                <w:rFonts w:asciiTheme="majorBidi" w:hAnsiTheme="majorBidi" w:cstheme="majorBidi"/>
                <w:lang w:val="en-US"/>
              </w:rPr>
              <w:br/>
              <w:t>2. Generic Laptop (Wi-Fi 6, 2x2, 80 MHz)</w:t>
            </w:r>
          </w:p>
        </w:tc>
        <w:tc>
          <w:tcPr>
            <w:tcW w:w="2880" w:type="dxa"/>
          </w:tcPr>
          <w:p w14:paraId="42D618FD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Смартфоны — 100 устройств, 2 Мбит/с</w:t>
            </w:r>
            <w:r>
              <w:rPr>
                <w:rFonts w:asciiTheme="majorBidi" w:hAnsiTheme="majorBidi" w:cstheme="majorBidi"/>
              </w:rPr>
              <w:br/>
              <w:t>Ноутбуки — 50 устройств, 4 Мбит/с</w:t>
            </w:r>
          </w:p>
        </w:tc>
      </w:tr>
      <w:tr w:rsidR="00CF31B5" w14:paraId="75ACFC40" w14:textId="77777777">
        <w:tc>
          <w:tcPr>
            <w:tcW w:w="2880" w:type="dxa"/>
          </w:tcPr>
          <w:p w14:paraId="76B0CE2E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Общая нагрузка</w:t>
            </w:r>
          </w:p>
        </w:tc>
        <w:tc>
          <w:tcPr>
            <w:tcW w:w="2880" w:type="dxa"/>
          </w:tcPr>
          <w:p w14:paraId="77E2A52E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150 устройств, 400 Мбит/с</w:t>
            </w:r>
          </w:p>
        </w:tc>
        <w:tc>
          <w:tcPr>
            <w:tcW w:w="2880" w:type="dxa"/>
          </w:tcPr>
          <w:p w14:paraId="4CE7DA42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Суммарная расчётная пропускная способность</w:t>
            </w:r>
          </w:p>
        </w:tc>
      </w:tr>
      <w:tr w:rsidR="00CF31B5" w14:paraId="0DECD6BC" w14:textId="77777777">
        <w:tc>
          <w:tcPr>
            <w:tcW w:w="2880" w:type="dxa"/>
          </w:tcPr>
          <w:p w14:paraId="08562122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Количество SSID</w:t>
            </w:r>
          </w:p>
        </w:tc>
        <w:tc>
          <w:tcPr>
            <w:tcW w:w="2880" w:type="dxa"/>
          </w:tcPr>
          <w:p w14:paraId="6B41CED2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880" w:type="dxa"/>
          </w:tcPr>
          <w:p w14:paraId="56A83457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Рабочая, гостевая, административная сеть</w:t>
            </w:r>
          </w:p>
        </w:tc>
      </w:tr>
      <w:tr w:rsidR="00CF31B5" w14:paraId="624DA00B" w14:textId="77777777">
        <w:tc>
          <w:tcPr>
            <w:tcW w:w="2880" w:type="dxa"/>
          </w:tcPr>
          <w:p w14:paraId="51F697B4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Ширина канала</w:t>
            </w:r>
          </w:p>
        </w:tc>
        <w:tc>
          <w:tcPr>
            <w:tcW w:w="2880" w:type="dxa"/>
          </w:tcPr>
          <w:p w14:paraId="7C26B113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 МГц (2.4 ГГц), 80 МГц (5 ГГц)</w:t>
            </w:r>
          </w:p>
        </w:tc>
        <w:tc>
          <w:tcPr>
            <w:tcW w:w="2880" w:type="dxa"/>
          </w:tcPr>
          <w:p w14:paraId="73641A30" w14:textId="77777777" w:rsidR="00CF31B5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Соответствует политике Ekahau Best Practices</w:t>
            </w:r>
          </w:p>
        </w:tc>
      </w:tr>
    </w:tbl>
    <w:p w14:paraId="5701A288" w14:textId="77777777" w:rsidR="00CF31B5" w:rsidRDefault="00CF31B5">
      <w:pPr>
        <w:spacing w:line="360" w:lineRule="auto"/>
        <w:jc w:val="both"/>
        <w:rPr>
          <w:rFonts w:asciiTheme="majorBidi" w:hAnsiTheme="majorBidi" w:cstheme="majorBidi"/>
          <w:bCs/>
          <w:rtl/>
        </w:rPr>
      </w:pPr>
    </w:p>
    <w:p w14:paraId="74C521C1" w14:textId="77777777" w:rsidR="00CF31B5" w:rsidRDefault="00000000">
      <w:pPr>
        <w:pStyle w:val="1"/>
        <w:numPr>
          <w:ilvl w:val="0"/>
          <w:numId w:val="3"/>
        </w:numPr>
        <w:spacing w:line="360" w:lineRule="auto"/>
        <w:rPr>
          <w:rFonts w:asciiTheme="majorBidi" w:hAnsiTheme="majorBidi"/>
          <w:b w:val="0"/>
          <w:color w:val="auto"/>
          <w:rtl/>
        </w:rPr>
      </w:pPr>
      <w:bookmarkStart w:id="2" w:name="_Toc201827675"/>
      <w:r>
        <w:rPr>
          <w:rFonts w:asciiTheme="majorBidi" w:hAnsiTheme="majorBidi"/>
          <w:b w:val="0"/>
          <w:color w:val="auto"/>
        </w:rPr>
        <w:t>Инженерные требования к Wi-Fi сети</w:t>
      </w:r>
      <w:bookmarkEnd w:id="2"/>
    </w:p>
    <w:p w14:paraId="49ACEDF6" w14:textId="77777777" w:rsidR="00CF31B5" w:rsidRDefault="0000000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На сегодняшний день не существует единого стандарта, чётко определяющего параметры, гарантирующие стабильную работу Wi-Fi сети. Тем не менее, при проектировании беспроводной сети для четвёртого этажа ИРИТ-РТФ использовались лучшие практики проектирования, рекомендованные Ekahau.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Wi-Fi сеть должна обеспечивать максимальную канальную скорость передачи данных, которая зависит от выбранной технологии (Wi-Fi 4/5/6), типа модуляции, уровня принимаемого сигнала (RSSI) и соотношения сигнал/шум (SNR). Канальная скорость изменяется динамически через механизм Dynamic Rate Shifting (DRS), который контролируется драйверами устройств клиентов.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lastRenderedPageBreak/>
        <w:br/>
        <w:t>Даже при хорошем уровне сигнала (–67 дБм и выше), из-за наличия отражений, многолучевого распространения и радиопомех, скорость может снижаться. Поэтому одним из основных требований к Wi-Fi сети является наличие не только основной, но и резервной зоны покрытия от второй точки доступа.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В проекте учитывалась плотность клиентов: 100 смартфонов и 50 ноутбуков, с расчётной нагрузкой до 400 Мбит/с. Расчёт производился исходя из типовых параметров:</w:t>
      </w:r>
      <w:r>
        <w:rPr>
          <w:rFonts w:asciiTheme="majorBidi" w:hAnsiTheme="majorBidi" w:cstheme="majorBidi"/>
        </w:rPr>
        <w:br/>
        <w:t>- смартфон: 2 Мбит/с</w:t>
      </w:r>
      <w:r>
        <w:rPr>
          <w:rFonts w:asciiTheme="majorBidi" w:hAnsiTheme="majorBidi" w:cstheme="majorBidi"/>
        </w:rPr>
        <w:br/>
        <w:t>- ноутбук: 4 Мбит/с</w:t>
      </w:r>
      <w:r>
        <w:rPr>
          <w:rFonts w:asciiTheme="majorBidi" w:hAnsiTheme="majorBidi" w:cstheme="majorBidi"/>
        </w:rPr>
        <w:br/>
        <w:t>Для поддержания стабильной связи были заданы следующие параметры:</w:t>
      </w:r>
      <w:r>
        <w:rPr>
          <w:rFonts w:asciiTheme="majorBidi" w:hAnsiTheme="majorBidi" w:cstheme="majorBidi"/>
        </w:rPr>
        <w:br/>
        <w:t>- минимальный уровень сигнала от 1-й ТД: –67 дБм</w:t>
      </w:r>
      <w:r>
        <w:rPr>
          <w:rFonts w:asciiTheme="majorBidi" w:hAnsiTheme="majorBidi" w:cstheme="majorBidi"/>
        </w:rPr>
        <w:br/>
        <w:t>- минимальный уровень сигнала от 2-й ТД: –75 дБм</w:t>
      </w:r>
      <w:r>
        <w:rPr>
          <w:rFonts w:asciiTheme="majorBidi" w:hAnsiTheme="majorBidi" w:cstheme="majorBidi"/>
        </w:rPr>
        <w:br/>
        <w:t>- минимальный SNR: 20–25 дБ</w:t>
      </w:r>
      <w:r>
        <w:rPr>
          <w:rFonts w:asciiTheme="majorBidi" w:hAnsiTheme="majorBidi" w:cstheme="majorBidi"/>
        </w:rPr>
        <w:br/>
        <w:t>- минимальная скорость передачи данных: 24 Мбит/с</w:t>
      </w:r>
      <w:r>
        <w:rPr>
          <w:rFonts w:asciiTheme="majorBidi" w:hAnsiTheme="majorBidi" w:cstheme="majorBidi"/>
        </w:rPr>
        <w:br/>
        <w:t>- минимальный basic rate: 12 Мбит/с</w:t>
      </w:r>
      <w:r>
        <w:rPr>
          <w:rFonts w:asciiTheme="majorBidi" w:hAnsiTheme="majorBidi" w:cstheme="majorBidi"/>
        </w:rPr>
        <w:br/>
        <w:t>Особое внимание уделялось количеству точек доступа, работающих на одном канале. В диапазоне 5 ГГц использовались каналы Uni-1, Uni-2 и Uni-3 (всего 17), за исключением канала 144, который не рекомендуется, так как не поддерживается рядом клиентских устройств.</w:t>
      </w:r>
      <w:r>
        <w:rPr>
          <w:rFonts w:asciiTheme="majorBidi" w:hAnsiTheme="majorBidi" w:cstheme="majorBidi"/>
        </w:rPr>
        <w:br/>
        <w:t xml:space="preserve">Оценка стабильности сети и корректности размещения ТД выполнялась на основе параметра Channel Interference. Рекомендацией является, чтобы точки доступа, работающие на одном канале, не находились в зоне слышимости друг друга на </w:t>
      </w:r>
      <w:r>
        <w:rPr>
          <w:rFonts w:asciiTheme="majorBidi" w:hAnsiTheme="majorBidi" w:cstheme="majorBidi"/>
        </w:rPr>
        <w:lastRenderedPageBreak/>
        <w:t>уровне выше –85 дБм, что может привести к ложному срабатыванию CCA (Carrier Sense).</w:t>
      </w:r>
      <w:r>
        <w:rPr>
          <w:rFonts w:asciiTheme="majorBidi" w:hAnsiTheme="majorBidi" w:cstheme="majorBidi"/>
        </w:rPr>
        <w:br/>
        <w:t>За наименее чувствительное устройство принята модель HP ProBook 650 G8 (250A5EA), а за наиболее требовательное — Apple MacBook Pro 16 (A2141). Приёмлемый уровень сигнала определялся как –67 дБм, с учётом значений, полученных при измерениях и прогнозировании в программной среде Ekahau AI Pro.</w:t>
      </w:r>
      <w:r>
        <w:rPr>
          <w:rFonts w:asciiTheme="majorBidi" w:hAnsiTheme="majorBidi" w:cstheme="majorBidi"/>
        </w:rPr>
        <w:br/>
        <w:t>Все инженерные параметры согласованы с Best Practices от Ekahau и адаптированы под плотную учебную среду.</w:t>
      </w:r>
      <w:r>
        <w:rPr>
          <w:rFonts w:asciiTheme="majorBidi" w:hAnsiTheme="majorBidi" w:cstheme="majorBidi"/>
        </w:rPr>
        <w:br/>
      </w:r>
    </w:p>
    <w:p w14:paraId="0A31D228" w14:textId="77777777" w:rsidR="00CF31B5" w:rsidRDefault="00000000">
      <w:pPr>
        <w:pStyle w:val="1"/>
        <w:numPr>
          <w:ilvl w:val="0"/>
          <w:numId w:val="3"/>
        </w:numPr>
        <w:spacing w:line="360" w:lineRule="auto"/>
        <w:rPr>
          <w:rFonts w:asciiTheme="majorBidi" w:hAnsiTheme="majorBidi"/>
          <w:b w:val="0"/>
          <w:color w:val="auto"/>
          <w:rtl/>
        </w:rPr>
      </w:pPr>
      <w:bookmarkStart w:id="3" w:name="_Toc201827676"/>
      <w:r>
        <w:rPr>
          <w:rFonts w:asciiTheme="majorBidi" w:hAnsiTheme="majorBidi"/>
          <w:b w:val="0"/>
          <w:color w:val="auto"/>
        </w:rPr>
        <w:t>Цели проведения радиообследования и анализа</w:t>
      </w:r>
      <w:bookmarkEnd w:id="3"/>
    </w:p>
    <w:p w14:paraId="34580F90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Проведение оценки текущего состояния проектируемой </w:t>
      </w:r>
      <w:r>
        <w:rPr>
          <w:rFonts w:asciiTheme="majorBidi" w:hAnsiTheme="majorBidi" w:cstheme="majorBidi"/>
        </w:rPr>
        <w:t>Wi</w:t>
      </w:r>
      <w:r>
        <w:rPr>
          <w:rFonts w:asciiTheme="majorBidi" w:hAnsiTheme="majorBidi" w:cstheme="majorBidi"/>
          <w:lang w:val="ru-RU"/>
        </w:rPr>
        <w:t>-</w:t>
      </w:r>
      <w:r>
        <w:rPr>
          <w:rFonts w:asciiTheme="majorBidi" w:hAnsiTheme="majorBidi" w:cstheme="majorBidi"/>
        </w:rPr>
        <w:t>Fi</w:t>
      </w:r>
      <w:r>
        <w:rPr>
          <w:rFonts w:asciiTheme="majorBidi" w:hAnsiTheme="majorBidi" w:cstheme="majorBidi"/>
          <w:lang w:val="ru-RU"/>
        </w:rPr>
        <w:t xml:space="preserve"> сети на 4 этаже ИРИТ-РТФ;</w:t>
      </w:r>
    </w:p>
    <w:p w14:paraId="3159E8A5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Проверка соответствия сети установленным инженерным требованиям, включая покрытие, уровень сигнала, соотношение сигнал/шум и интерференцию каналов;</w:t>
      </w:r>
    </w:p>
    <w:p w14:paraId="613ED9E8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Анализ качества покрытия с учетом реальных замеров, выполненных с помощью устройства </w:t>
      </w:r>
      <w:proofErr w:type="spellStart"/>
      <w:r>
        <w:rPr>
          <w:rFonts w:asciiTheme="majorBidi" w:hAnsiTheme="majorBidi" w:cstheme="majorBidi"/>
        </w:rPr>
        <w:t>Ekahau</w:t>
      </w:r>
      <w:proofErr w:type="spellEnd"/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Sidekick</w:t>
      </w:r>
      <w:r>
        <w:rPr>
          <w:rFonts w:asciiTheme="majorBidi" w:hAnsiTheme="majorBidi" w:cstheme="majorBidi"/>
          <w:lang w:val="ru-RU"/>
        </w:rPr>
        <w:t>;</w:t>
      </w:r>
    </w:p>
    <w:p w14:paraId="433A7C90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Определение зон с недостаточным уровнем сигнала или высокой загрузкой эфира;</w:t>
      </w:r>
    </w:p>
    <w:p w14:paraId="35C96DA4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Оптимизация расположения точек доступа и мощности передачи с целью повышения стабильности и надёжности работы сети;</w:t>
      </w:r>
    </w:p>
    <w:p w14:paraId="0B7FF171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Обеспечение бесперебойной работы клиентских устройств и возможность быстрого роуминга между точками доступа;</w:t>
      </w:r>
    </w:p>
    <w:p w14:paraId="465E2CC1" w14:textId="77777777" w:rsidR="00CF31B5" w:rsidRDefault="00000000">
      <w:pPr>
        <w:pStyle w:val="a"/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Подготовка рекомендаций по улучшению сети на основе сравнения теоретической модели и реальных измерений.</w:t>
      </w:r>
    </w:p>
    <w:p w14:paraId="25E7C480" w14:textId="77777777" w:rsidR="00CF31B5" w:rsidRDefault="00CF31B5">
      <w:pPr>
        <w:rPr>
          <w:rtl/>
        </w:rPr>
      </w:pPr>
    </w:p>
    <w:p w14:paraId="476A3AEA" w14:textId="77777777" w:rsidR="00CF31B5" w:rsidRDefault="00000000">
      <w:pPr>
        <w:pStyle w:val="1"/>
        <w:numPr>
          <w:ilvl w:val="0"/>
          <w:numId w:val="3"/>
        </w:numPr>
        <w:spacing w:line="360" w:lineRule="auto"/>
        <w:rPr>
          <w:rFonts w:asciiTheme="majorBidi" w:hAnsiTheme="majorBidi"/>
          <w:b w:val="0"/>
          <w:color w:val="auto"/>
          <w:rtl/>
        </w:rPr>
      </w:pPr>
      <w:bookmarkStart w:id="4" w:name="_Toc201827677"/>
      <w:r>
        <w:rPr>
          <w:rFonts w:asciiTheme="majorBidi" w:hAnsiTheme="majorBidi"/>
          <w:b w:val="0"/>
          <w:color w:val="auto"/>
        </w:rPr>
        <w:t>Оборудование</w:t>
      </w:r>
      <w:bookmarkEnd w:id="4"/>
    </w:p>
    <w:p w14:paraId="516309BC" w14:textId="77777777" w:rsidR="00CF31B5" w:rsidRDefault="00000000">
      <w:pPr>
        <w:pStyle w:val="a0"/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Планшет </w:t>
      </w:r>
      <w:r>
        <w:rPr>
          <w:rFonts w:asciiTheme="majorBidi" w:hAnsiTheme="majorBidi" w:cstheme="majorBidi"/>
        </w:rPr>
        <w:t>Apple</w:t>
      </w:r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iPad</w:t>
      </w:r>
      <w:r>
        <w:rPr>
          <w:rFonts w:asciiTheme="majorBidi" w:hAnsiTheme="majorBidi" w:cstheme="majorBidi"/>
          <w:lang w:val="ru-RU"/>
        </w:rPr>
        <w:t xml:space="preserve"> (с установленным ПО </w:t>
      </w:r>
      <w:proofErr w:type="spellStart"/>
      <w:r>
        <w:rPr>
          <w:rFonts w:asciiTheme="majorBidi" w:hAnsiTheme="majorBidi" w:cstheme="majorBidi"/>
        </w:rPr>
        <w:t>Ekahau</w:t>
      </w:r>
      <w:proofErr w:type="spellEnd"/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Survey</w:t>
      </w:r>
      <w:r>
        <w:rPr>
          <w:rFonts w:asciiTheme="majorBidi" w:hAnsiTheme="majorBidi" w:cstheme="majorBidi"/>
          <w:lang w:val="ru-RU"/>
        </w:rPr>
        <w:t>)</w:t>
      </w:r>
    </w:p>
    <w:p w14:paraId="5F794C42" w14:textId="77777777" w:rsidR="00CF31B5" w:rsidRDefault="00000000">
      <w:pPr>
        <w:pStyle w:val="a0"/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Измерительный модуль </w:t>
      </w:r>
      <w:proofErr w:type="spellStart"/>
      <w:r>
        <w:rPr>
          <w:rFonts w:asciiTheme="majorBidi" w:hAnsiTheme="majorBidi" w:cstheme="majorBidi"/>
        </w:rPr>
        <w:t>Ekahau</w:t>
      </w:r>
      <w:proofErr w:type="spellEnd"/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Sidekick</w:t>
      </w:r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ESK</w:t>
      </w:r>
      <w:r>
        <w:rPr>
          <w:rFonts w:asciiTheme="majorBidi" w:hAnsiTheme="majorBidi" w:cstheme="majorBidi"/>
          <w:lang w:val="ru-RU"/>
        </w:rPr>
        <w:t>-1</w:t>
      </w:r>
    </w:p>
    <w:p w14:paraId="4B6F6D72" w14:textId="77777777" w:rsidR="00CF31B5" w:rsidRDefault="00000000">
      <w:pPr>
        <w:pStyle w:val="a0"/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Программное обеспечение </w:t>
      </w:r>
      <w:proofErr w:type="spellStart"/>
      <w:r>
        <w:rPr>
          <w:rFonts w:asciiTheme="majorBidi" w:hAnsiTheme="majorBidi" w:cstheme="majorBidi"/>
        </w:rPr>
        <w:t>Ekahau</w:t>
      </w:r>
      <w:proofErr w:type="spellEnd"/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AI</w:t>
      </w:r>
      <w:r>
        <w:rPr>
          <w:rFonts w:asciiTheme="majorBidi" w:hAnsiTheme="majorBidi" w:cstheme="majorBidi"/>
          <w:lang w:val="ru-RU"/>
        </w:rPr>
        <w:t xml:space="preserve"> </w:t>
      </w:r>
      <w:r>
        <w:rPr>
          <w:rFonts w:asciiTheme="majorBidi" w:hAnsiTheme="majorBidi" w:cstheme="majorBidi"/>
        </w:rPr>
        <w:t>Pro</w:t>
      </w:r>
      <w:r>
        <w:rPr>
          <w:rFonts w:asciiTheme="majorBidi" w:hAnsiTheme="majorBidi" w:cstheme="majorBidi"/>
          <w:lang w:val="ru-RU"/>
        </w:rPr>
        <w:t>, версия 11.8.2.1</w:t>
      </w:r>
    </w:p>
    <w:p w14:paraId="0CC696B8" w14:textId="77777777" w:rsidR="00CF31B5" w:rsidRDefault="00000000">
      <w:pPr>
        <w:pStyle w:val="a0"/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Ноутбук (использовался для моделирования и анализа проекта)</w:t>
      </w:r>
    </w:p>
    <w:p w14:paraId="3990BE53" w14:textId="77777777" w:rsidR="00CF31B5" w:rsidRDefault="00CF31B5">
      <w:pPr>
        <w:spacing w:line="360" w:lineRule="auto"/>
        <w:jc w:val="both"/>
        <w:rPr>
          <w:rFonts w:asciiTheme="majorBidi" w:hAnsiTheme="majorBidi" w:cstheme="majorBidi"/>
          <w:bCs/>
          <w:lang w:bidi="ar-EG"/>
        </w:rPr>
      </w:pPr>
    </w:p>
    <w:p w14:paraId="00E259D0" w14:textId="77777777" w:rsidR="00CF31B5" w:rsidRDefault="00000000">
      <w:pPr>
        <w:pStyle w:val="1"/>
        <w:numPr>
          <w:ilvl w:val="0"/>
          <w:numId w:val="3"/>
        </w:numPr>
        <w:spacing w:line="360" w:lineRule="auto"/>
        <w:rPr>
          <w:rFonts w:asciiTheme="majorBidi" w:hAnsiTheme="majorBidi"/>
          <w:b w:val="0"/>
          <w:color w:val="auto"/>
          <w:rtl/>
          <w:lang w:bidi="ar-EG"/>
        </w:rPr>
      </w:pPr>
      <w:bookmarkStart w:id="5" w:name="_Toc201827678"/>
      <w:r>
        <w:rPr>
          <w:rFonts w:asciiTheme="majorBidi" w:hAnsiTheme="majorBidi"/>
          <w:b w:val="0"/>
          <w:color w:val="auto"/>
          <w:lang w:bidi="ar-EG"/>
        </w:rPr>
        <w:t>Методика обследования и интерпретации результатов</w:t>
      </w:r>
      <w:bookmarkEnd w:id="5"/>
    </w:p>
    <w:p w14:paraId="069C2402" w14:textId="77777777" w:rsidR="00CF31B5" w:rsidRDefault="00000000">
      <w:pPr>
        <w:spacing w:line="360" w:lineRule="auto"/>
        <w:rPr>
          <w:lang w:bidi="ar-EG"/>
        </w:rPr>
      </w:pPr>
      <w:r>
        <w:br/>
      </w:r>
      <w:r>
        <w:rPr>
          <w:rFonts w:asciiTheme="majorBidi" w:hAnsiTheme="majorBidi" w:cstheme="majorBidi"/>
        </w:rPr>
        <w:t>Инженер, с планшетом Apple iPad с установленным программным обеспечением Ekahau Survey и подключённым измерительным модулем Ekahau Sidekick, провёл радиообследование четвёртого этажа здания ИРИТ-РТФ. В программу была предварительно загружена карта этажа с корректно заданным масштабом и отмеченными строительными конструкциями, влияющими на распространение радиосигнала (кирпичные стены, остекление и др.).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 xml:space="preserve">Перед началом обследования были заданы ключевые параметры проектируемой сети: уровень сигнала, минимальный SNR, плотность клиентов и ожидаемая пропускная способность. Маршрут движения охватывал все помещения. Передвижение осуществлялось в ручном режиме с фиксацией точек каждые 3–5 метров, а также с использованием режима autopilot survey (ARKit), </w:t>
      </w:r>
      <w:r>
        <w:rPr>
          <w:rFonts w:asciiTheme="majorBidi" w:hAnsiTheme="majorBidi" w:cstheme="majorBidi"/>
        </w:rPr>
        <w:lastRenderedPageBreak/>
        <w:t>где программа автоматически определяла положение на основе начальной калибровки.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Во время обследования программа в реальном времени регистрировала параметры радиосигнала на каждом участке. На основании полученных данных Ekahau AI Pro построила карты покрытия (heatmaps) по различным критериям: уровень сигнала, SNR, вторичное покрытие, интерференция каналов и др.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Полученные карты были проанализированы инженером с учётом практических знаний и заранее установленных технических требований (см. раздел 2). Каждая карта интерпретируется и сопровождается пояснением в виде рисунка в соответствующем разделе отчёта.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В рамках моделирования и анализа мощность точек доступа и выбор каналов были зафиксированы и не изменялись на протяжении всего обследования, что позволило получить стабильные и сопоставимые результаты.</w:t>
      </w:r>
    </w:p>
    <w:p w14:paraId="2F1E10FC" w14:textId="77777777" w:rsidR="00CF31B5" w:rsidRDefault="00000000">
      <w:pPr>
        <w:pStyle w:val="1"/>
        <w:numPr>
          <w:ilvl w:val="0"/>
          <w:numId w:val="3"/>
        </w:numPr>
        <w:rPr>
          <w:rFonts w:asciiTheme="majorBidi" w:hAnsiTheme="majorBidi"/>
          <w:b w:val="0"/>
          <w:color w:val="auto"/>
        </w:rPr>
      </w:pPr>
      <w:bookmarkStart w:id="6" w:name="_Toc201827679"/>
      <w:r>
        <w:rPr>
          <w:rFonts w:asciiTheme="majorBidi" w:hAnsiTheme="majorBidi"/>
          <w:b w:val="0"/>
          <w:color w:val="auto"/>
        </w:rPr>
        <w:t>Радиообследование и анализ</w:t>
      </w:r>
      <w:bookmarkEnd w:id="6"/>
    </w:p>
    <w:p w14:paraId="2F7E519F" w14:textId="77777777" w:rsidR="00CF31B5" w:rsidRDefault="00000000">
      <w:pPr>
        <w:pStyle w:val="2"/>
        <w:spacing w:line="360" w:lineRule="auto"/>
        <w:rPr>
          <w:rFonts w:asciiTheme="majorBidi" w:hAnsiTheme="majorBidi"/>
          <w:b w:val="0"/>
          <w:color w:val="auto"/>
          <w:rtl/>
        </w:rPr>
      </w:pPr>
      <w:bookmarkStart w:id="7" w:name="_Toc201827680"/>
      <w:r>
        <w:rPr>
          <w:rFonts w:asciiTheme="majorBidi" w:hAnsiTheme="majorBidi"/>
          <w:bCs w:val="0"/>
          <w:color w:val="auto"/>
          <w:rtl/>
        </w:rPr>
        <w:t>7.1</w:t>
      </w:r>
      <w:r>
        <w:rPr>
          <w:rFonts w:asciiTheme="majorBidi" w:hAnsiTheme="majorBidi"/>
          <w:b w:val="0"/>
          <w:color w:val="auto"/>
        </w:rPr>
        <w:t xml:space="preserve"> Маршрут и ТД</w:t>
      </w:r>
      <w:bookmarkEnd w:id="7"/>
    </w:p>
    <w:p w14:paraId="1C0E128C" w14:textId="77777777" w:rsidR="00CF31B5" w:rsidRDefault="00000000">
      <w:pPr>
        <w:keepNext/>
        <w:spacing w:line="360" w:lineRule="auto"/>
      </w:pPr>
      <w:r>
        <w:br/>
      </w:r>
      <w:r>
        <w:rPr>
          <w:rFonts w:asciiTheme="majorBidi" w:hAnsiTheme="majorBidi" w:cstheme="majorBidi"/>
        </w:rPr>
        <w:t>На рисунках, представленных в данном разделе, зелёными линиями показан маршрут радиообследования, выполненного на 4 этаже здания ИРИТ-РТФ. Общая длина маршрута составила около 620 метров, включая все аудитории, лаборатории, административные помещения и коридоры.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lastRenderedPageBreak/>
        <w:br/>
        <w:t>Зелёные круги с подписями (например, AP-01, AP-440 и т.д.) обозначают установленные и смоделированные точки доступа Cisco Aironet 3702i, расположенные согласно проектной документации. Рядом с каждой точкой указаны:</w:t>
      </w:r>
      <w:r>
        <w:rPr>
          <w:rFonts w:asciiTheme="majorBidi" w:hAnsiTheme="majorBidi" w:cstheme="majorBidi"/>
        </w:rPr>
        <w:br/>
        <w:t>- номер радиоканала (Channel),</w:t>
      </w:r>
      <w:r>
        <w:rPr>
          <w:rFonts w:asciiTheme="majorBidi" w:hAnsiTheme="majorBidi" w:cstheme="majorBidi"/>
        </w:rPr>
        <w:br/>
        <w:t>- ширина канала (например, 20 МГц или 40 МГц),</w:t>
      </w:r>
      <w:r>
        <w:rPr>
          <w:rFonts w:asciiTheme="majorBidi" w:hAnsiTheme="majorBidi" w:cstheme="majorBidi"/>
        </w:rPr>
        <w:br/>
        <w:t>- мощность передатчика.</w:t>
      </w:r>
      <w:r>
        <w:rPr>
          <w:rFonts w:asciiTheme="majorBidi" w:hAnsiTheme="majorBidi" w:cstheme="majorBidi"/>
        </w:rPr>
        <w:br/>
        <w:t>Если ширина канала не указана явно — она считается равной 20 МГц по умолчанию.</w:t>
      </w:r>
      <w:r>
        <w:rPr>
          <w:rFonts w:asciiTheme="majorBidi" w:hAnsiTheme="majorBidi" w:cstheme="majorBidi"/>
        </w:rPr>
        <w:br/>
        <w:t>Белые круги представляют собой обнаруженные внешние точки доступа — принадлежащие другим сетям или устройствам (например, Wi-Fi интерфейсы принтеров, личные роутеры и т.п.). Они не были включены в визуализацию отчёта, так как не являются частью целевой инфраструктуры, однако могут влиять на параметры эфира в отдельных зонах.</w:t>
      </w:r>
      <w:r>
        <w:rPr>
          <w:rFonts w:asciiTheme="majorBidi" w:hAnsiTheme="majorBidi" w:cstheme="majorBidi"/>
        </w:rPr>
        <w:br/>
        <w:t xml:space="preserve">Также зафиксировано наличие других активных сетей на этажах выше, включая сеть на оборудовании Ruckus, а также сигналы от принтеров, расположенных в соседних кабинетах. Хотя их уровень и не критичен, они могут оказывать влияние на стабильность и </w:t>
      </w:r>
      <w:r>
        <w:rPr>
          <w:rFonts w:asciiTheme="majorBidi" w:hAnsiTheme="majorBidi" w:cstheme="majorBidi"/>
        </w:rPr>
        <w:lastRenderedPageBreak/>
        <w:t>производительность собственной Wi-Fi сети.</w:t>
      </w:r>
      <w:r>
        <w:rPr>
          <w:rFonts w:asciiTheme="majorBidi" w:hAnsiTheme="majorBidi" w:cstheme="majorBidi"/>
          <w:bCs/>
          <w:rtl/>
        </w:rPr>
        <w:t xml:space="preserve">                          </w:t>
      </w:r>
      <w:r>
        <w:rPr>
          <w:rFonts w:asciiTheme="majorBidi" w:hAnsiTheme="majorBidi" w:cstheme="majorBidi"/>
          <w:bCs/>
          <w:noProof/>
        </w:rPr>
        <w:drawing>
          <wp:inline distT="0" distB="0" distL="0" distR="0" wp14:anchorId="5C0741BF" wp14:editId="1D72176D">
            <wp:extent cx="2192655" cy="1715135"/>
            <wp:effectExtent l="133350" t="76200" r="74295" b="132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4266" t="874"/>
                    <a:stretch>
                      <a:fillRect/>
                    </a:stretch>
                  </pic:blipFill>
                  <pic:spPr>
                    <a:xfrm>
                      <a:off x="0" y="0"/>
                      <a:ext cx="2192755" cy="17156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2EA5585" w14:textId="77777777" w:rsidR="00CF31B5" w:rsidRDefault="00000000">
      <w:pPr>
        <w:pStyle w:val="a6"/>
        <w:rPr>
          <w:rFonts w:asciiTheme="majorBidi" w:hAnsiTheme="majorBidi" w:cstheme="majorBidi"/>
          <w:bCs/>
          <w:color w:val="auto"/>
          <w:rtl/>
        </w:rPr>
      </w:pPr>
      <w:r>
        <w:rPr>
          <w:color w:val="auto"/>
        </w:rPr>
        <w:t xml:space="preserve">Рисунок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Рисунок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cs"/>
          <w:color w:val="auto"/>
          <w:rtl/>
        </w:rPr>
        <w:t xml:space="preserve"> </w:t>
      </w:r>
      <w:r>
        <w:rPr>
          <w:color w:val="auto"/>
          <w:lang w:bidi="ar-EG"/>
        </w:rPr>
        <w:t>Маршрут обследования и расположение ТД</w:t>
      </w:r>
    </w:p>
    <w:p w14:paraId="52DFAA8A" w14:textId="77777777" w:rsidR="00CF31B5" w:rsidRDefault="00000000">
      <w:pPr>
        <w:pStyle w:val="2"/>
        <w:spacing w:line="360" w:lineRule="auto"/>
        <w:rPr>
          <w:rFonts w:asciiTheme="majorBidi" w:hAnsiTheme="majorBidi"/>
          <w:b w:val="0"/>
          <w:color w:val="auto"/>
        </w:rPr>
      </w:pPr>
      <w:bookmarkStart w:id="8" w:name="_Toc201827681"/>
      <w:r>
        <w:rPr>
          <w:rFonts w:asciiTheme="majorBidi" w:hAnsiTheme="majorBidi"/>
          <w:b w:val="0"/>
          <w:color w:val="auto"/>
        </w:rPr>
        <w:t>7.2.Уровень сигнала первой ТД</w:t>
      </w:r>
      <w:bookmarkEnd w:id="8"/>
    </w:p>
    <w:p w14:paraId="699E62C5" w14:textId="77777777" w:rsidR="00CF31B5" w:rsidRDefault="00000000">
      <w:pPr>
        <w:spacing w:line="360" w:lineRule="auto"/>
        <w:rPr>
          <w:rFonts w:asciiTheme="majorBidi" w:hAnsiTheme="majorBidi" w:cstheme="majorBidi"/>
          <w:bCs/>
          <w:rtl/>
        </w:rPr>
      </w:pPr>
      <w:r>
        <w:rPr>
          <w:rFonts w:asciiTheme="majorBidi" w:hAnsiTheme="majorBidi" w:cstheme="majorBidi"/>
          <w:bCs/>
        </w:rPr>
        <w:t>Уровень сигнала на клиентском устройстве во всех зонах измерений (также называемый радиопокрытием) является одним из ключевых параметров при проектировании беспроводной сети. В среде с несколькими точками доступа устройство одновременно "слышит" несколько ТД, но первой считается та, от которой сигнал наиболее мощный.</w:t>
      </w:r>
      <w:r>
        <w:rPr>
          <w:rFonts w:asciiTheme="majorBidi" w:hAnsiTheme="majorBidi" w:cstheme="majorBidi"/>
          <w:bCs/>
        </w:rPr>
        <w:br/>
      </w:r>
      <w:r>
        <w:rPr>
          <w:rFonts w:asciiTheme="majorBidi" w:hAnsiTheme="majorBidi" w:cstheme="majorBidi"/>
          <w:bCs/>
        </w:rPr>
        <w:br/>
        <w:t>Измерения уровня сигнала проводились на высоте 1 метр — типичной высоте размещения клиентских устройств (ноутбуков, смартфонов). Чем выше уровень сигнала, тем выше потенциальная скорость передачи данных.</w:t>
      </w:r>
      <w:r>
        <w:rPr>
          <w:rFonts w:asciiTheme="majorBidi" w:hAnsiTheme="majorBidi" w:cstheme="majorBidi"/>
          <w:bCs/>
        </w:rPr>
        <w:br/>
      </w:r>
      <w:r>
        <w:rPr>
          <w:rFonts w:asciiTheme="majorBidi" w:hAnsiTheme="majorBidi" w:cstheme="majorBidi"/>
          <w:bCs/>
        </w:rPr>
        <w:br/>
        <w:t>На приведённых тепловых картах зоны покрытия отображаются с использованием цветовой градации:</w:t>
      </w:r>
      <w:r>
        <w:rPr>
          <w:rFonts w:asciiTheme="majorBidi" w:hAnsiTheme="majorBidi" w:cstheme="majorBidi"/>
          <w:bCs/>
        </w:rPr>
        <w:br/>
        <w:t>- Зелёный цвет — высокий уровень сигнала;</w:t>
      </w:r>
      <w:r>
        <w:rPr>
          <w:rFonts w:asciiTheme="majorBidi" w:hAnsiTheme="majorBidi" w:cstheme="majorBidi"/>
          <w:bCs/>
        </w:rPr>
        <w:br/>
        <w:t>- Оранжевый цвет — граница качества (от –65 дБм до –67 дБм);</w:t>
      </w:r>
      <w:r>
        <w:rPr>
          <w:rFonts w:asciiTheme="majorBidi" w:hAnsiTheme="majorBidi" w:cstheme="majorBidi"/>
          <w:bCs/>
        </w:rPr>
        <w:br/>
      </w:r>
      <w:r>
        <w:rPr>
          <w:rFonts w:asciiTheme="majorBidi" w:hAnsiTheme="majorBidi" w:cstheme="majorBidi"/>
          <w:bCs/>
        </w:rPr>
        <w:lastRenderedPageBreak/>
        <w:t>- Серый цвет — сигнал ниже допустимого уровня;</w:t>
      </w:r>
      <w:r>
        <w:rPr>
          <w:rFonts w:asciiTheme="majorBidi" w:hAnsiTheme="majorBidi" w:cstheme="majorBidi"/>
          <w:bCs/>
        </w:rPr>
        <w:br/>
        <w:t>- Каждая цветовая граница соответствует шагу в 3 дБм</w:t>
      </w:r>
    </w:p>
    <w:p w14:paraId="7C401C52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</w:rPr>
      </w:pPr>
      <w:r>
        <w:rPr>
          <w:rFonts w:asciiTheme="majorBidi" w:hAnsiTheme="majorBidi" w:cstheme="majorBidi"/>
          <w:bCs/>
          <w:noProof/>
        </w:rPr>
        <w:drawing>
          <wp:inline distT="0" distB="0" distL="0" distR="0" wp14:anchorId="3CF97EAC" wp14:editId="4A7D70AA">
            <wp:extent cx="2344420" cy="650240"/>
            <wp:effectExtent l="0" t="0" r="0" b="0"/>
            <wp:docPr id="1350449595" name="صورة 1" descr="صورة تحتوي على نص, لقطة شاشة, الخط, رق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9595" name="صورة 1" descr="صورة تحتوي على نص, لقطة شاشة, الخط, رقم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3677" cy="6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6030" w14:textId="77777777" w:rsidR="00CF31B5" w:rsidRDefault="00000000">
      <w:pPr>
        <w:pStyle w:val="3"/>
        <w:spacing w:line="360" w:lineRule="auto"/>
        <w:rPr>
          <w:rFonts w:asciiTheme="majorBidi" w:hAnsiTheme="majorBidi"/>
          <w:color w:val="auto"/>
          <w:rtl/>
        </w:rPr>
      </w:pPr>
      <w:bookmarkStart w:id="9" w:name="_Toc201827682"/>
      <w:r>
        <w:rPr>
          <w:rFonts w:asciiTheme="majorBidi" w:hAnsiTheme="majorBidi"/>
          <w:color w:val="auto"/>
        </w:rPr>
        <w:t>7.2.1 Уровень сигнала первой ТД в диапазоне 5ГГц</w:t>
      </w:r>
      <w:bookmarkEnd w:id="9"/>
    </w:p>
    <w:p w14:paraId="77F5E893" w14:textId="77777777" w:rsidR="00CF31B5" w:rsidRDefault="00000000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На рисунках в данном разделе отображён уровень сигнала первой ТД в диапазоне 5 ГГц. Цветовая шкала представлена под картой.</w:t>
      </w:r>
      <w:r>
        <w:rPr>
          <w:rFonts w:asciiTheme="majorBidi" w:hAnsiTheme="majorBidi" w:cstheme="majorBidi"/>
          <w:bCs/>
        </w:rPr>
        <w:br/>
      </w:r>
      <w:r>
        <w:rPr>
          <w:rFonts w:asciiTheme="majorBidi" w:hAnsiTheme="majorBidi" w:cstheme="majorBidi"/>
          <w:bCs/>
        </w:rPr>
        <w:br/>
        <w:t>До оптимизации параметры сигнала на большинстве участков были избыточно высокими, что теоретически хорошо — так как высокая мощность обеспечивает высокую скорость соединения. Однако в реальной эксплуатации это вызывало задержки в роуминге между точками, особенно на мобильных устройствах.</w:t>
      </w:r>
      <w:r>
        <w:rPr>
          <w:rFonts w:asciiTheme="majorBidi" w:hAnsiTheme="majorBidi" w:cstheme="majorBidi"/>
          <w:bCs/>
        </w:rPr>
        <w:br/>
      </w:r>
      <w:r>
        <w:rPr>
          <w:rFonts w:asciiTheme="majorBidi" w:hAnsiTheme="majorBidi" w:cstheme="majorBidi"/>
          <w:bCs/>
        </w:rPr>
        <w:br/>
        <w:t>Для улучшения поведения клиентов при переходе между зонами покрытия была произведена регулировка мощности передатчиков до ~10 дБм, что позволило:</w:t>
      </w:r>
      <w:r>
        <w:rPr>
          <w:rFonts w:asciiTheme="majorBidi" w:hAnsiTheme="majorBidi" w:cstheme="majorBidi"/>
          <w:bCs/>
        </w:rPr>
        <w:br/>
        <w:t>- сохранить высокую скорость соединения;</w:t>
      </w:r>
      <w:r>
        <w:rPr>
          <w:rFonts w:asciiTheme="majorBidi" w:hAnsiTheme="majorBidi" w:cstheme="majorBidi"/>
          <w:bCs/>
        </w:rPr>
        <w:br/>
        <w:t>- улучшить механизм переключения между ТД (роуминг);</w:t>
      </w:r>
      <w:r>
        <w:rPr>
          <w:rFonts w:asciiTheme="majorBidi" w:hAnsiTheme="majorBidi" w:cstheme="majorBidi"/>
          <w:bCs/>
        </w:rPr>
        <w:br/>
        <w:t>- повысить стабильность соединения в процессе перемещения пользователя.</w:t>
      </w:r>
    </w:p>
    <w:p w14:paraId="2FE8591F" w14:textId="77777777" w:rsidR="00CF31B5" w:rsidRDefault="00CF31B5">
      <w:pPr>
        <w:spacing w:line="360" w:lineRule="auto"/>
        <w:jc w:val="both"/>
        <w:rPr>
          <w:rFonts w:asciiTheme="majorBidi" w:hAnsiTheme="majorBidi" w:cstheme="majorBidi"/>
          <w:bCs/>
          <w:rtl/>
        </w:rPr>
      </w:pPr>
    </w:p>
    <w:p w14:paraId="7FAFCEB4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lang w:val="en-US" w:bidi="ar-EG"/>
        </w:rPr>
      </w:pPr>
      <w:r>
        <w:rPr>
          <w:noProof/>
        </w:rPr>
        <w:lastRenderedPageBreak/>
        <w:drawing>
          <wp:inline distT="0" distB="0" distL="114300" distR="114300" wp14:anchorId="4957FDFA" wp14:editId="4FB73FF4">
            <wp:extent cx="3055620" cy="3014980"/>
            <wp:effectExtent l="0" t="0" r="762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Cs/>
          <w:rtl/>
          <w:lang w:bidi="ar-EG"/>
        </w:rPr>
        <w:br/>
      </w:r>
    </w:p>
    <w:p w14:paraId="1699C46E" w14:textId="77777777" w:rsidR="00CF31B5" w:rsidRDefault="00000000">
      <w:pPr>
        <w:pStyle w:val="2"/>
        <w:spacing w:line="360" w:lineRule="auto"/>
        <w:rPr>
          <w:rFonts w:asciiTheme="majorBidi" w:hAnsiTheme="majorBidi"/>
          <w:b w:val="0"/>
          <w:color w:val="auto"/>
          <w:lang w:bidi="ar-EG"/>
        </w:rPr>
      </w:pPr>
      <w:bookmarkStart w:id="10" w:name="_Toc201827683"/>
      <w:r>
        <w:rPr>
          <w:rFonts w:asciiTheme="majorBidi" w:hAnsiTheme="majorBidi"/>
          <w:b w:val="0"/>
          <w:color w:val="auto"/>
          <w:lang w:bidi="ar-EG"/>
        </w:rPr>
        <w:t>7.3 Уровень сигнала второй ТД</w:t>
      </w:r>
      <w:bookmarkEnd w:id="10"/>
    </w:p>
    <w:p w14:paraId="24117F50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lang w:bidi="ar-EG"/>
        </w:rPr>
      </w:pPr>
      <w:r>
        <w:rPr>
          <w:rFonts w:asciiTheme="majorBidi" w:hAnsiTheme="majorBidi" w:cstheme="majorBidi"/>
          <w:bCs/>
          <w:lang w:bidi="ar-EG"/>
        </w:rPr>
        <w:t xml:space="preserve">В сети с большим числом ТД клиентское устройство “слышит” одновременно несколько. Какую из них устройство “слышит” с большим уровнем, та называется первой ТД. Следующая по уменьшению уровня сигнала ТД называется второй. Уровень сигнала второй точки доступа – важное требование для обеспечения отказоустойчивости и возможности быстрого роуминга мобильных клиентских устройств. Сеть построена так, чтобы в случае выхода из строя произвольной точки устройства, подключенные к ней клиенты, просто переключились на соседнюю точку, уровень сигнала которой достаточен для стабильной работы. Также этот параметр определяет техническую возможность быстрого роуминга, хотя решение о роуминге всегда принимает драйвер клиентского устройства, сеть </w:t>
      </w:r>
      <w:r>
        <w:rPr>
          <w:rFonts w:asciiTheme="majorBidi" w:hAnsiTheme="majorBidi" w:cstheme="majorBidi"/>
          <w:bCs/>
          <w:lang w:bidi="ar-EG"/>
        </w:rPr>
        <w:lastRenderedPageBreak/>
        <w:t>обеспечивает требуемые характеристики для принятия верного решения.</w:t>
      </w:r>
    </w:p>
    <w:p w14:paraId="4E4DE140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lang w:bidi="ar-EG"/>
        </w:rPr>
      </w:pPr>
      <w:r>
        <w:rPr>
          <w:rFonts w:asciiTheme="majorBidi" w:hAnsiTheme="majorBidi" w:cstheme="majorBidi"/>
          <w:bCs/>
          <w:lang w:bidi="ar-EG"/>
        </w:rPr>
        <w:t>На рисунке цветовым выделением отображается уровень сигнала. Чем зеленее цвет, тем выше уровень, чем оранжевее, тем ближе к граничному порогу. Серый цвет – выход за пороговое значение. Между линиями, разграничивающими цвета, разница 5дБ.</w:t>
      </w:r>
    </w:p>
    <w:p w14:paraId="1CC72F24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noProof/>
        </w:rPr>
        <w:drawing>
          <wp:inline distT="0" distB="0" distL="114300" distR="114300" wp14:anchorId="441D4F34" wp14:editId="33745662">
            <wp:extent cx="4114800" cy="831215"/>
            <wp:effectExtent l="0" t="0" r="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3838" w14:textId="77777777" w:rsidR="00CF31B5" w:rsidRDefault="00CF31B5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59418267" w14:textId="77777777" w:rsidR="00CF31B5" w:rsidRDefault="00000000">
      <w:pPr>
        <w:pStyle w:val="3"/>
        <w:spacing w:line="360" w:lineRule="auto"/>
        <w:rPr>
          <w:rFonts w:asciiTheme="majorBidi" w:hAnsiTheme="majorBidi"/>
          <w:color w:val="auto"/>
          <w:lang w:bidi="ar-EG"/>
        </w:rPr>
      </w:pPr>
      <w:bookmarkStart w:id="11" w:name="_Toc201827684"/>
      <w:r>
        <w:rPr>
          <w:rFonts w:asciiTheme="majorBidi" w:hAnsiTheme="majorBidi"/>
          <w:color w:val="auto"/>
          <w:lang w:bidi="ar-EG"/>
        </w:rPr>
        <w:t>7.3.1.Уровень сигнала второй ТД в диапазоне 5ГГц</w:t>
      </w:r>
      <w:bookmarkEnd w:id="11"/>
    </w:p>
    <w:p w14:paraId="41347CE3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lang w:bidi="ar-EG"/>
        </w:rPr>
      </w:pPr>
      <w:r>
        <w:rPr>
          <w:rFonts w:asciiTheme="majorBidi" w:hAnsiTheme="majorBidi" w:cstheme="majorBidi"/>
          <w:bCs/>
          <w:lang w:bidi="ar-EG"/>
        </w:rPr>
        <w:t>На рисунках данного раздела показаны тепловые карты для уровня сигнала второй ТД в диапазоне 5ГГц. После снижения выходной мощности ТД соответствие требованиям не было нарушено. Уровень сигнала достаточен для отказоустойчивой сети, которая обеспечивает условия для роуминга мобильных устройств.</w:t>
      </w:r>
    </w:p>
    <w:p w14:paraId="15A7F7A5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noProof/>
        </w:rPr>
        <w:lastRenderedPageBreak/>
        <w:drawing>
          <wp:inline distT="0" distB="0" distL="114300" distR="114300" wp14:anchorId="1122B4F0" wp14:editId="7B840BAA">
            <wp:extent cx="4110990" cy="3559810"/>
            <wp:effectExtent l="0" t="0" r="381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2CFC" w14:textId="77777777" w:rsidR="00CF31B5" w:rsidRDefault="00CF31B5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51CEBAA7" w14:textId="77777777" w:rsidR="00CF31B5" w:rsidRDefault="00000000">
      <w:pPr>
        <w:pStyle w:val="2"/>
        <w:spacing w:line="360" w:lineRule="auto"/>
        <w:rPr>
          <w:rFonts w:asciiTheme="majorBidi" w:hAnsiTheme="majorBidi"/>
          <w:b w:val="0"/>
          <w:color w:val="auto"/>
          <w:lang w:bidi="ar-EG"/>
        </w:rPr>
      </w:pPr>
      <w:bookmarkStart w:id="12" w:name="_Toc201827685"/>
      <w:r>
        <w:rPr>
          <w:rFonts w:asciiTheme="majorBidi" w:hAnsiTheme="majorBidi"/>
          <w:b w:val="0"/>
          <w:color w:val="auto"/>
          <w:lang w:bidi="ar-EG"/>
        </w:rPr>
        <w:t>7.4 Пересечение каналов</w:t>
      </w:r>
      <w:bookmarkEnd w:id="12"/>
    </w:p>
    <w:p w14:paraId="02DB8338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lang w:bidi="ar-EG"/>
        </w:rPr>
      </w:pPr>
      <w:r>
        <w:rPr>
          <w:rFonts w:asciiTheme="majorBidi" w:hAnsiTheme="majorBidi" w:cstheme="majorBidi"/>
          <w:bCs/>
          <w:lang w:bidi="ar-EG"/>
        </w:rPr>
        <w:t>Пересечение каналов или со-канальная интерференция (CCI – co-channel interference) показывает сколько точек работает на одной частоте с уровнем сигнала не меньше -85дБм. Зеленые области - 1 ТД в диапазоне. Желтые - 2 ТД. Оранжевые - 3ТД. Красные – 4ТД на одном частотном канале. Серый цвет показывает места, где на 1 частотном канале работает больше 5 ТД. Программа показывает данные рисунки с учетом влияния, как только “своих” ТД так и “чужих” на отдельных рисунках.</w:t>
      </w:r>
    </w:p>
    <w:p w14:paraId="3A45BA0F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rFonts w:asciiTheme="majorBidi" w:hAnsiTheme="majorBidi" w:cstheme="majorBidi"/>
          <w:bCs/>
          <w:lang w:bidi="ar-EG"/>
        </w:rPr>
        <w:lastRenderedPageBreak/>
        <w:t>Для визуализации этого параметра используется параметр Worst Channel + Associacion limit, как наиболее достоверный.</w:t>
      </w:r>
      <w:r>
        <w:rPr>
          <w:rFonts w:asciiTheme="majorBidi" w:hAnsiTheme="majorBidi" w:cstheme="majorBidi"/>
          <w:bCs/>
          <w:rtl/>
          <w:lang w:bidi="ar-EG"/>
        </w:rPr>
        <w:br/>
      </w:r>
    </w:p>
    <w:p w14:paraId="1FFFAC91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noProof/>
        </w:rPr>
        <w:drawing>
          <wp:inline distT="0" distB="0" distL="114300" distR="114300" wp14:anchorId="13C0669B" wp14:editId="572D06DF">
            <wp:extent cx="4110990" cy="4116705"/>
            <wp:effectExtent l="0" t="0" r="3810" b="133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FC5C" w14:textId="77777777" w:rsidR="00CF31B5" w:rsidRDefault="00CF31B5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4B5D2C6A" w14:textId="77777777" w:rsidR="00CF31B5" w:rsidRDefault="00000000">
      <w:pPr>
        <w:spacing w:line="276" w:lineRule="auto"/>
        <w:jc w:val="both"/>
        <w:rPr>
          <w:rFonts w:asciiTheme="majorBidi" w:hAnsiTheme="majorBidi"/>
        </w:rPr>
      </w:pPr>
      <w:r>
        <w:rPr>
          <w:rFonts w:asciiTheme="majorBidi" w:hAnsiTheme="majorBidi"/>
        </w:rPr>
        <w:t>7.4.1 Пересечение каналов в диапазоне 5ГГц</w:t>
      </w:r>
    </w:p>
    <w:p w14:paraId="507DB3ED" w14:textId="77777777" w:rsidR="00CF31B5" w:rsidRDefault="00000000">
      <w:pPr>
        <w:spacing w:line="276" w:lineRule="auto"/>
        <w:jc w:val="both"/>
        <w:rPr>
          <w:rFonts w:asciiTheme="majorBidi" w:hAnsiTheme="majorBidi"/>
        </w:rPr>
      </w:pPr>
      <w:r>
        <w:rPr>
          <w:rFonts w:asciiTheme="majorBidi" w:hAnsiTheme="majorBidi"/>
        </w:rPr>
        <w:t xml:space="preserve">Текущая конструкция использует каналы 5 ГГц с полосой пропускания 40 МГц. Это привело к помехам между некоторыми точками доступа, особенно потому, что количество каналов, доступных в этом диапазоне, ограничено. Благодаря анализу карты </w:t>
      </w:r>
      <w:r>
        <w:rPr>
          <w:rFonts w:asciiTheme="majorBidi" w:hAnsiTheme="majorBidi"/>
        </w:rPr>
        <w:lastRenderedPageBreak/>
        <w:t>стало ясно, что в некоторых областях здания на одном канале работало более одной точки доступа.</w:t>
      </w:r>
    </w:p>
    <w:p w14:paraId="016C67A3" w14:textId="77777777" w:rsidR="00CF31B5" w:rsidRDefault="00000000">
      <w:pPr>
        <w:spacing w:line="276" w:lineRule="auto"/>
        <w:jc w:val="both"/>
        <w:rPr>
          <w:rFonts w:asciiTheme="majorBidi" w:hAnsiTheme="majorBidi"/>
        </w:rPr>
      </w:pPr>
      <w:r>
        <w:rPr>
          <w:rFonts w:asciiTheme="majorBidi" w:hAnsiTheme="majorBidi"/>
        </w:rPr>
        <w:t>Несмотря на небольшие помехи, общая производительность сети остается превосходной, с высокой скоростью передачи данных. Однако, если количество пользователей увеличивается или сеть становится сильно перегруженной — например, если люди на верхнем этаже начинают интенсивно пользоваться Интернетом в одно и то же время — то сеть может быть затронута, особенно в областях, близких к центрам покрытия.</w:t>
      </w:r>
    </w:p>
    <w:p w14:paraId="36D09834" w14:textId="77777777" w:rsidR="00CF31B5" w:rsidRDefault="00000000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rFonts w:asciiTheme="majorBidi" w:hAnsiTheme="majorBidi"/>
        </w:rPr>
        <w:t>Чтобы обеспечить стабильность сети в этих условиях, ширину канала можно уменьшить до 20 МГц вместо 40 МГц. Это уменьшит помехи канала и улучшит стабильность сети в долгосрочной перспективе.</w:t>
      </w:r>
    </w:p>
    <w:p w14:paraId="7B6BE160" w14:textId="77777777" w:rsidR="00CF31B5" w:rsidRDefault="00000000">
      <w:pPr>
        <w:spacing w:line="276" w:lineRule="auto"/>
        <w:jc w:val="both"/>
        <w:rPr>
          <w:rFonts w:ascii="Times New Roman" w:hAnsi="Times New Roman" w:cs="Times New Roman"/>
          <w:bCs/>
          <w:rtl/>
          <w:lang w:bidi="ar-EG"/>
        </w:rPr>
      </w:pPr>
      <w:r>
        <w:rPr>
          <w:rFonts w:ascii="Times New Roman" w:eastAsia="SimSun" w:hAnsi="Times New Roman" w:cs="Times New Roman"/>
          <w:sz w:val="24"/>
          <w:szCs w:val="24"/>
        </w:rPr>
        <w:t>Channel Width</w:t>
      </w:r>
    </w:p>
    <w:p w14:paraId="74B2070C" w14:textId="77777777" w:rsidR="00CF31B5" w:rsidRDefault="00000000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rFonts w:hint="cs"/>
          <w:rtl/>
          <w:lang w:val="en-US" w:bidi="ar-EG"/>
        </w:rPr>
        <w:t xml:space="preserve">                                  </w:t>
      </w:r>
      <w:r>
        <w:rPr>
          <w:noProof/>
        </w:rPr>
        <w:drawing>
          <wp:inline distT="0" distB="0" distL="114300" distR="114300" wp14:anchorId="756D8C8C" wp14:editId="06B5DA83">
            <wp:extent cx="1518920" cy="2526030"/>
            <wp:effectExtent l="0" t="0" r="5080" b="38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5C34" w14:textId="77777777" w:rsidR="00CF31B5" w:rsidRDefault="00CF31B5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6A6F390A" w14:textId="77777777" w:rsidR="00CF31B5" w:rsidRDefault="00CF31B5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47EC221A" w14:textId="77777777" w:rsidR="00CF31B5" w:rsidRDefault="00CF31B5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48E527BF" w14:textId="77777777" w:rsidR="00CF31B5" w:rsidRDefault="00CF31B5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</w:p>
    <w:p w14:paraId="1A329E3C" w14:textId="77777777" w:rsidR="00CF31B5" w:rsidRDefault="00000000">
      <w:pPr>
        <w:spacing w:line="276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rFonts w:asciiTheme="majorBidi" w:hAnsiTheme="majorBidi" w:cstheme="majorBidi"/>
          <w:bCs/>
          <w:rtl/>
          <w:lang w:bidi="ar-EG"/>
        </w:rPr>
        <w:lastRenderedPageBreak/>
        <w:br/>
      </w:r>
      <w:r>
        <w:rPr>
          <w:rFonts w:asciiTheme="majorBidi" w:hAnsiTheme="majorBidi" w:cstheme="majorBidi"/>
          <w:bCs/>
          <w:lang w:val="en-US" w:bidi="ar-EG"/>
        </w:rPr>
        <w:t xml:space="preserve">             </w:t>
      </w:r>
      <w:r>
        <w:rPr>
          <w:noProof/>
        </w:rPr>
        <w:drawing>
          <wp:inline distT="0" distB="0" distL="114300" distR="114300" wp14:anchorId="098C8C9D" wp14:editId="6FFB1F46">
            <wp:extent cx="2969260" cy="2991485"/>
            <wp:effectExtent l="0" t="0" r="2540" b="1079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2117" w14:textId="77777777" w:rsidR="00CF31B5" w:rsidRDefault="00000000">
      <w:pPr>
        <w:pStyle w:val="3"/>
        <w:spacing w:line="276" w:lineRule="auto"/>
        <w:rPr>
          <w:rFonts w:asciiTheme="majorBidi" w:hAnsiTheme="majorBidi"/>
          <w:color w:val="auto"/>
          <w:lang w:bidi="ar-EG"/>
        </w:rPr>
      </w:pPr>
      <w:bookmarkStart w:id="13" w:name="_Toc201827687"/>
      <w:r>
        <w:rPr>
          <w:rFonts w:asciiTheme="majorBidi" w:hAnsiTheme="majorBidi"/>
          <w:color w:val="auto"/>
          <w:lang w:bidi="ar-EG"/>
        </w:rPr>
        <w:t>7.4.2 Пересечение каналов в диапазоне 2,4ГГц</w:t>
      </w:r>
      <w:bookmarkEnd w:id="13"/>
    </w:p>
    <w:p w14:paraId="7E1B3928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В текущем проекте были проанализированы помехи каналов в диапазоне 2,4 ГГц, и было обнаружено, что помехи между точками доступа на этой частоте очень малы по сравнению с 5 ГГц. Это связано с ограниченным количеством точек доступа, работающих на 2,4 ГГц, а также с тем, что используемые каналы были тщательно распределены для минимизации помех.</w:t>
      </w:r>
    </w:p>
    <w:p w14:paraId="756CB082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Хотя количество доступных каналов на этой частоте меньше, благодаря тщательной организации на карте не наблюдается значительных помех. Это способствует стабильности сети и качеству соединения в областях, которые поддерживают 2,4 ГГц.</w:t>
      </w:r>
    </w:p>
    <w:p w14:paraId="65BC6A87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 xml:space="preserve">Прилагаемое изображение иллюстрирует влияние ширины канала на помехи, демонстрируя, почему выбор каналов 20 МГц в этом </w:t>
      </w:r>
      <w:r>
        <w:rPr>
          <w:rFonts w:asciiTheme="majorBidi" w:hAnsiTheme="majorBidi"/>
          <w:bCs/>
        </w:rPr>
        <w:lastRenderedPageBreak/>
        <w:t>диапазоне помог значительно снизить помехи по сравнению с использованием более широких каналов на 5 ГГц.</w:t>
      </w:r>
    </w:p>
    <w:p w14:paraId="084FAE43" w14:textId="77777777" w:rsidR="00CF31B5" w:rsidRDefault="00CF31B5">
      <w:pPr>
        <w:spacing w:line="360" w:lineRule="auto"/>
        <w:jc w:val="both"/>
        <w:rPr>
          <w:rFonts w:asciiTheme="majorBidi" w:hAnsiTheme="majorBidi"/>
          <w:bCs/>
        </w:rPr>
      </w:pPr>
    </w:p>
    <w:p w14:paraId="73DD056C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  <w:r w:rsidRPr="00131993">
        <w:t xml:space="preserve">                                       </w:t>
      </w:r>
      <w:r>
        <w:rPr>
          <w:noProof/>
        </w:rPr>
        <w:drawing>
          <wp:inline distT="0" distB="0" distL="114300" distR="114300" wp14:anchorId="0FEBC222" wp14:editId="62835603">
            <wp:extent cx="1837690" cy="2828290"/>
            <wp:effectExtent l="0" t="0" r="6350" b="635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EC36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rtl/>
          <w:lang w:bidi="ar-EG"/>
        </w:rPr>
      </w:pPr>
      <w:r>
        <w:rPr>
          <w:rFonts w:asciiTheme="majorBidi" w:hAnsiTheme="majorBidi" w:cstheme="majorBidi"/>
          <w:bCs/>
          <w:rtl/>
          <w:lang w:val="en-US" w:bidi="ar-EG"/>
        </w:rPr>
        <w:lastRenderedPageBreak/>
        <w:t xml:space="preserve">             </w:t>
      </w:r>
      <w:r>
        <w:rPr>
          <w:noProof/>
        </w:rPr>
        <w:drawing>
          <wp:inline distT="0" distB="0" distL="114300" distR="114300" wp14:anchorId="63878BC0" wp14:editId="62093CB5">
            <wp:extent cx="3415665" cy="3143250"/>
            <wp:effectExtent l="0" t="0" r="13335" b="1143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7D5B" w14:textId="77777777" w:rsidR="00CF31B5" w:rsidRDefault="00000000">
      <w:pPr>
        <w:pStyle w:val="1"/>
        <w:spacing w:line="360" w:lineRule="auto"/>
        <w:rPr>
          <w:rFonts w:asciiTheme="majorBidi" w:hAnsiTheme="majorBidi"/>
          <w:b w:val="0"/>
          <w:color w:val="auto"/>
          <w:rtl/>
          <w:lang w:bidi="ar-EG"/>
        </w:rPr>
      </w:pPr>
      <w:bookmarkStart w:id="14" w:name="_Toc201827689"/>
      <w:r>
        <w:rPr>
          <w:rFonts w:asciiTheme="majorBidi" w:hAnsiTheme="majorBidi"/>
          <w:b w:val="0"/>
          <w:color w:val="auto"/>
          <w:lang w:bidi="ar-EG"/>
        </w:rPr>
        <w:t>Общие выводы</w:t>
      </w:r>
      <w:bookmarkEnd w:id="14"/>
    </w:p>
    <w:p w14:paraId="004CC635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После проведения измерений и анализа на четвертом этаже здания RTF с использованием программного обеспечения Ekahau AI Pro производительность сети Wi-Fi была точно оценена на основе покрытия, помех и качества сигнала.</w:t>
      </w:r>
    </w:p>
    <w:p w14:paraId="1C5C9C6F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В диапазоне 2,4 ГГц сеть работала очень хорошо, успешно обеспечивая стабильное покрытие на большей части этажа с минимальными, управляемыми помехами. Благодаря используемым узким каналам и правильному распределению точек доступа помехи между каналами были ограничены, и сеть работала эффективно даже при наличии соседних сетей.</w:t>
      </w:r>
    </w:p>
    <w:p w14:paraId="27EA20DC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lastRenderedPageBreak/>
        <w:t>В диапазоне 5 ГГц, хотя он и предлагает более высокие скорости, наблюдалось больше помех между каналами, чем в диапазоне 2,4 ГГц. Это связано с использованием каналов 40 МГц и отсутствием достаточного количества неперекрывающихся каналов. Это повлияло на стабильность сети в некоторых областях, особенно во время большого трафика.</w:t>
      </w:r>
    </w:p>
    <w:p w14:paraId="5BFB6FEC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Таким образом, можно сказать, что сеть 2,4 ГГц была немного более стабильной, чем сеть 5 ГГц в условиях этого проекта из-за характера конструкции и количества окружающих устройств. В целом сеть способна вместить большое количество пользователей, но она может пострадать, если Wi-Fi находится под большой нагрузкой. В этом случае рекомендуется, чтобы некоторые стационарные устройства были подключены проводным способом с использованием Ethernet через порты Type-C или док-станции.</w:t>
      </w:r>
    </w:p>
    <w:p w14:paraId="5801AAAE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Настройки сети также были оптимизированы для уменьшения помех и повышения производительности:</w:t>
      </w:r>
    </w:p>
    <w:p w14:paraId="52FDB39F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Снижение мощности передачи от точек доступа.</w:t>
      </w:r>
    </w:p>
    <w:p w14:paraId="69E0AF81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Перераспределение каналов.</w:t>
      </w:r>
    </w:p>
    <w:p w14:paraId="6BB9D269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Принятие соответствующей ширины канала для каждой частоты.</w:t>
      </w:r>
    </w:p>
    <w:p w14:paraId="52C9EB39" w14:textId="77777777" w:rsidR="00CF31B5" w:rsidRDefault="00000000">
      <w:pPr>
        <w:spacing w:line="360" w:lineRule="auto"/>
        <w:jc w:val="both"/>
        <w:rPr>
          <w:rFonts w:asciiTheme="majorBidi" w:hAnsiTheme="majorBidi"/>
          <w:bCs/>
        </w:rPr>
      </w:pPr>
      <w:r>
        <w:rPr>
          <w:rFonts w:asciiTheme="majorBidi" w:hAnsiTheme="majorBidi"/>
          <w:bCs/>
        </w:rPr>
        <w:t>Результат: сбалансированная и эффективная сеть, при этом частота 2,4 ГГц обеспечивает относительно лучшую стабильность, чем 5 ГГц в этой среде.</w:t>
      </w:r>
    </w:p>
    <w:p w14:paraId="2751C4E6" w14:textId="77777777" w:rsidR="00CF31B5" w:rsidRDefault="00000000">
      <w:pPr>
        <w:spacing w:line="360" w:lineRule="auto"/>
        <w:jc w:val="both"/>
        <w:rPr>
          <w:rFonts w:asciiTheme="majorBidi" w:hAnsiTheme="majorBidi" w:cstheme="majorBidi"/>
          <w:bCs/>
          <w:lang w:bidi="ar-EG"/>
        </w:rPr>
      </w:pPr>
      <w:r>
        <w:rPr>
          <w:rFonts w:asciiTheme="majorBidi" w:hAnsiTheme="majorBidi" w:cstheme="majorBidi"/>
          <w:bCs/>
          <w:lang w:bidi="ar-EG"/>
        </w:rPr>
        <w:t>Радиоразведка и анализ проводились совместно с Алексеем Сергеевым.</w:t>
      </w:r>
    </w:p>
    <w:sectPr w:rsidR="00CF31B5">
      <w:pgSz w:w="79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1981" w14:textId="77777777" w:rsidR="00522983" w:rsidRDefault="00522983">
      <w:pPr>
        <w:spacing w:line="240" w:lineRule="auto"/>
      </w:pPr>
      <w:r>
        <w:separator/>
      </w:r>
    </w:p>
  </w:endnote>
  <w:endnote w:type="continuationSeparator" w:id="0">
    <w:p w14:paraId="24CE5619" w14:textId="77777777" w:rsidR="00522983" w:rsidRDefault="005229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0890B" w14:textId="77777777" w:rsidR="00522983" w:rsidRDefault="00522983">
      <w:pPr>
        <w:spacing w:after="0"/>
      </w:pPr>
      <w:r>
        <w:separator/>
      </w:r>
    </w:p>
  </w:footnote>
  <w:footnote w:type="continuationSeparator" w:id="0">
    <w:p w14:paraId="23527643" w14:textId="77777777" w:rsidR="00522983" w:rsidRDefault="005229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870558"/>
    <w:multiLevelType w:val="multilevel"/>
    <w:tmpl w:val="20870558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DC54D9"/>
    <w:multiLevelType w:val="multilevel"/>
    <w:tmpl w:val="24DC54D9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0050F2"/>
    <w:multiLevelType w:val="multilevel"/>
    <w:tmpl w:val="450050F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80E36"/>
    <w:multiLevelType w:val="multilevel"/>
    <w:tmpl w:val="4AD80E36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8E60F4"/>
    <w:multiLevelType w:val="multilevel"/>
    <w:tmpl w:val="6C8E60F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2327628">
    <w:abstractNumId w:val="1"/>
  </w:num>
  <w:num w:numId="2" w16cid:durableId="1707635662">
    <w:abstractNumId w:val="0"/>
    <w:lvlOverride w:ilvl="0">
      <w:startOverride w:val="1"/>
    </w:lvlOverride>
  </w:num>
  <w:num w:numId="3" w16cid:durableId="542451399">
    <w:abstractNumId w:val="2"/>
  </w:num>
  <w:num w:numId="4" w16cid:durableId="881791646">
    <w:abstractNumId w:val="6"/>
  </w:num>
  <w:num w:numId="5" w16cid:durableId="1235554407">
    <w:abstractNumId w:val="4"/>
  </w:num>
  <w:num w:numId="6" w16cid:durableId="1570311484">
    <w:abstractNumId w:val="3"/>
  </w:num>
  <w:num w:numId="7" w16cid:durableId="1990206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bookFoldPrinting/>
  <w:bookFoldPrintingSheets w:val="16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445"/>
    <w:rsid w:val="00014A85"/>
    <w:rsid w:val="00042D82"/>
    <w:rsid w:val="00045A0D"/>
    <w:rsid w:val="000468CA"/>
    <w:rsid w:val="00131993"/>
    <w:rsid w:val="00163B58"/>
    <w:rsid w:val="00193E48"/>
    <w:rsid w:val="00247E0F"/>
    <w:rsid w:val="0026115B"/>
    <w:rsid w:val="00277532"/>
    <w:rsid w:val="002942C6"/>
    <w:rsid w:val="002B5712"/>
    <w:rsid w:val="00344490"/>
    <w:rsid w:val="003E3F38"/>
    <w:rsid w:val="00464683"/>
    <w:rsid w:val="00522983"/>
    <w:rsid w:val="00531E19"/>
    <w:rsid w:val="00610391"/>
    <w:rsid w:val="006A1BD5"/>
    <w:rsid w:val="006B419C"/>
    <w:rsid w:val="006F5858"/>
    <w:rsid w:val="007A5535"/>
    <w:rsid w:val="007D4E26"/>
    <w:rsid w:val="007F23B1"/>
    <w:rsid w:val="00813D3D"/>
    <w:rsid w:val="0082572E"/>
    <w:rsid w:val="008878C1"/>
    <w:rsid w:val="009C7CB7"/>
    <w:rsid w:val="00AE059C"/>
    <w:rsid w:val="00AF2445"/>
    <w:rsid w:val="00B6043C"/>
    <w:rsid w:val="00B90EFD"/>
    <w:rsid w:val="00BB56A7"/>
    <w:rsid w:val="00BD54A6"/>
    <w:rsid w:val="00C22A6B"/>
    <w:rsid w:val="00C80FF1"/>
    <w:rsid w:val="00C94D9A"/>
    <w:rsid w:val="00C94F36"/>
    <w:rsid w:val="00CE3808"/>
    <w:rsid w:val="00CF31B5"/>
    <w:rsid w:val="00D430E8"/>
    <w:rsid w:val="00DD607A"/>
    <w:rsid w:val="00DE0972"/>
    <w:rsid w:val="00EC073D"/>
    <w:rsid w:val="00F33FE8"/>
    <w:rsid w:val="00F459D8"/>
    <w:rsid w:val="00FB6252"/>
    <w:rsid w:val="1E8301C2"/>
    <w:rsid w:val="5CF61A84"/>
    <w:rsid w:val="7D7C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865C0A"/>
  <w15:docId w15:val="{2981D4A0-0A40-4DF3-830F-34DB80D8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04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caption"/>
    <w:basedOn w:val="a1"/>
    <w:next w:val="a1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a2"/>
    <w:uiPriority w:val="99"/>
    <w:unhideWhenUsed/>
    <w:qFormat/>
    <w:rPr>
      <w:color w:val="0000FF" w:themeColor="hyperlink"/>
      <w:u w:val="single"/>
    </w:rPr>
  </w:style>
  <w:style w:type="paragraph" w:styleId="a0">
    <w:name w:val="List Bullet"/>
    <w:basedOn w:val="a1"/>
    <w:uiPriority w:val="99"/>
    <w:unhideWhenUsed/>
    <w:qFormat/>
    <w:pPr>
      <w:numPr>
        <w:numId w:val="1"/>
      </w:numPr>
      <w:spacing w:line="276" w:lineRule="auto"/>
      <w:contextualSpacing/>
    </w:pPr>
    <w:rPr>
      <w:rFonts w:eastAsiaTheme="minorEastAsia"/>
      <w:lang w:val="en-US"/>
    </w:rPr>
  </w:style>
  <w:style w:type="paragraph" w:styleId="a">
    <w:name w:val="List Number"/>
    <w:basedOn w:val="a1"/>
    <w:uiPriority w:val="99"/>
    <w:semiHidden/>
    <w:unhideWhenUsed/>
    <w:qFormat/>
    <w:pPr>
      <w:numPr>
        <w:numId w:val="2"/>
      </w:numPr>
      <w:spacing w:line="276" w:lineRule="auto"/>
      <w:contextualSpacing/>
    </w:pPr>
    <w:rPr>
      <w:rFonts w:eastAsiaTheme="minorEastAsia"/>
      <w:lang w:val="en-US"/>
    </w:rPr>
  </w:style>
  <w:style w:type="table" w:styleId="a8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1"/>
    <w:next w:val="a1"/>
    <w:autoRedefine/>
    <w:uiPriority w:val="39"/>
    <w:unhideWhenUsed/>
    <w:qFormat/>
    <w:pPr>
      <w:spacing w:after="100" w:line="259" w:lineRule="auto"/>
    </w:pPr>
    <w:rPr>
      <w:rFonts w:eastAsiaTheme="minorEastAsia" w:cs="Times New Roman"/>
      <w:lang w:val="en-US"/>
    </w:rPr>
  </w:style>
  <w:style w:type="paragraph" w:styleId="20">
    <w:name w:val="toc 2"/>
    <w:basedOn w:val="a1"/>
    <w:next w:val="a1"/>
    <w:autoRedefine/>
    <w:uiPriority w:val="39"/>
    <w:unhideWhenUsed/>
    <w:qFormat/>
    <w:pPr>
      <w:spacing w:after="100" w:line="259" w:lineRule="auto"/>
      <w:ind w:left="220"/>
    </w:pPr>
    <w:rPr>
      <w:rFonts w:eastAsiaTheme="minorEastAsia" w:cs="Times New Roman"/>
      <w:lang w:val="en-US"/>
    </w:rPr>
  </w:style>
  <w:style w:type="paragraph" w:styleId="30">
    <w:name w:val="toc 3"/>
    <w:basedOn w:val="a1"/>
    <w:next w:val="a1"/>
    <w:autoRedefine/>
    <w:uiPriority w:val="39"/>
    <w:unhideWhenUsed/>
    <w:qFormat/>
    <w:pPr>
      <w:spacing w:after="100" w:line="259" w:lineRule="auto"/>
      <w:ind w:left="440"/>
    </w:pPr>
    <w:rPr>
      <w:rFonts w:eastAsiaTheme="minorEastAsia" w:cs="Times New Roman"/>
      <w:lang w:val="en-US"/>
    </w:rPr>
  </w:style>
  <w:style w:type="character" w:customStyle="1" w:styleId="1Char">
    <w:name w:val="العنوان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Char">
    <w:name w:val="عنوان 2 Char"/>
    <w:basedOn w:val="a2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Char">
    <w:name w:val="نص في بالون Char"/>
    <w:basedOn w:val="a2"/>
    <w:link w:val="a5"/>
    <w:uiPriority w:val="99"/>
    <w:semiHidden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1"/>
    <w:uiPriority w:val="34"/>
    <w:qFormat/>
    <w:pPr>
      <w:ind w:left="720"/>
      <w:contextualSpacing/>
    </w:pPr>
  </w:style>
  <w:style w:type="character" w:customStyle="1" w:styleId="3Char">
    <w:name w:val="عنوان 3 Char"/>
    <w:basedOn w:val="a2"/>
    <w:link w:val="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ru-RU"/>
    </w:rPr>
  </w:style>
  <w:style w:type="paragraph" w:customStyle="1" w:styleId="11">
    <w:name w:val="المراجعة1"/>
    <w:hidden/>
    <w:uiPriority w:val="99"/>
    <w:unhideWhenUsed/>
    <w:rPr>
      <w:rFonts w:asciiTheme="minorHAnsi" w:eastAsiaTheme="minorHAnsi" w:hAnsiTheme="minorHAnsi" w:cstheme="minorBidi"/>
      <w:sz w:val="22"/>
      <w:szCs w:val="22"/>
      <w:lang w:val="ru-RU"/>
    </w:rPr>
  </w:style>
  <w:style w:type="paragraph" w:customStyle="1" w:styleId="12">
    <w:name w:val="عنوان جدول المحتويات1"/>
    <w:basedOn w:val="1"/>
    <w:next w:val="a1"/>
    <w:uiPriority w:val="39"/>
    <w:unhideWhenUsed/>
    <w:qFormat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4B77A9-DCB8-44E1-BBA6-F921B4933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21</Pages>
  <Words>2749</Words>
  <Characters>15672</Characters>
  <Application>Microsoft Office Word</Application>
  <DocSecurity>0</DocSecurity>
  <Lines>130</Lines>
  <Paragraphs>36</Paragraphs>
  <ScaleCrop>false</ScaleCrop>
  <Company/>
  <LinksUpToDate>false</LinksUpToDate>
  <CharactersWithSpaces>18385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эльбьяри Мохамед Айман</dc:creator>
  <cp:lastModifiedBy>Элия Киролос Хайри Фавзи</cp:lastModifiedBy>
  <cp:revision>6</cp:revision>
  <dcterms:created xsi:type="dcterms:W3CDTF">2025-06-26T05:37:00Z</dcterms:created>
  <dcterms:modified xsi:type="dcterms:W3CDTF">2025-06-26T11:40:00Z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452B0239B9E246308545700AF93BD994_12</vt:lpwstr>
  </property>
</Properties>
</file>