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32BC9" w14:textId="77777777" w:rsidR="00661045" w:rsidRDefault="00FE2E65" w:rsidP="00307993">
      <w:pPr>
        <w:pStyle w:val="Articletitle"/>
        <w:suppressLineNumbers/>
      </w:pPr>
      <w:r w:rsidRPr="00FE2E65">
        <w:t>Are they using my feedback? The extent of students’ feedback use has a large impact subsequent academic performance.</w:t>
      </w:r>
    </w:p>
    <w:p w14:paraId="0413C21F" w14:textId="77777777" w:rsidR="00442B9C" w:rsidRDefault="00FE2E65" w:rsidP="00307993">
      <w:pPr>
        <w:pStyle w:val="Authornames"/>
        <w:suppressLineNumbers/>
      </w:pPr>
      <w:r w:rsidRPr="00FE2E65">
        <w:t>Zimbardi, Kirsten,</w:t>
      </w:r>
      <w:r w:rsidRPr="00FE2E65">
        <w:rPr>
          <w:vertAlign w:val="superscript"/>
        </w:rPr>
        <w:t>1*</w:t>
      </w:r>
      <w:r w:rsidRPr="00FE2E65">
        <w:t xml:space="preserve"> Colthorpe, Kay,</w:t>
      </w:r>
      <w:r w:rsidRPr="00FE2E65">
        <w:rPr>
          <w:vertAlign w:val="superscript"/>
        </w:rPr>
        <w:t>1</w:t>
      </w:r>
      <w:r w:rsidRPr="00FE2E65">
        <w:t xml:space="preserve"> Dekker, Andrew,</w:t>
      </w:r>
      <w:r w:rsidRPr="00FE2E65">
        <w:rPr>
          <w:vertAlign w:val="superscript"/>
        </w:rPr>
        <w:t>2</w:t>
      </w:r>
      <w:r w:rsidRPr="00FE2E65">
        <w:t xml:space="preserve"> Engstrom, Craig,</w:t>
      </w:r>
      <w:r w:rsidRPr="00FE2E65">
        <w:rPr>
          <w:vertAlign w:val="superscript"/>
        </w:rPr>
        <w:t>3</w:t>
      </w:r>
      <w:r w:rsidRPr="00FE2E65">
        <w:t xml:space="preserve"> Bugarcic, Andrea,</w:t>
      </w:r>
      <w:r w:rsidRPr="00FE2E65">
        <w:rPr>
          <w:vertAlign w:val="superscript"/>
        </w:rPr>
        <w:t>4</w:t>
      </w:r>
      <w:r w:rsidRPr="00FE2E65">
        <w:t xml:space="preserve"> Worthy, Peter,</w:t>
      </w:r>
      <w:r w:rsidRPr="00FE2E65">
        <w:rPr>
          <w:vertAlign w:val="superscript"/>
        </w:rPr>
        <w:t>2</w:t>
      </w:r>
      <w:r w:rsidRPr="00FE2E65">
        <w:t xml:space="preserve"> Victor, A. Ruban,</w:t>
      </w:r>
      <w:r w:rsidRPr="00FE2E65">
        <w:rPr>
          <w:vertAlign w:val="superscript"/>
        </w:rPr>
        <w:t>1</w:t>
      </w:r>
      <w:r w:rsidRPr="00FE2E65">
        <w:t xml:space="preserve"> Chunduri, Prasad,</w:t>
      </w:r>
      <w:r w:rsidRPr="00FE2E65">
        <w:rPr>
          <w:vertAlign w:val="superscript"/>
        </w:rPr>
        <w:t>1</w:t>
      </w:r>
      <w:r w:rsidRPr="00FE2E65">
        <w:t xml:space="preserve"> Lluka, Lesley J.,</w:t>
      </w:r>
      <w:r w:rsidRPr="00FE2E65">
        <w:rPr>
          <w:vertAlign w:val="superscript"/>
        </w:rPr>
        <w:t>1</w:t>
      </w:r>
      <w:r w:rsidRPr="00FE2E65">
        <w:t xml:space="preserve"> Long, Phil</w:t>
      </w:r>
      <w:r w:rsidRPr="00FE2E65">
        <w:rPr>
          <w:vertAlign w:val="superscript"/>
        </w:rPr>
        <w:t>5</w:t>
      </w:r>
    </w:p>
    <w:p w14:paraId="050ADBBC" w14:textId="77777777" w:rsidR="00FE2E65" w:rsidRDefault="00FE2E65" w:rsidP="00307993">
      <w:pPr>
        <w:pStyle w:val="Correspondencedetails"/>
        <w:suppressLineNumbers/>
        <w:rPr>
          <w:i/>
        </w:rPr>
      </w:pPr>
      <w:r w:rsidRPr="00FE2E65">
        <w:rPr>
          <w:i/>
          <w:vertAlign w:val="superscript"/>
        </w:rPr>
        <w:t>1</w:t>
      </w:r>
      <w:r w:rsidRPr="00FE2E65">
        <w:rPr>
          <w:i/>
        </w:rPr>
        <w:t xml:space="preserve">School of Biomedical Science, </w:t>
      </w:r>
      <w:r w:rsidR="00F44BAA" w:rsidRPr="00FE2E65">
        <w:rPr>
          <w:i/>
        </w:rPr>
        <w:t xml:space="preserve">The University of Queensland, </w:t>
      </w:r>
      <w:r w:rsidR="00F44BAA">
        <w:rPr>
          <w:i/>
        </w:rPr>
        <w:t>Brisbane, Australia</w:t>
      </w:r>
    </w:p>
    <w:p w14:paraId="0C9C5ED1" w14:textId="77777777" w:rsidR="00FE2E65" w:rsidRDefault="00FE2E65" w:rsidP="00307993">
      <w:pPr>
        <w:pStyle w:val="Correspondencedetails"/>
        <w:suppressLineNumbers/>
        <w:rPr>
          <w:i/>
        </w:rPr>
      </w:pPr>
      <w:r w:rsidRPr="00F44BAA">
        <w:rPr>
          <w:i/>
          <w:vertAlign w:val="superscript"/>
        </w:rPr>
        <w:t>2</w:t>
      </w:r>
      <w:r w:rsidRPr="00FE2E65">
        <w:rPr>
          <w:i/>
        </w:rPr>
        <w:t xml:space="preserve">School of IT &amp; Electrical Engineering, </w:t>
      </w:r>
      <w:r w:rsidR="00F44BAA" w:rsidRPr="00FE2E65">
        <w:rPr>
          <w:i/>
        </w:rPr>
        <w:t xml:space="preserve">The University of Queensland, </w:t>
      </w:r>
      <w:r w:rsidR="00F44BAA">
        <w:rPr>
          <w:i/>
        </w:rPr>
        <w:t>Brisbane, Australia</w:t>
      </w:r>
    </w:p>
    <w:p w14:paraId="65EE2F25" w14:textId="77777777" w:rsidR="00FE2E65" w:rsidRDefault="00FE2E65" w:rsidP="00307993">
      <w:pPr>
        <w:pStyle w:val="Correspondencedetails"/>
        <w:suppressLineNumbers/>
        <w:rPr>
          <w:i/>
        </w:rPr>
      </w:pPr>
      <w:r w:rsidRPr="00F44BAA">
        <w:rPr>
          <w:i/>
          <w:vertAlign w:val="superscript"/>
        </w:rPr>
        <w:t>3</w:t>
      </w:r>
      <w:r w:rsidRPr="00FE2E65">
        <w:rPr>
          <w:i/>
        </w:rPr>
        <w:t xml:space="preserve">School of Human Movement Studies, The University of Queensland, </w:t>
      </w:r>
      <w:r w:rsidR="00F44BAA">
        <w:rPr>
          <w:i/>
        </w:rPr>
        <w:t>Brisbane, Australia</w:t>
      </w:r>
    </w:p>
    <w:p w14:paraId="7D93999F" w14:textId="77777777" w:rsidR="00FE2E65" w:rsidRDefault="00FE2E65" w:rsidP="00307993">
      <w:pPr>
        <w:pStyle w:val="Correspondencedetails"/>
        <w:suppressLineNumbers/>
        <w:rPr>
          <w:i/>
        </w:rPr>
      </w:pPr>
      <w:r w:rsidRPr="00F44BAA">
        <w:rPr>
          <w:i/>
          <w:vertAlign w:val="superscript"/>
        </w:rPr>
        <w:t>4</w:t>
      </w:r>
      <w:r w:rsidRPr="00FE2E65">
        <w:rPr>
          <w:i/>
        </w:rPr>
        <w:t xml:space="preserve">Endeavour College of Natural Health, </w:t>
      </w:r>
      <w:r w:rsidR="00F44BAA">
        <w:rPr>
          <w:i/>
        </w:rPr>
        <w:t>Gold Coast, Australia</w:t>
      </w:r>
      <w:r w:rsidRPr="00FE2E65">
        <w:rPr>
          <w:i/>
        </w:rPr>
        <w:t xml:space="preserve">  </w:t>
      </w:r>
    </w:p>
    <w:p w14:paraId="22795A48" w14:textId="77777777" w:rsidR="00FE2E65" w:rsidRDefault="00FE2E65" w:rsidP="00307993">
      <w:pPr>
        <w:pStyle w:val="Correspondencedetails"/>
        <w:suppressLineNumbers/>
        <w:rPr>
          <w:i/>
        </w:rPr>
      </w:pPr>
      <w:r w:rsidRPr="00F44BAA">
        <w:rPr>
          <w:i/>
          <w:vertAlign w:val="superscript"/>
        </w:rPr>
        <w:t>5</w:t>
      </w:r>
      <w:r w:rsidRPr="00FE2E65">
        <w:rPr>
          <w:i/>
        </w:rPr>
        <w:t xml:space="preserve">Learning Sciences, University of Texas at Austin, </w:t>
      </w:r>
      <w:r w:rsidR="00F44BAA">
        <w:rPr>
          <w:i/>
        </w:rPr>
        <w:t>Austin, USA</w:t>
      </w:r>
    </w:p>
    <w:p w14:paraId="248936D4" w14:textId="77777777" w:rsidR="000A4428" w:rsidRDefault="00F44BAA" w:rsidP="00307993">
      <w:pPr>
        <w:pStyle w:val="Correspondencedetails"/>
        <w:suppressLineNumbers/>
      </w:pPr>
      <w:r>
        <w:t>Corresponding author: Kirsten Zimbardi,</w:t>
      </w:r>
      <w:r w:rsidRPr="00F44BAA">
        <w:t xml:space="preserve"> </w:t>
      </w:r>
      <w:r>
        <w:t>k.zimbardi@uq.edu.au</w:t>
      </w:r>
    </w:p>
    <w:p w14:paraId="3F091F1C" w14:textId="77777777" w:rsidR="00365282" w:rsidRDefault="00365282" w:rsidP="00307993">
      <w:pPr>
        <w:pStyle w:val="Notesoncontributors"/>
        <w:suppressLineNumbers/>
      </w:pPr>
      <w:r>
        <w:t>Dr Kirsten Zimbardi, PhD, BSc (H</w:t>
      </w:r>
      <w:r w:rsidR="00E66EEC">
        <w:t>on), GCHEd is a past</w:t>
      </w:r>
      <w:r>
        <w:t xml:space="preserve"> UQ Teaching Fellow, </w:t>
      </w:r>
      <w:r w:rsidR="00955C78">
        <w:t xml:space="preserve">an early career academic with an international reputation for designing innovative </w:t>
      </w:r>
      <w:r w:rsidR="00B16688">
        <w:t>inquiry-based curricula that</w:t>
      </w:r>
      <w:r>
        <w:t xml:space="preserve"> develop students’</w:t>
      </w:r>
      <w:r w:rsidR="00955C78">
        <w:t xml:space="preserve"> scientific reasoning, and Chief Investigator for the feedback analytics project.</w:t>
      </w:r>
    </w:p>
    <w:p w14:paraId="5BFB4292" w14:textId="77777777" w:rsidR="00365282" w:rsidRDefault="00365282" w:rsidP="00307993">
      <w:pPr>
        <w:pStyle w:val="Notesoncontributors"/>
        <w:suppressLineNumbers/>
      </w:pPr>
      <w:r>
        <w:t>Dr Kay Colthorpe, PhD, DipAppSc (Ag), GDipAgSt, GCertEd (HE) is Chair of the Education Research Unit in the School of Biomedical Science, and past UQ Teaching Fellow, with research focuses on assessment and feedback in the sciences.</w:t>
      </w:r>
    </w:p>
    <w:p w14:paraId="5135CD3B" w14:textId="77777777" w:rsidR="00365282" w:rsidRDefault="00365282" w:rsidP="00307993">
      <w:pPr>
        <w:pStyle w:val="Notesoncontributors"/>
        <w:suppressLineNumbers/>
      </w:pPr>
      <w:r>
        <w:t xml:space="preserve">Dr Andrew Dekker, PhD, BIT Hons, BMultimedia Design, BInfEnv. Senior Developer, UQx, Director of Ably Digital Design, winner of the Govhack 2013 National Award. Andrew developed </w:t>
      </w:r>
      <w:r w:rsidR="00E66EEC">
        <w:t>the feedback analytics capture system</w:t>
      </w:r>
      <w:r>
        <w:t>, working extensively with academic implementers in 2011-201</w:t>
      </w:r>
      <w:r w:rsidR="00EA0167">
        <w:t>5</w:t>
      </w:r>
      <w:r>
        <w:t>, and continues to support its implementation.</w:t>
      </w:r>
    </w:p>
    <w:p w14:paraId="180F2362" w14:textId="546A9B62" w:rsidR="00365282" w:rsidRDefault="00365282" w:rsidP="00307993">
      <w:pPr>
        <w:pStyle w:val="Notesoncontributors"/>
        <w:suppressLineNumbers/>
      </w:pPr>
      <w:r>
        <w:t xml:space="preserve">Dr Craig Engstrom, PhD, MSc, BHMS(Ed)(Hon), </w:t>
      </w:r>
      <w:r w:rsidR="00567FB8">
        <w:t xml:space="preserve">holds a UQ Award for Teaching Excellence (2015), was awarded a </w:t>
      </w:r>
      <w:r>
        <w:t>UQ T&amp;L Excellence Commendation</w:t>
      </w:r>
      <w:r w:rsidR="00567FB8">
        <w:t xml:space="preserve"> in 2013</w:t>
      </w:r>
      <w:r>
        <w:t>, and</w:t>
      </w:r>
      <w:r w:rsidR="00567FB8">
        <w:t xml:space="preserve"> initial leader in</w:t>
      </w:r>
      <w:r>
        <w:t xml:space="preserve"> </w:t>
      </w:r>
      <w:r w:rsidR="00567FB8">
        <w:t>developing the audio feedback aspect of the feedback analytics capture system.</w:t>
      </w:r>
      <w:r>
        <w:t xml:space="preserve"> </w:t>
      </w:r>
    </w:p>
    <w:p w14:paraId="17CD1D01" w14:textId="3E7696E5" w:rsidR="00365282" w:rsidRDefault="00365282" w:rsidP="00307993">
      <w:pPr>
        <w:pStyle w:val="Notesoncontributors"/>
        <w:suppressLineNumbers/>
      </w:pPr>
      <w:r>
        <w:lastRenderedPageBreak/>
        <w:t xml:space="preserve">Dr Andrea Bugarcic, PhD, MSc, </w:t>
      </w:r>
      <w:r w:rsidR="006619F3">
        <w:t>GCHEd</w:t>
      </w:r>
      <w:r w:rsidR="006619F3">
        <w:t>,</w:t>
      </w:r>
      <w:bookmarkStart w:id="0" w:name="_GoBack"/>
      <w:bookmarkEnd w:id="0"/>
      <w:r w:rsidR="006619F3">
        <w:t xml:space="preserve"> </w:t>
      </w:r>
      <w:r w:rsidR="001B3FEA">
        <w:t xml:space="preserve">has completed her postdoctoral work at Institute for Molecular Biosciences, and a lecturership in School of Biomedical Science, and </w:t>
      </w:r>
      <w:r>
        <w:t xml:space="preserve">is </w:t>
      </w:r>
      <w:r w:rsidR="001B3FEA">
        <w:t xml:space="preserve">now the Associate Program Leader at the </w:t>
      </w:r>
      <w:r w:rsidR="001B3FEA" w:rsidRPr="00365282">
        <w:t>Endeavour College of Natural Health</w:t>
      </w:r>
      <w:r w:rsidR="001B3FEA">
        <w:t>.</w:t>
      </w:r>
    </w:p>
    <w:p w14:paraId="32DE5DE5" w14:textId="77777777" w:rsidR="00365282" w:rsidRDefault="00365282" w:rsidP="00307993">
      <w:pPr>
        <w:pStyle w:val="Notesoncontributors"/>
        <w:suppressLineNumbers/>
      </w:pPr>
      <w:r>
        <w:t xml:space="preserve">Mr Peter Worthy, </w:t>
      </w:r>
      <w:r w:rsidR="003638D4">
        <w:t>BAppSc</w:t>
      </w:r>
      <w:r w:rsidR="003638D4" w:rsidRPr="003638D4">
        <w:t xml:space="preserve"> (Anat), LLB, GDipLegalPrac</w:t>
      </w:r>
      <w:r w:rsidR="003638D4">
        <w:t>,</w:t>
      </w:r>
      <w:r w:rsidR="003638D4" w:rsidRPr="003638D4">
        <w:t xml:space="preserve"> MIDesign,</w:t>
      </w:r>
      <w:r w:rsidR="003638D4">
        <w:t xml:space="preserve"> is </w:t>
      </w:r>
      <w:r w:rsidR="001B3FEA">
        <w:t xml:space="preserve">a Teaching Assistant undertaking a PhD on the impact of technology on quality of life and social relationships </w:t>
      </w:r>
      <w:r w:rsidR="00475C1A">
        <w:t>and the</w:t>
      </w:r>
      <w:r w:rsidR="003638D4">
        <w:t xml:space="preserve"> </w:t>
      </w:r>
      <w:r w:rsidR="003638D4" w:rsidRPr="003638D4">
        <w:t xml:space="preserve">Project Officer </w:t>
      </w:r>
      <w:r w:rsidR="003638D4">
        <w:t xml:space="preserve">on the </w:t>
      </w:r>
      <w:r w:rsidR="001B3FEA">
        <w:t>feedback analytics</w:t>
      </w:r>
      <w:r w:rsidR="003638D4">
        <w:t xml:space="preserve"> project.</w:t>
      </w:r>
    </w:p>
    <w:p w14:paraId="17C4EC51" w14:textId="77777777" w:rsidR="00365282" w:rsidRDefault="00365282" w:rsidP="00307993">
      <w:pPr>
        <w:pStyle w:val="Notesoncontributors"/>
        <w:suppressLineNumbers/>
      </w:pPr>
      <w:r>
        <w:t>Mr A. Ruban Victor, BSc, is a post-graduate student in t</w:t>
      </w:r>
      <w:r w:rsidR="00475C1A">
        <w:t>he Scho</w:t>
      </w:r>
      <w:r w:rsidR="00E66EEC">
        <w:t>ol of Biomedical Science developing his interests in researching</w:t>
      </w:r>
      <w:r w:rsidR="00475C1A">
        <w:t xml:space="preserve"> </w:t>
      </w:r>
      <w:r w:rsidR="00E66EEC">
        <w:t>cognitive processes and educational psychology.</w:t>
      </w:r>
    </w:p>
    <w:p w14:paraId="78AA95E5" w14:textId="77777777" w:rsidR="00365282" w:rsidRDefault="00365282" w:rsidP="00307993">
      <w:pPr>
        <w:pStyle w:val="Notesoncontributors"/>
        <w:suppressLineNumbers/>
      </w:pPr>
      <w:r>
        <w:t>Dr Prasad</w:t>
      </w:r>
      <w:r w:rsidR="00EA0167">
        <w:t xml:space="preserve"> Chunduri, PhD, MSc, GCHEd is a</w:t>
      </w:r>
      <w:r>
        <w:t xml:space="preserve"> Lecturer with extensive experience in coordinating large courses, and a devel</w:t>
      </w:r>
      <w:r w:rsidR="00E66EEC">
        <w:t>oping SoTL profile in online teaching and learning</w:t>
      </w:r>
      <w:r>
        <w:t xml:space="preserve"> technologies.</w:t>
      </w:r>
    </w:p>
    <w:p w14:paraId="4345746B" w14:textId="77777777" w:rsidR="00365282" w:rsidRDefault="00365282" w:rsidP="00307993">
      <w:pPr>
        <w:pStyle w:val="Notesoncontributors"/>
        <w:suppressLineNumbers/>
      </w:pPr>
      <w:r>
        <w:t>Assoc Prof Lesley Lluka, PhD, BPharm, MPharmStud has over 30 years of experience in university teaching and learning, was awarded a UQ Award for Teaching Excellence in 2010, and nominated for Australian Teaching Excellence Awards in 2011 and 2012.</w:t>
      </w:r>
    </w:p>
    <w:p w14:paraId="3344A187" w14:textId="4E6BE45A" w:rsidR="00307993" w:rsidRDefault="00365282" w:rsidP="00307993">
      <w:pPr>
        <w:pStyle w:val="Notesoncontributors"/>
        <w:suppressLineNumbers/>
      </w:pPr>
      <w:r>
        <w:t xml:space="preserve">Prof Phillip Long, PhD, AB Psychobiology (Hon) is </w:t>
      </w:r>
      <w:r w:rsidR="00EA0167">
        <w:t xml:space="preserve">the </w:t>
      </w:r>
      <w:r w:rsidR="00EA0167" w:rsidRPr="00EA0167">
        <w:t>Associate Vice Provost for Learning Sciences and Deputy Director of the Cent</w:t>
      </w:r>
      <w:r w:rsidR="00EA0167">
        <w:t>re</w:t>
      </w:r>
      <w:r w:rsidR="00EA0167" w:rsidRPr="00EA0167">
        <w:t xml:space="preserve"> for Teaching and Learning at the University of Texas, Austin</w:t>
      </w:r>
      <w:r w:rsidR="00EA0167">
        <w:t xml:space="preserve">. He is a </w:t>
      </w:r>
      <w:r>
        <w:t>Co-founder and Executive Member of the Society for Learning Analytics Research (SOLAR) and international leader in the use of emerging technologies to enhance student engagement and learning.</w:t>
      </w:r>
    </w:p>
    <w:p w14:paraId="093B92D9" w14:textId="77777777" w:rsidR="00307993" w:rsidRDefault="00307993" w:rsidP="009B24B5">
      <w:pPr>
        <w:pStyle w:val="Articletitle"/>
        <w:sectPr w:rsidR="00307993" w:rsidSect="00307993">
          <w:pgSz w:w="11901" w:h="16840" w:code="9"/>
          <w:pgMar w:top="1418" w:right="1701" w:bottom="1418" w:left="1701" w:header="709" w:footer="709" w:gutter="0"/>
          <w:lnNumType w:countBy="1" w:restart="continuous"/>
          <w:cols w:space="708"/>
          <w:docGrid w:linePitch="360"/>
        </w:sectPr>
      </w:pPr>
    </w:p>
    <w:p w14:paraId="609DD9F6" w14:textId="100CE5DF" w:rsidR="00C246C5" w:rsidRDefault="00EA0167" w:rsidP="009B24B5">
      <w:pPr>
        <w:pStyle w:val="Articletitle"/>
      </w:pPr>
      <w:r w:rsidRPr="00EA0167">
        <w:lastRenderedPageBreak/>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(Boud and Molloy 2013). More importantly, we offer novel insights into the relationships between feedback provision, feedback use, and successful academic outcomes.</w:t>
      </w:r>
    </w:p>
    <w:p w14:paraId="2DBCAD86" w14:textId="77777777" w:rsidR="0020415E" w:rsidRPr="0020415E" w:rsidRDefault="00997B0F" w:rsidP="00F30DFF">
      <w:pPr>
        <w:pStyle w:val="Keywords"/>
      </w:pPr>
      <w:r>
        <w:t xml:space="preserve">Keywords: </w:t>
      </w:r>
      <w:r w:rsidR="00EA0167">
        <w:t>feedback</w:t>
      </w:r>
      <w:r>
        <w:t>;</w:t>
      </w:r>
      <w:r w:rsidR="00EA0167">
        <w:t xml:space="preserve"> assessment; academic performance</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(e.g. Sadler 1998; Nicol and Macfarlane-Dick 2006; Hattie and Timperley 2007)</w:t>
      </w:r>
      <w:r>
        <w:fldChar w:fldCharType="end"/>
      </w:r>
      <w:r>
        <w:t xml:space="preserve">. It is extremely concerning, however, that a meta-analysis </w:t>
      </w:r>
      <w:r>
        <w:lastRenderedPageBreak/>
        <w:t xml:space="preserve">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Jonsson 2012). Studies commonly report that students do not collect, or read, written formative feedback (Sinclair and Cleland 2007; MacDonald 1991). Further, it appears that when students do attempt to use feedback, they often lack the necessary strategies to do so effectively (Furnborough and Truman 2009). A recent, small-scale but detailed study, demonstrated very clearly and poignantly that students get frustrated and ignore feedback when they do not understand what to do with it (Still and Koerber 2010). On a brighter note, the increasingly widespread adoption of online marking and feedback tools makes it easier for students to collect their feedback (Hepplestone et al. 2011). When surveyed, the majority of students report accessing their feedback and re-listening to audio comments multiple times (Carruthers et al. 2014; Brearley and Cullen 2012). With the explosion of available evidence on </w:t>
      </w:r>
      <w:r>
        <w:lastRenderedPageBreak/>
        <w:t>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(Rhind et al. 2013; Lunt and Curran 2010; Ice et al. 2007; Brearley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Orsmond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the extent to which large teams of casual academic markers are providing feedback, and </w:t>
      </w:r>
      <w:r>
        <w:lastRenderedPageBreak/>
        <w:t xml:space="preserve">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77777777"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been described in detail previously (Zimbardi, Bugarcic, et al. 2013; Good et al. 2015). </w:t>
      </w:r>
      <w:r>
        <w:lastRenderedPageBreak/>
        <w:t>Briefly, during the practical classes, students undertake hands-on laboratory experiments, and are given increasing levels of autonomy in the experimental design as they progress through the two courses (Zimbardi, Bugarcic, et al. 2013).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 xml:space="preserve">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(Boud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practicals by an interactive, online laboratory manual built using LabTutorTM software (ADInstruments, New Zealand). This system is also used to scaffold students through the basic structure of the scientific article genre. At the end of each practical class, students export a document from the LabTutor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77777777"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 (Zimbardi, Colthorpe, et al. 2013). 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 xml:space="preserve">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(eg BlackboardTM,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w:t>
      </w:r>
      <w:r>
        <w:lastRenderedPageBreak/>
        <w:t xml:space="preserve">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t>iPad Marking Application</w:t>
      </w:r>
    </w:p>
    <w:p w14:paraId="558FCA3D" w14:textId="77777777" w:rsidR="000304C4" w:rsidRDefault="000304C4" w:rsidP="000304C4">
      <w:pPr>
        <w:pStyle w:val="Newparagraph"/>
      </w:pPr>
      <w:r>
        <w:t xml:space="preserve">UQMarkup is an iPad application is used by markers to provide feedback on student work.  The UQMarkup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lastRenderedPageBreak/>
        <w:t xml:space="preserve"> </w:t>
      </w:r>
    </w:p>
    <w:p w14:paraId="47FD354C" w14:textId="77777777" w:rsidR="000304C4" w:rsidRDefault="000304C4" w:rsidP="000304C4">
      <w:pPr>
        <w:pStyle w:val="Heading2"/>
      </w:pPr>
      <w:r>
        <w:t>Data collection and analysis</w:t>
      </w:r>
    </w:p>
    <w:p w14:paraId="57F28BEF" w14:textId="77777777" w:rsidR="000304C4" w:rsidRDefault="000304C4" w:rsidP="000304C4">
      <w:pPr>
        <w:pStyle w:val="Newparagraph"/>
      </w:pPr>
      <w:r>
        <w:t>A total of 5960 reports submitted and marked through the feedback analytics system in semester 1 and 2, 2013 were used for this study. The modality, length (duration or number of words) and position of each feedback annotation provided on all reports was recorded. 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 xml:space="preserve">The increasing availability of online technologies, which allow the provision of multimodal feedback annotations that can be generalised or situated, has certainly increased the variety and flexibility of feedback delivery options (Hepplestone et al. 2011). However, it has also increased the variability of feedback provision and changed the way in which students interact with feedback, leading to potentially greater variability in student outcomes (Jonsson 2012; Hepplestone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w:t>
      </w:r>
      <w:r>
        <w:lastRenderedPageBreak/>
        <w:t>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77253E00" w14:textId="77777777" w:rsidR="000304C4" w:rsidRDefault="000304C4" w:rsidP="000304C4">
      <w:pPr>
        <w:pStyle w:val="Newparagraph"/>
      </w:pPr>
      <w:r>
        <w:t>A randomly selected sample of 160 audio annotations were transcribed and their word count determined. Talking speed was relatively stable across audio annotations, as they contained on average 164+/-6 words per minute, which is also consistent with previous reports of 450-500 words per 3 minute audio feedback comment (Brearley and Cullen 2012). To allow comparison between word length of typed and audio annotations, the length (in minutes) of each audio annotation was multiplied by 164. On average, audio annotations contained significantly more words (78.8+/-0.4 words) than typed annotations (10.9+/-0.1 words; p&lt;0.001) (Figure 4A vs 4B). In the first year reports, markers provided on average a significantly greater number of typed annotations (6.9+/-0.1) per report than audio annotations (4.2+/-0.1; p&lt;0.001; Figure 2A vs 2B). This was reversed for the second years’ reports, where markers provided significantly more audio annotations (11.6+/-0.4) per report than typed annotations (5.6+/-0.4; p&lt;0.001; Figure 2A vs 2B). However, for both first (p&lt;0.001) and second (p&lt;0.001) year reports, the total amount of feedback provided in audio annotations, in terms of word length, was significantly greater than typed annotations (p&lt;0.05; Figure 3A vs 3B).</w:t>
      </w:r>
    </w:p>
    <w:p w14:paraId="6AC884B4" w14:textId="77777777" w:rsidR="000304C4" w:rsidRDefault="000304C4" w:rsidP="000304C4">
      <w:pPr>
        <w:pStyle w:val="Newparagraph"/>
      </w:pPr>
      <w:r>
        <w:t xml:space="preserve">When comparing between year levels, it was found that markers  provided significantly more audio annotations on second years’ work on average than on the first </w:t>
      </w:r>
      <w:r>
        <w:lastRenderedPageBreak/>
        <w:t xml:space="preserve">years’ reports (p&lt;0.001; Figure 2A). The audio annotations were also significantly longer on second year report (94.2+/-1.3 words; p&lt;0.05) than those provided to first year students (74+/-0.4 words; p&lt;0.05; Figure 3A). In contrast, markers provided more typed annotations (Figure 2B) that were longer (Figure 3B) on the first year reports (6.9+/-0.1 annotations of 11.3+/-0. 1 words) compared with second year reports (5.6+/-0.4 annotations of 6.9+/-0.02 words; p&lt;0.001). </w:t>
      </w:r>
    </w:p>
    <w:p w14:paraId="2997CD3A" w14:textId="77777777" w:rsidR="000304C4" w:rsidRDefault="000304C4" w:rsidP="000304C4">
      <w:pPr>
        <w:pStyle w:val="Newparagraph"/>
      </w:pPr>
      <w:r>
        <w:t>Overall the total amount of feedback provided on second year work (1126+/-37 words/report) was significantly greater than that on first year reports (388+/-4 words/report; p&lt;0.001). Not surprisingly, this was due to each second year report receiving, on average, significantly more total words in audio annotations (1088+/-36 words/report) than each first year report (309+/-4 words/report; p&lt;0.001; Figure 4A), despite the total amount of words provided in typed annotations being greater for first year reports (78+/-1 words/report) compared with second year report (38+/-4 words/report; p&lt;0.001; Figure 4B). Reports from second year students also took longer to mark (28.4+/-1.0 minutes) than first years’ reports (13.9+/-0.2 minutes; p&lt;0.001). This may be related to the differences in task design between first and second year, with the second years’ reports being of greater average length (1909+/-150) than the first years’ reports (1269+/-99). Further, this reflect the higher degree of similarities between reports in the more structured first year practicals, and/or the higher expectations of scientific reasoning in the second year reports (Zimbardi, Bugarcic, et al. 2013).</w:t>
      </w:r>
    </w:p>
    <w:p w14:paraId="3FA8E9D6" w14:textId="77777777" w:rsidR="000304C4" w:rsidRDefault="000304C4" w:rsidP="000304C4">
      <w:pPr>
        <w:pStyle w:val="Newparagraph"/>
      </w:pPr>
      <w:r>
        <w:t xml:space="preserve"> With the exception of the formative task (Report 0), markers tended to provide more audio annotations on the earliest reports in each year and semester, with the amount of audio feedback provided then declining on subsequent reports across each semester (Figure 2A). Interestingly, despite this decline, the average length of each in situ audio annotation was relatively consistent, with averages across semesters and year </w:t>
      </w:r>
      <w:r>
        <w:lastRenderedPageBreak/>
        <w:t>levels at 28.8+/-0.2 seconds per annotation. With an average talking speed of 164 words/minute, this would suggest that markers tend to give feedback in approximately 80 word ‘sound bites’, effectively a short paragraph of information. This contrasts with other studies where a single audio annotation is given, as these tend to be considerably longer (Gould and Day 2013; Ribchester, France, and Wakefield 2008), but may equate to a similar amount of audio feedback being provided overall on equivalent tasks (Ice et al. 2007; Lunt and Curran 2010).</w:t>
      </w:r>
    </w:p>
    <w:p w14:paraId="4E1F8052" w14:textId="77777777" w:rsidR="000304C4" w:rsidRDefault="000304C4" w:rsidP="000304C4">
      <w:pPr>
        <w:pStyle w:val="Newparagraph"/>
      </w:pPr>
      <w:r>
        <w:t xml:space="preserve">While audio annotations were relatively consistent in length, the typed annotations were not. The first year students in semester 1 received longer typed annotations on their early reports, with the longest typed comments appearing on the formative task (15.4+/-0.2 words) and declining thereafter (Report 1: 12+/-0.2 words; Report 2: 11+/-0.2 words; Report 3: 8.9+/-0.2 words; p&lt;0.001; Figure 3). In semester 2, where no formative task existed, the length of the typed annotations declined in a similar way (Report 1: 12.2+/-0.2 words; Report 2: 10.4+/-0.1 words; Report 3: 8.8+/-0.1 words; p&lt;0.001; Figure 3). For the second year reports, the number (Report 1: 7.1+/-0.7 annotations; Report 2: 4.0+/-0.4 annotations, p&lt;0.001) and length (Report 1: 7.0+/-0.2 words; Report 2: 6.7+/-0.3 words, p&lt;0.001) of typed annotations declined across the two reports.  </w:t>
      </w:r>
    </w:p>
    <w:p w14:paraId="298AB1DE" w14:textId="77777777" w:rsidR="000304C4" w:rsidRDefault="000304C4" w:rsidP="000304C4">
      <w:pPr>
        <w:pStyle w:val="Newparagraph"/>
      </w:pPr>
      <w:r>
        <w:t xml:space="preserve">The availability of in situ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w:t>
      </w:r>
      <w:r>
        <w:lastRenderedPageBreak/>
        <w:t xml:space="preserve">example when a single overall audio comment is provided, or when audio and text files are provided separately (Ribchester, France, and Wakefield 2008; Rodway-Dyer, Knight, and Dunne 2010). In this regard, the advent of completely online assessment submission and marking systems, which allow in situ embedding of feedback regardless of modality, represent a notable improvement in feedback provision.  </w:t>
      </w:r>
    </w:p>
    <w:p w14:paraId="48D65097" w14:textId="77777777" w:rsidR="000304C4" w:rsidRDefault="000304C4" w:rsidP="000304C4">
      <w:pPr>
        <w:pStyle w:val="Heading2"/>
      </w:pPr>
      <w:r>
        <w:t xml:space="preserve">Feedback use </w:t>
      </w:r>
    </w:p>
    <w:p w14:paraId="60DE7A82" w14:textId="77777777" w:rsidR="000304C4" w:rsidRDefault="000304C4" w:rsidP="000304C4">
      <w:pPr>
        <w:pStyle w:val="Heading3"/>
      </w:pPr>
      <w:r>
        <w:t>Proportion of students viewing report feedback</w:t>
      </w:r>
    </w:p>
    <w:p w14:paraId="520EBC45" w14:textId="7777777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(Zimbardi et al. 2014) suggests that the majority of both first and second year students access the feedback on the first report before the second report is due, but a </w:t>
      </w:r>
      <w:r>
        <w:lastRenderedPageBreak/>
        <w:t xml:space="preserve">more thorough analysis, along with additional data on student use of other feedback sources, is needed to convincingly test these hypotheses. </w:t>
      </w:r>
    </w:p>
    <w:p w14:paraId="1A598440" w14:textId="77777777" w:rsidR="000304C4" w:rsidRDefault="000304C4" w:rsidP="000304C4">
      <w:pPr>
        <w:pStyle w:val="Heading2"/>
      </w:pPr>
      <w:r>
        <w:t xml:space="preserve">Feedback viewing duration and pause times </w:t>
      </w:r>
    </w:p>
    <w:p w14:paraId="77335547" w14:textId="77777777" w:rsidR="000304C4" w:rsidRDefault="000304C4" w:rsidP="000304C4">
      <w:pPr>
        <w:pStyle w:val="Newparagraph"/>
      </w:pPr>
      <w:r>
        <w:t xml:space="preserve">In terms of the duration for which student had reports open, in each semester and year level the duration declined markedly from averages ranging between 3-7 hours for the non-final reports, down to 30-90 minutes for the final report (Figure 6). When the 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1 minute (6%) or did not open their report at all (10%). It is possible that these durations represent students engaging in different categories of behaviour (Warnakulasooriya,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w:t>
      </w:r>
      <w:r>
        <w:lastRenderedPageBreak/>
        <w:t xml:space="preserve">falling into the categories of shorter open durations, of less than one minute (17%), or between one minute and one hour (57%; Figure 7B &amp; D). The duration and timing of students interaction with feedback occurring on the non-final tasks suggests that the students perceive these tasks to be sufficiently similar to one another for the feedback to be useful for the subsequent tasks (Boud and Molloy 2013) but also suggests that one of the key drivers for student interaction with feedback is the immediacy of its use on similar assessment tasks.  </w:t>
      </w:r>
    </w:p>
    <w:p w14:paraId="075B7052" w14:textId="77777777" w:rsidR="000304C4" w:rsidRDefault="000304C4"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Students interacted with their non-final reports to a significantly greater degree compared with their final reports for both the level 1 course (Report 1: 105+/-2 clicks per report; Report 3: 38+/-1 clicks per report; p&lt;0.001) and the level 2 course (Report 1: 202+/-10 clicks per report; Report 2: 67+/-4 clicks per report; p&lt;0.001). In addition, the pauses between clicks may provide a useful lens for understanding how students are interacting with their feedback. On average, the amount of time students paused between clicks was 2.64+/-0.06 minutes for non-final reports, and 1.18+/-0.01 minutes for final reports. The vast majority of these pauses (83%) fell between 0.4 seconds and 3 minutes, with very few pauses exceeding one hour (4%; Figure 8A &amp; B). 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w:t>
      </w:r>
      <w:r>
        <w:lastRenderedPageBreak/>
        <w:t>pattern by which students interact with in situ feedback. Such detailed data representing how students interact with their feedback, and educational materials more generally, is now becoming increasingly prevalent in the age of ‘big data’ and learning analytics (Long and Siemens 2011) and we are currently at the tip of the iceberg in unpacking the behavioural correlates of such patterns in clickstream data. At this stage we hypothesise that minuscule pauses between scrolling clicks might indicate students 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77777777" w:rsidR="000304C4" w:rsidRDefault="000304C4" w:rsidP="000304C4">
      <w:pPr>
        <w:pStyle w:val="Newparagraph"/>
      </w:pPr>
      <w:r>
        <w:t xml:space="preserve">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 (Colthorpe et al. 2015). Interestingly, the average performance for the first year students in each semester was comparable between the summative tasks (p=0.15), but their performance on the formative task in semester 1 was lower than any summative tasks, regardless of </w:t>
      </w:r>
      <w:r>
        <w:lastRenderedPageBreak/>
        <w:t>semester (p&lt;0.001; Figure 9). This suggests that students in semester 2 are not disadvantaged by the lack of the formative task, potentially the experience they have gained in completing a semester 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w:t>
      </w:r>
      <w:r>
        <w:lastRenderedPageBreak/>
        <w:t>in second year who behave differently in relation to their feedback are carrying forward their patterns of behaviour and associated learning gains from first year.  Our use of this feedback analytics system over consecutive years will help us to investigate this longitudinal question in the future. At this stage, our findings are consistent with the views (Boud and Molloy 2013) that students who spend longer with their feedback open 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of student interactions with feedback. The findings of this study provides reproducible evidence, from several cohorts of students, which provides empirical support for several theoretical frameworks for feedback practice (Boud and Soler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w:t>
      </w:r>
      <w:r>
        <w:lastRenderedPageBreak/>
        <w:t xml:space="preserve">limited or no interaction with their feedback did not improve to the same extent, or as fast as those with higher levels of interaction. However, this investigation has begun with a broad marker of academic achievement. In the future, a more detailed analysis of variations in individual’s behaviour, including their interactions with feedback annotations of varying modalities, and extent of changes in performance within specific 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Rhind et al. 2013; Lunt and Curran 2010; Merry and Orsmond 2008), but has not quantified the interactions of students with different forms of feedback, with just a few studies having employed methods to observe students actually using feedback (Dessner 1991; Dohrer 1991; Still and Koerber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754CA516" w14:textId="77777777" w:rsidR="005975F2" w:rsidRDefault="005975F2" w:rsidP="005975F2">
      <w:pPr>
        <w:pStyle w:val="Heading1"/>
      </w:pPr>
      <w:r>
        <w:lastRenderedPageBreak/>
        <w:t>Acknowledgements</w:t>
      </w:r>
    </w:p>
    <w:p w14:paraId="18663A0D" w14:textId="2BDCDE47" w:rsidR="005975F2" w:rsidRPr="005975F2" w:rsidRDefault="005975F2" w:rsidP="005975F2">
      <w:pPr>
        <w:pStyle w:val="Paragraph"/>
      </w:pPr>
      <w:r w:rsidRPr="005975F2">
        <w:t xml:space="preserve">This work was supported by </w:t>
      </w:r>
      <w:r w:rsidR="00E54C0C">
        <w:t>T</w:t>
      </w:r>
      <w:r w:rsidR="008F4D87">
        <w:t xml:space="preserve">he </w:t>
      </w:r>
      <w:r w:rsidR="00E54C0C">
        <w:t xml:space="preserve">University of Queensland </w:t>
      </w:r>
      <w:r w:rsidR="008F4D87">
        <w:t>Faculty of Science</w:t>
      </w:r>
      <w:r w:rsidR="008F4D87" w:rsidRPr="005975F2">
        <w:t xml:space="preserve"> </w:t>
      </w:r>
      <w:r w:rsidR="00E54C0C">
        <w:t>Teaching and Learning Committee under Grants entitled ‘</w:t>
      </w:r>
      <w:r w:rsidR="00E54C0C" w:rsidRPr="00E54C0C">
        <w:t>UQMarkUP: Effective feedback and consistent assessment for large cohorts with e-learni</w:t>
      </w:r>
      <w:r w:rsidR="00E54C0C">
        <w:t xml:space="preserve">ng enabled ‘in situ’ commenting’ in </w:t>
      </w:r>
      <w:r>
        <w:t>2012-2013</w:t>
      </w:r>
      <w:r w:rsidR="00E54C0C">
        <w:t>; an</w:t>
      </w:r>
      <w:r w:rsidR="00BE5F65">
        <w:t xml:space="preserve">d The University of Queensland </w:t>
      </w:r>
      <w:r w:rsidR="00E54C0C">
        <w:t xml:space="preserve">under a Early Career Researcher (SoTL) Grant </w:t>
      </w:r>
      <w:r w:rsidR="00BE5F65">
        <w:t xml:space="preserve">(number </w:t>
      </w:r>
      <w:r w:rsidR="00BE5F65" w:rsidRPr="00BE5F65">
        <w:t>2014001951</w:t>
      </w:r>
      <w:r w:rsidR="00BE5F65">
        <w:t>).</w:t>
      </w:r>
    </w:p>
    <w:p w14:paraId="24CDBE58" w14:textId="77777777" w:rsidR="000304C4" w:rsidRDefault="000304C4" w:rsidP="001C4D4D">
      <w:pPr>
        <w:pStyle w:val="Heading1"/>
      </w:pPr>
      <w:r>
        <w:t>References</w:t>
      </w:r>
    </w:p>
    <w:p w14:paraId="040C0399" w14:textId="77777777" w:rsidR="000304C4" w:rsidRDefault="000304C4" w:rsidP="000304C4">
      <w:pPr>
        <w:pStyle w:val="Newparagraph"/>
      </w:pPr>
      <w:r>
        <w:t xml:space="preserve">Boud, David, and Elizabeth Molloy. 2013. </w:t>
      </w:r>
      <w:r w:rsidRPr="00431612">
        <w:rPr>
          <w:i/>
        </w:rPr>
        <w:t>Feedback in Higher and Professional Education</w:t>
      </w:r>
      <w:r>
        <w:t>. Routledge.</w:t>
      </w:r>
    </w:p>
    <w:p w14:paraId="5BF2BEF3" w14:textId="77777777" w:rsidR="000304C4" w:rsidRDefault="000304C4" w:rsidP="000304C4">
      <w:pPr>
        <w:pStyle w:val="Newparagraph"/>
      </w:pPr>
      <w:r>
        <w:t xml:space="preserve">Boud, David, and Nancy Falchikov.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r>
        <w:t xml:space="preserve">Boud, David, and Rebeca Soler.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r>
        <w:t xml:space="preserve">Brearley,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CB801E5" w14:textId="77777777" w:rsidR="000304C4" w:rsidRDefault="000304C4" w:rsidP="000304C4">
      <w:pPr>
        <w:pStyle w:val="Newparagraph"/>
      </w:pPr>
      <w:r>
        <w:t xml:space="preserve">Colthorpe, Kay L, Kirsten Zimbardi, Andrea Bugarcic, and Aaron Smith. 2015. “Progressive Development of Scientific Literacy Through Assessment in Inquiry-Based </w:t>
      </w:r>
      <w:r>
        <w:lastRenderedPageBreak/>
        <w:t xml:space="preserve">Biomedical Science Curricula.” </w:t>
      </w:r>
      <w:r w:rsidRPr="00431612">
        <w:rPr>
          <w:i/>
        </w:rPr>
        <w:t>International Journal of Innovation in Science and Mathematics Education</w:t>
      </w:r>
      <w:r>
        <w:t xml:space="preserve"> in press.</w:t>
      </w:r>
    </w:p>
    <w:p w14:paraId="2A2D6A49" w14:textId="77777777" w:rsidR="000304C4" w:rsidRDefault="000304C4" w:rsidP="000304C4">
      <w:pPr>
        <w:pStyle w:val="Newparagraph"/>
      </w:pPr>
      <w:r>
        <w:t xml:space="preserve">Colthorpe,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r>
        <w:t>Dessner,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r>
        <w:t>Dohrer,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r>
        <w:t xml:space="preserve">Furnborough,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1043028F" w14:textId="77777777" w:rsidR="000304C4" w:rsidRDefault="000304C4" w:rsidP="000304C4">
      <w:pPr>
        <w:pStyle w:val="Newparagraph"/>
      </w:pPr>
      <w:r>
        <w:t xml:space="preserve">Good, Jonathon, Kay L Colthorpe, Kirsten Zimbardi, and Georgia Kafer. 2015. “The Roles of Mentoring and Motivation in Student Teaching Assistant Interactions and in Improving Experience in First-Year Biology Laboratory Classes.” </w:t>
      </w:r>
      <w:r w:rsidRPr="00431612">
        <w:rPr>
          <w:i/>
        </w:rPr>
        <w:t>Journal of College Science Teaching</w:t>
      </w:r>
      <w:r w:rsidR="008F4D87">
        <w:t xml:space="preserve"> 44 (4)</w:t>
      </w:r>
      <w:r>
        <w:t>: 88–98.</w:t>
      </w:r>
    </w:p>
    <w:p w14:paraId="75C5D3B4" w14:textId="77777777" w:rsidR="000304C4" w:rsidRDefault="000304C4" w:rsidP="000304C4">
      <w:pPr>
        <w:pStyle w:val="Newparagraph"/>
      </w:pPr>
      <w:r>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r>
        <w:lastRenderedPageBreak/>
        <w:t xml:space="preserve">Hepplestone, Stuart, Graham Holden, Brian Irwin, Helen J Parkin, and Louise Thorpe. 2011. “Using Technology to Encourage Student Engagement with Feedback: a 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r>
        <w:t xml:space="preserve">Jonsson,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r>
        <w:t>Kluger, Avraham N, and Angelo DeNisi.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r>
        <w:t xml:space="preserve">Knauf,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t>Long, Phil, and George Siemens. 2011. “Penetrating the Fog: Analytics in Learning and Educat</w:t>
      </w:r>
      <w:r w:rsidR="00934670">
        <w:t>ion</w:t>
      </w:r>
      <w:r>
        <w:t xml:space="preserve">.” </w:t>
      </w:r>
      <w:r w:rsidRPr="00934670">
        <w:rPr>
          <w:i/>
        </w:rPr>
        <w:t>Educause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lastRenderedPageBreak/>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t xml:space="preserve">Merry, Stephen, and Paul Orsmond.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r>
        <w:t xml:space="preserve">Rhind,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lastRenderedPageBreak/>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Koerber.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r>
        <w:t xml:space="preserve">Warnakulasooriya, Rasil, David J Palazzo, and David E Pritchard. 2007. “Time to Completion of Web-Based Physics Problems with Tutoring.” </w:t>
      </w:r>
      <w:r w:rsidRPr="00934670">
        <w:rPr>
          <w:i/>
        </w:rPr>
        <w:t>Journal of the Experimental Analysis of Behavior</w:t>
      </w:r>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5A67DE13" w14:textId="77777777" w:rsidR="000304C4" w:rsidRDefault="000304C4" w:rsidP="000304C4">
      <w:pPr>
        <w:pStyle w:val="Newparagraph"/>
      </w:pPr>
      <w:r>
        <w:t xml:space="preserve">Zimbardi, Kirsten, Andrea Bugarcic, Kay L Colthorpe, Jonathan P Good, and Lesley J Lluka. 2013. “A Set of Vertically Integrated Inquiry-Based Practical Curricula That Develop Scientific Thinking Skills for Large Cohorts of Undergraduate Students.” </w:t>
      </w:r>
      <w:r w:rsidRPr="00934670">
        <w:rPr>
          <w:i/>
        </w:rPr>
        <w:t xml:space="preserve">AJP: Advances in Physiology </w:t>
      </w:r>
      <w:r w:rsidR="00934670" w:rsidRPr="00934670">
        <w:rPr>
          <w:i/>
        </w:rPr>
        <w:t>Education</w:t>
      </w:r>
      <w:r w:rsidR="00934670">
        <w:t xml:space="preserve"> 37 (4)</w:t>
      </w:r>
      <w:r>
        <w:t>: 303–315. doi:10.1152/advan.00082.2012.</w:t>
      </w:r>
    </w:p>
    <w:p w14:paraId="5DBF5299" w14:textId="77777777" w:rsidR="000304C4" w:rsidRDefault="000304C4" w:rsidP="000304C4">
      <w:pPr>
        <w:pStyle w:val="Newparagraph"/>
      </w:pPr>
      <w:r>
        <w:t xml:space="preserve">Zimbardi, Kirsten, Andrew Dekker, Andrea Bugarcic, Kay L Colthorpe, Prasad Chunduri, Judit Kibedi, Lesley J Lluka, Craig Engstrom, Peter Worthy, and Phil Long. 2014. “Are Students Reading My Feedback? Using a Feedback Analytics Capture System to Understand How Large Cohorts of Biomedical Science Students Use </w:t>
      </w:r>
      <w:r w:rsidR="007312C5">
        <w:t>Feedback</w:t>
      </w:r>
      <w:r>
        <w:t xml:space="preserve">.” </w:t>
      </w:r>
      <w:r w:rsidR="00934670">
        <w:rPr>
          <w:i/>
          <w:iCs/>
        </w:rPr>
        <w:t>Proceedings of The Australian Conference on Science and Mathematics Education (formerly UniServe Science Conference)</w:t>
      </w:r>
      <w:r w:rsidR="00934670">
        <w:t>.</w:t>
      </w:r>
      <w:r>
        <w:t xml:space="preserve"> Sydney.</w:t>
      </w:r>
    </w:p>
    <w:p w14:paraId="0FD08D4E" w14:textId="77777777" w:rsidR="000304C4" w:rsidRDefault="000304C4" w:rsidP="000304C4">
      <w:pPr>
        <w:pStyle w:val="Newparagraph"/>
      </w:pPr>
      <w:r>
        <w:lastRenderedPageBreak/>
        <w:t xml:space="preserve">Zimbardi, Kirsten, Kay L Colthorpe, Andrea Bugarcic, Andrew Dekker, Peter Worthy, Craig Engstrom, Phil Long, Lesley Lluka, and Prasad Chunduri. 2013. “Analytics of Student Interactions with Electronic Feedback Using UQMarkUp.” </w:t>
      </w:r>
      <w:r w:rsidRPr="007312C5">
        <w:rPr>
          <w:i/>
        </w:rPr>
        <w:t>Transforming Assessment. Melbourne &amp; Brisbane, Australia</w:t>
      </w:r>
      <w:r>
        <w:t>. http://www.transformingassessment.com/events_4_september_2013.php.</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6C3FAC36" w14:textId="77777777"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77777777"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length of annotations between first and second year reports (p&lt;0.05).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307993">
      <w:pgSz w:w="11901" w:h="16840" w:code="9"/>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64EA8" w14:textId="77777777" w:rsidR="00E54C0C" w:rsidRDefault="00E54C0C" w:rsidP="00AF2C92">
      <w:r>
        <w:separator/>
      </w:r>
    </w:p>
  </w:endnote>
  <w:endnote w:type="continuationSeparator" w:id="0">
    <w:p w14:paraId="000C4006" w14:textId="77777777" w:rsidR="00E54C0C" w:rsidRDefault="00E54C0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0E317" w14:textId="77777777" w:rsidR="00E54C0C" w:rsidRDefault="00E54C0C" w:rsidP="00AF2C92">
      <w:r>
        <w:separator/>
      </w:r>
    </w:p>
  </w:footnote>
  <w:footnote w:type="continuationSeparator" w:id="0">
    <w:p w14:paraId="7459C232" w14:textId="77777777" w:rsidR="00E54C0C" w:rsidRDefault="00E54C0C"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133C0"/>
    <w:rsid w:val="00014C4E"/>
    <w:rsid w:val="00017107"/>
    <w:rsid w:val="000202E2"/>
    <w:rsid w:val="00022441"/>
    <w:rsid w:val="0002261E"/>
    <w:rsid w:val="00024839"/>
    <w:rsid w:val="00026871"/>
    <w:rsid w:val="000304C4"/>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0799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19F3"/>
    <w:rsid w:val="00666DA8"/>
    <w:rsid w:val="00671057"/>
    <w:rsid w:val="00675AAF"/>
    <w:rsid w:val="0068031A"/>
    <w:rsid w:val="00681B2F"/>
    <w:rsid w:val="0068335F"/>
    <w:rsid w:val="00693302"/>
    <w:rsid w:val="006960CE"/>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4D87"/>
    <w:rsid w:val="008F755D"/>
    <w:rsid w:val="008F7A39"/>
    <w:rsid w:val="009021E8"/>
    <w:rsid w:val="00911440"/>
    <w:rsid w:val="00911712"/>
    <w:rsid w:val="00911B27"/>
    <w:rsid w:val="009170BE"/>
    <w:rsid w:val="00920B55"/>
    <w:rsid w:val="009262C9"/>
    <w:rsid w:val="00930EB9"/>
    <w:rsid w:val="00933DC7"/>
    <w:rsid w:val="00934670"/>
    <w:rsid w:val="009418F4"/>
    <w:rsid w:val="00942BBC"/>
    <w:rsid w:val="00944180"/>
    <w:rsid w:val="00944AA0"/>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5F36"/>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D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Table Grid" w:uiPriority="59"/>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Table Grid" w:uiPriority="59"/>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8F32A-9384-7D4E-9D4A-058A9A1B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1</TotalTime>
  <Pages>30</Pages>
  <Words>10097</Words>
  <Characters>57555</Characters>
  <Application>Microsoft Macintosh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67517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cp:lastModifiedBy>
  <cp:revision>3</cp:revision>
  <cp:lastPrinted>2011-07-22T14:54:00Z</cp:lastPrinted>
  <dcterms:created xsi:type="dcterms:W3CDTF">2015-12-21T23:41:00Z</dcterms:created>
  <dcterms:modified xsi:type="dcterms:W3CDTF">2015-12-21T23:42:00Z</dcterms:modified>
</cp:coreProperties>
</file>