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9DD9F6" w14:textId="100CE5DF" w:rsidR="00C246C5" w:rsidRDefault="00EA0167" w:rsidP="009B24B5">
      <w:pPr>
        <w:pStyle w:val="Articletitle"/>
      </w:pPr>
      <w:r w:rsidRPr="00EA0167">
        <w:t>Are they using my feedback? The extent of students’ feedback use has a large impact subsequent academic performance.</w:t>
      </w:r>
    </w:p>
    <w:p w14:paraId="22BFA8D5" w14:textId="77777777" w:rsidR="00266354" w:rsidRDefault="00EA0167" w:rsidP="00E01BAA">
      <w:pPr>
        <w:pStyle w:val="Abstract"/>
      </w:pPr>
      <w:r w:rsidRPr="00EA0167">
        <w:t>Feedback is known to produce student learning gains (Hattie 2008) and the emergence of online tools has greatly enhanced the opportunity for delivering timely, expressive, digital feedback, and for investigating its learning impacts (Ellis 2013). However, to date there have been no large quantitative investigations of the feedback provided by large teams of markers, feedback use by large cohorts of students, nor its impact on students’ academic performance across successive assessment tasks. We have developed an innovative online system to collect large-scale data on digital feedback provision and use. Our markers (n=38) used both audio and typed feedback modalities extensively, providing 388+/-4 and 1126+/-37 words per report for first and second year students, respectively. Furthermore, 92% of first year and 85% of second year students accessed their feedback, with 58% accessing their feedback for over an hour. Lastly, the amount of time students spent interacting with feedback is significantly related to the rate of improvement in subsequent assessment tasks. This study challenges assertions that many students do not collect, or use, their feedback (</w:t>
      </w:r>
      <w:proofErr w:type="spellStart"/>
      <w:r w:rsidRPr="00EA0167">
        <w:t>Boud</w:t>
      </w:r>
      <w:proofErr w:type="spellEnd"/>
      <w:r w:rsidRPr="00EA0167">
        <w:t xml:space="preserve"> and Molloy 2013). More importantly, we offer novel insights into the relationships between feedback provision, feedback use, and successful academic outcomes.</w:t>
      </w:r>
    </w:p>
    <w:p w14:paraId="2DBCAD86" w14:textId="3DE68DEF" w:rsidR="0020415E" w:rsidRPr="0020415E" w:rsidRDefault="00997B0F" w:rsidP="00F30DFF">
      <w:pPr>
        <w:pStyle w:val="Keywords"/>
      </w:pPr>
      <w:r>
        <w:t xml:space="preserve">Keywords: </w:t>
      </w:r>
      <w:r w:rsidR="004E79B4">
        <w:t>learning analytics</w:t>
      </w:r>
      <w:r>
        <w:t>;</w:t>
      </w:r>
      <w:r w:rsidR="00EA0167">
        <w:t xml:space="preserve"> </w:t>
      </w:r>
      <w:r w:rsidR="004E79B4">
        <w:t xml:space="preserve">progressive </w:t>
      </w:r>
      <w:r w:rsidR="00EA0167">
        <w:t xml:space="preserve">assessment; </w:t>
      </w:r>
      <w:r w:rsidR="004E79B4">
        <w:t>online marking; educational data mining</w:t>
      </w:r>
      <w:r w:rsidR="008F4D87">
        <w:t>.</w:t>
      </w:r>
      <w:r w:rsidR="00EA0167">
        <w:t xml:space="preserve">  </w:t>
      </w:r>
    </w:p>
    <w:p w14:paraId="3A59C5B9" w14:textId="77777777" w:rsidR="00997B0F" w:rsidRDefault="000304C4" w:rsidP="00106DAF">
      <w:pPr>
        <w:pStyle w:val="Heading1"/>
      </w:pPr>
      <w:r w:rsidRPr="000304C4">
        <w:t>Introduction</w:t>
      </w:r>
    </w:p>
    <w:p w14:paraId="21030E18" w14:textId="77777777" w:rsidR="00997B0F" w:rsidRDefault="000304C4" w:rsidP="00CF0A1B">
      <w:pPr>
        <w:pStyle w:val="Paragraph"/>
      </w:pPr>
      <w:r w:rsidRPr="00CF77E6">
        <w:t>Feedback on student performance</w:t>
      </w:r>
      <w:r w:rsidRPr="006B7377">
        <w:t xml:space="preserve"> is viewed as one of the most influential and effective learning paradigms</w:t>
      </w:r>
      <w:r>
        <w:t xml:space="preserve"> </w:t>
      </w:r>
      <w:r>
        <w:fldChar w:fldCharType="begin"/>
      </w:r>
      <w:r>
        <w:instrText xml:space="preserve"> ADDIN PAPERS2_CITATIONS &lt;citation&gt;&lt;uuid&gt;88CCFB2E-C530-4372-98B2-8451133959B6&lt;/uuid&gt;&lt;priority&gt;0&lt;/priority&gt;&lt;publications&gt;&lt;publication&gt;&lt;uuid&gt;C76A80C1-B56D-4B3F-8CD1-7F5F1E6EA187&lt;/uuid&gt;&lt;volume&gt;14&lt;/volume&gt;&lt;doi&gt;10.1177/1469787412467125&lt;/doi&gt;&lt;subtitle&gt;Active Learning in Higher Education&lt;/subtitle&gt;&lt;startpage&gt;63&lt;/startpage&gt;&lt;publication_date&gt;99201200001200000000200000&lt;/publication_date&gt;&lt;url&gt;http://alh.sagepub.com/content/early/2012/12/10/1469787412467125.abstract&lt;/url&gt;&lt;citekey&gt;Jonsson:2012dd&lt;/citekey&gt;&lt;type&gt;400&lt;/type&gt;&lt;title&gt;Facilitating productive use of feedback in higher education&lt;/title&gt;&lt;number&gt;1&lt;/number&gt;&lt;subtype&gt;400&lt;/subtype&gt;&lt;endpage&gt;76&lt;/endpage&gt;&lt;bundle&gt;&lt;publication&gt;&lt;title&gt;Active Learning in Higher Education&lt;/title&gt;&lt;type&gt;-100&lt;/type&gt;&lt;subtype&gt;-100&lt;/subtype&gt;&lt;uuid&gt;1A02A257-D1E1-4972-B0E5-9EC447725E8E&lt;/uuid&gt;&lt;/publication&gt;&lt;/bundle&gt;&lt;authors&gt;&lt;author&gt;&lt;firstName&gt;Anders&lt;/firstName&gt;&lt;lastName&gt;Jonsson&lt;/lastName&gt;&lt;/author&gt;&lt;/authors&gt;&lt;/publication&gt;&lt;publication&gt;&lt;publication_date&gt;99201500001200000000200000&lt;/publication_date&gt;&lt;startpage&gt;1&lt;/startpage&gt;&lt;subtitle&gt;Innovations in Education and Teaching International&lt;/subtitle&gt;&lt;doi&gt;10.1080/14703297.2014.1003954&lt;/doi&gt;&lt;title&gt;Enhancing the assessment experience: improving student perceptions, engagement and understanding using online video feedback&lt;/title&gt;&lt;uuid&gt;6B8207FC-B4A7-4177-B342-7DD6F8F18BD9&lt;/uuid&gt;&lt;subtype&gt;400&lt;/subtype&gt;&lt;publisher&gt;Routledge&lt;/publisher&gt;&lt;type&gt;400&lt;/type&gt;&lt;endpage&gt;11&lt;/endpage&gt;&lt;url&gt;http://dx.doi.org/10.1080/14703297.2014.1003954&lt;/url&gt;&lt;bundle&gt;&lt;publication&gt;&lt;publisher&gt;Routledge&lt;/publisher&gt;&lt;title&gt;Innovations in Education and Teaching International&lt;/title&gt;&lt;type&gt;-100&lt;/type&gt;&lt;subtype&gt;-100&lt;/subtype&gt;&lt;uuid&gt;5B7A9D8E-D889-4D30-9BDD-9E847210C458&lt;/uuid&gt;&lt;/publication&gt;&lt;/bundle&gt;&lt;authors&gt;&lt;author&gt;&lt;firstName&gt;John&lt;/firstName&gt;&lt;lastName&gt;West&lt;/lastName&gt;&lt;/author&gt;&lt;author&gt;&lt;firstName&gt;Will&lt;/firstName&gt;&lt;lastName&gt;Turner&lt;/lastName&gt;&lt;/author&gt;&lt;/authors&gt;&lt;/publication&gt;&lt;publication&gt;&lt;uuid&gt;AF151141-79BE-4977-A6F3-47F175ED43AC&lt;/uuid&gt;&lt;volume&gt;19&lt;/volume&gt;&lt;doi&gt;10.3402/rlt.v19i2.10347&lt;/doi&gt;&lt;version&gt;2011-12-30&lt;/version&gt;&lt;subtitle&gt;Research in Learning Technology&lt;/subtitle&gt;&lt;startpage&gt;89&lt;/startpage&gt;&lt;publication_date&gt;992011000012000000002100002011-07-01&lt;/publication_date&gt;&lt;url&gt;http://www.researchinlearningtechnology.net/index.php/rlt/article/view/10347&lt;/url&gt;&lt;type&gt;400&lt;/type&gt;&lt;title&gt;Using technology to encourage student engagement with feedback: a literature review&lt;/title&gt;&lt;number&gt;2&lt;/number&gt;&lt;subtype&gt;400&lt;/subtype&gt;&lt;endpage&gt;100&lt;/endpage&gt;&lt;bundle&gt;&lt;publication&gt;&lt;title&gt;Research in Learning Technology&lt;/title&gt;&lt;type&gt;-100&lt;/type&gt;&lt;subtype&gt;-100&lt;/subtype&gt;&lt;uuid&gt;E4714D37-33AB-44AF-A9D1-299C98A994CE&lt;/uuid&gt;&lt;/publication&gt;&lt;/bundle&gt;&lt;authors&gt;&lt;author&gt;&lt;firstName&gt;Stuart&lt;/firstName&gt;&lt;lastName&gt;Hepplestone&lt;/lastName&gt;&lt;/author&gt;&lt;author&gt;&lt;firstName&gt;Graham&lt;/firstName&gt;&lt;lastName&gt;Holden&lt;/lastName&gt;&lt;/author&gt;&lt;author&gt;&lt;firstName&gt;Brian&lt;/firstName&gt;&lt;lastName&gt;Irwin&lt;/lastName&gt;&lt;/author&gt;&lt;author&gt;&lt;firstName&gt;Helen&lt;/firstName&gt;&lt;middleNames&gt;J&lt;/middleNames&gt;&lt;lastName&gt;Parkin&lt;/lastName&gt;&lt;/author&gt;&lt;author&gt;&lt;firstName&gt;Louise&lt;/firstName&gt;&lt;lastName&gt;Thorpe&lt;/lastName&gt;&lt;/author&gt;&lt;/authors&gt;&lt;/publication&gt;&lt;publication&gt;&lt;volume&gt;77&lt;/volume&gt;&lt;number&gt;1&lt;/number&gt;&lt;subtitle&gt;Review of educational research&lt;/subtitle&gt;&lt;startpage&gt;81&lt;/startpage&gt;&lt;title&gt;The power of feedback&lt;/title&gt;&lt;uuid&gt;4F1E3160-A4ED-4958-AC88-68168FF23F49&lt;/uuid&gt;&lt;subtype&gt;400&lt;/subtype&gt;&lt;endpage&gt;112&lt;/endpage&gt;&lt;type&gt;400&lt;/type&gt;&lt;citekey&gt;Hattie:2007uc&lt;/citekey&gt;&lt;publication_date&gt;99200700001200000000200000&lt;/publication_date&gt;&lt;bundle&gt;&lt;publication&gt;&lt;title&gt;Review of Educational Research&lt;/title&gt;&lt;type&gt;-100&lt;/type&gt;&lt;subtype&gt;-100&lt;/subtype&gt;&lt;uuid&gt;5485132B-3165-400E-B993-A6E91F8FCE6D&lt;/uuid&gt;&lt;/publication&gt;&lt;/bundle&gt;&lt;authors&gt;&lt;author&gt;&lt;firstName&gt;John&lt;/firstName&gt;&lt;lastName&gt;Hattie&lt;/lastName&gt;&lt;/author&gt;&lt;author&gt;&lt;firstName&gt;Helen&lt;/firstName&gt;&lt;lastName&gt;Timperley&lt;/lastName&gt;&lt;/author&gt;&lt;/authors&gt;&lt;/publication&gt;&lt;/publications&gt;&lt;cites&gt;&lt;/cites&gt;&lt;/citation&gt;</w:instrText>
      </w:r>
      <w:r>
        <w:fldChar w:fldCharType="separate"/>
      </w:r>
      <w:r>
        <w:rPr>
          <w:rFonts w:eastAsiaTheme="minorHAnsi"/>
          <w:lang w:val="en-US"/>
        </w:rPr>
        <w:t>(Jonsson 2012; West and Turner 2015; Hepplestone et al. 2011; Hattie and Timperley 2007)</w:t>
      </w:r>
      <w:r>
        <w:fldChar w:fldCharType="end"/>
      </w:r>
      <w:r>
        <w:t xml:space="preserve">. </w:t>
      </w:r>
      <w:r w:rsidRPr="005B1BEB">
        <w:t>Assessment reforms in higher education recogni</w:t>
      </w:r>
      <w:r>
        <w:t>s</w:t>
      </w:r>
      <w:r w:rsidRPr="005B1BEB">
        <w:t>e the need for feedback that is timely, informative, and encourages positive attitudes towards future learning amongst students</w:t>
      </w:r>
      <w:r>
        <w:t xml:space="preserve"> </w:t>
      </w:r>
      <w:r>
        <w:fldChar w:fldCharType="begin"/>
      </w:r>
      <w:r>
        <w:instrText xml:space="preserve"> ADDIN PAPERS2_CITATIONS &lt;citation&gt;&lt;uuid&gt;CC33C4AC-FBB7-4EB1-8B19-8892ADA49DAC&lt;/uuid&gt;&lt;priority&gt;0&lt;/priority&gt;&lt;publications&gt;&lt;publication&gt;&lt;uuid&gt;AF151141-79BE-4977-A6F3-47F175ED43AC&lt;/uuid&gt;&lt;volume&gt;19&lt;/volume&gt;&lt;doi&gt;10.3402/rlt.v19i2.10347&lt;/doi&gt;&lt;version&gt;2011-12-30&lt;/version&gt;&lt;subtitle&gt;Research in Learning Technology&lt;/subtitle&gt;&lt;startpage&gt;89&lt;/startpage&gt;&lt;publication_date&gt;992011000012000000002100002011-07-01&lt;/publication_date&gt;&lt;url&gt;http://www.researchinlearningtechnology.net/index.php/rlt/article/view/10347&lt;/url&gt;&lt;type&gt;400&lt;/type&gt;&lt;title&gt;Using technology to encourage student engagement with feedback: a literature review&lt;/title&gt;&lt;number&gt;2&lt;/number&gt;&lt;subtype&gt;400&lt;/subtype&gt;&lt;endpage&gt;100&lt;/endpage&gt;&lt;bundle&gt;&lt;publication&gt;&lt;title&gt;Research in Learning Technology&lt;/title&gt;&lt;type&gt;-100&lt;/type&gt;&lt;subtype&gt;-100&lt;/subtype&gt;&lt;uuid&gt;E4714D37-33AB-44AF-A9D1-299C98A994CE&lt;/uuid&gt;&lt;/publication&gt;&lt;/bundle&gt;&lt;authors&gt;&lt;author&gt;&lt;firstName&gt;Stuart&lt;/firstName&gt;&lt;lastName&gt;Hepplestone&lt;/lastName&gt;&lt;/author&gt;&lt;author&gt;&lt;firstName&gt;Graham&lt;/firstName&gt;&lt;lastName&gt;Holden&lt;/lastName&gt;&lt;/author&gt;&lt;author&gt;&lt;firstName&gt;Brian&lt;/firstName&gt;&lt;lastName&gt;Irwin&lt;/lastName&gt;&lt;/author&gt;&lt;author&gt;&lt;firstName&gt;Helen&lt;/firstName&gt;&lt;middleNames&gt;J&lt;/middleNames&gt;&lt;lastName&gt;Parkin&lt;/lastName&gt;&lt;/author&gt;&lt;author&gt;&lt;firstName&gt;Louise&lt;/firstName&gt;&lt;lastName&gt;Thorpe&lt;/lastName&gt;&lt;/author&gt;&lt;/authors&gt;&lt;/publication&gt;&lt;publication&gt;&lt;uuid&gt;46D51D37-A23F-4C36-B87B-3807896281CC&lt;/uuid&gt;&lt;volume&gt;31&lt;/volume&gt;&lt;doi&gt;10.1080/02602930600679050&lt;/doi&gt;&lt;subtitle&gt;Assessment &amp;amp; Evaluation in Higher Education&lt;/subtitle&gt;&lt;startpage&gt;399&lt;/startpage&gt;&lt;publication_date&gt;992006000012000000002100002006/08/01&lt;/publication_date&gt;&lt;url&gt;http://www.tandfonline.com/doi/abs/10.1080/02602930600679050&lt;/url&gt;&lt;type&gt;400&lt;/type&gt;&lt;title&gt;Aligning assessment with long-term learning&lt;/title&gt;&lt;publisher&gt;Routledge&lt;/publisher&gt;&lt;number&gt;4&lt;/number&gt;&lt;subtype&gt;400&lt;/subtype&gt;&lt;endpage&gt;413&lt;/endpage&gt;&lt;bundle&gt;&lt;publication&gt;&lt;publisher&gt;Routledge. Available from: Taylor &amp;amp; Francis, Ltd. 325 Chestnut Street Suite 800, Philadelphia, PA 19106. Tel: 800-354-1420; Fax: 215-625-2940; Web site: http://www.tandf.co.uk/journals&lt;/publisher&gt;&lt;title&gt;Assessment &amp;amp; Evaluation in Higher Education&lt;/title&gt;&lt;type&gt;-100&lt;/type&gt;&lt;subtype&gt;-100&lt;/subtype&gt;&lt;uuid&gt;61396F26-56C0-484C-8021-303AE017DD69&lt;/uuid&gt;&lt;/publication&gt;&lt;/bundle&gt;&lt;authors&gt;&lt;author&gt;&lt;firstName&gt;David&lt;/firstName&gt;&lt;lastName&gt;Boud&lt;/lastName&gt;&lt;/author&gt;&lt;author&gt;&lt;firstName&gt;Nancy&lt;/firstName&gt;&lt;lastName&gt;Falchikov&lt;/lastName&gt;&lt;/author&gt;&lt;/authors&gt;&lt;/publication&gt;&lt;publication&gt;&lt;uuid&gt;F4398636-5D5A-47FA-835E-4785AAFA279C&lt;/uuid&gt;&lt;volume&gt;20&lt;/volume&gt;&lt;doi&gt;10.11120/beej.2012.20000022&lt;/doi&gt;&lt;subtitle&gt;Bioscience Education&lt;/subtitle&gt;&lt;startpage&gt;22&lt;/startpage&gt;&lt;publication_date&gt;992012000012000000002100002012/12/01&lt;/publication_date&gt;&lt;url&gt;http://dx.doi.org/10.11120/beej.2012.20000022&lt;/url&gt;&lt;type&gt;400&lt;/type&gt;&lt;title&gt;Providing Students with Formative Audio Feedback&lt;/title&gt;&lt;publisher&gt;Centre for Bioscience&lt;/publisher&gt;&lt;subtype&gt;400&lt;/subtype&gt;&lt;endpage&gt;36&lt;/endpage&gt;&lt;bundle&gt;&lt;publication&gt;&lt;publisher&gt;Centre for Bioscience&lt;/publisher&gt;&lt;title&gt;Bioscience Education&lt;/title&gt;&lt;type&gt;-100&lt;/type&gt;&lt;subtype&gt;-100&lt;/subtype&gt;&lt;uuid&gt;312938CE-2843-4E45-8996-DD48648FAB90&lt;/uuid&gt;&lt;/publication&gt;&lt;/bundle&gt;&lt;authors&gt;&lt;author&gt;&lt;firstName&gt;Francis&lt;/firstName&gt;&lt;middleNames&gt;Q&lt;/middleNames&gt;&lt;lastName&gt;Brearley&lt;/lastName&gt;&lt;/author&gt;&lt;author&gt;&lt;firstName&gt;W&lt;/firstName&gt;&lt;middleNames&gt;Rod&lt;/middleNames&gt;&lt;lastName&gt;Cullen&lt;/lastName&gt;&lt;/author&gt;&lt;/authors&gt;&lt;/publication&gt;&lt;publication&gt;&lt;publication_date&gt;99201500001200000000200000&lt;/publication_date&gt;&lt;subtitle&gt;Assessment &amp;amp; Evaluation in Higher Education&lt;/subtitle&gt;&lt;doi&gt;10.1080/02602938.2015.1021664&lt;/doi&gt;&lt;title&gt;Reading, listening and feeling: audio feedback as a component of an inclusive learning culture at universities&lt;/title&gt;&lt;uuid&gt;482B25F0-1B6F-4A44-8796-3FCA7489DC3F&lt;/uuid&gt;&lt;subtype&gt;400&lt;/subtype&gt;&lt;publisher&gt;Routledge&lt;/publisher&gt;&lt;type&gt;400&lt;/type&gt;&lt;url&gt;http://dx.doi.org/10.1080/02602938.2015.1021664&lt;/url&gt;&lt;bundle&gt;&lt;publication&gt;&lt;publisher&gt;Routledge. Available from: Taylor &amp;amp; Francis, Ltd. 325 Chestnut Street Suite 800, Philadelphia, PA 19106. Tel: 800-354-1420; Fax: 215-625-2940; Web site: http://www.tandf.co.uk/journals&lt;/publisher&gt;&lt;title&gt;Assessment &amp;amp; Evaluation in Higher Education&lt;/title&gt;&lt;type&gt;-100&lt;/type&gt;&lt;subtype&gt;-100&lt;/subtype&gt;&lt;uuid&gt;61396F26-56C0-484C-8021-303AE017DD69&lt;/uuid&gt;&lt;/publication&gt;&lt;/bundle&gt;&lt;authors&gt;&lt;author&gt;&lt;firstName&gt;Helen&lt;/firstName&gt;&lt;lastName&gt;Knauf&lt;/lastName&gt;&lt;/author&gt;&lt;/authors&gt;&lt;/publication&gt;&lt;/publications&gt;&lt;cites&gt;&lt;/cites&gt;&lt;/citation&gt;</w:instrText>
      </w:r>
      <w:r>
        <w:fldChar w:fldCharType="separate"/>
      </w:r>
      <w:r>
        <w:rPr>
          <w:rFonts w:eastAsiaTheme="minorHAnsi"/>
          <w:lang w:val="en-US"/>
        </w:rPr>
        <w:t>(Hepplestone et al. 2011; Boud and Falchikov 2006; Brearley and Cullen 2012; Knauf 2015)</w:t>
      </w:r>
      <w:r>
        <w:fldChar w:fldCharType="end"/>
      </w:r>
      <w:r>
        <w:t>,</w:t>
      </w:r>
      <w:r w:rsidRPr="005B1BEB">
        <w:t xml:space="preserve"> </w:t>
      </w:r>
      <w:r>
        <w:t>and</w:t>
      </w:r>
      <w:r w:rsidRPr="005B1BEB">
        <w:t xml:space="preserve"> </w:t>
      </w:r>
      <w:r>
        <w:t xml:space="preserve">there are many theoretical guides on how to improve feedback provision </w:t>
      </w:r>
      <w:r>
        <w:fldChar w:fldCharType="begin"/>
      </w:r>
      <w:r>
        <w:instrText xml:space="preserve"> ADDIN PAPERS2_CITATIONS &lt;citation&gt;&lt;uuid&gt;3E2CF60F-640F-46C9-B3FF-5EE53C057D60&lt;/uuid&gt;&lt;priority&gt;0&lt;/priority&gt;&lt;publications&gt;&lt;publication&gt;&lt;publication_date&gt;99199800001200000000200000&lt;/publication_date&gt;&lt;doi&gt;10.1080/0969595980050104&lt;/doi&gt;&lt;title&gt;Formative assessment: Revisiting the territory&lt;/title&gt;&lt;uuid&gt;57197040-8FFB-42A9-8819-0687FB69BE3B&lt;/uuid&gt;&lt;subtype&gt;400&lt;/subtype&gt;&lt;type&gt;400&lt;/type&gt;&lt;citekey&gt;Sadler:1998hw&lt;/citekey&gt;&lt;url&gt;http://www.tandfonline.com/doi/pdf/10.1080/0969595980050104&lt;/url&gt;&lt;bundle&gt;&lt;publication&gt;&lt;title&gt;Assessment in education&lt;/title&gt;&lt;type&gt;-100&lt;/type&gt;&lt;subtype&gt;-100&lt;/subtype&gt;&lt;uuid&gt;0FB102B4-0357-4A72-8838-DD5F900A585E&lt;/uuid&gt;&lt;/publication&gt;&lt;/bundle&gt;&lt;authors&gt;&lt;author&gt;&lt;firstName&gt;D&lt;/firstName&gt;&lt;middleNames&gt;Royce&lt;/middleNames&gt;&lt;lastName&gt;Sadler&lt;/lastName&gt;&lt;/author&gt;&lt;/authors&gt;&lt;/publication&gt;&lt;publication&gt;&lt;uuid&gt;8563CA75-0521-495B-97DF-D3C77F9474A7&lt;/uuid&gt;&lt;volume&gt;31&lt;/volume&gt;&lt;doi&gt;10.1080/03075070600572090&lt;/doi&gt;&lt;subtitle&gt;Studies in Higher Education&lt;/subtitle&gt;&lt;startpage&gt;199&lt;/startpage&gt;&lt;publication_date&gt;992006000012000000002100002006/04/01&lt;/publication_date&gt;&lt;url&gt;http://dx.doi.org/10.1080/03075070600572090&lt;/url&gt;&lt;citekey&gt;Nicol:2006kr&lt;/citekey&gt;&lt;type&gt;400&lt;/type&gt;&lt;title&gt;Formative assessment and self-regulated learning: a model and seven principles of good feedback practice&lt;/title&gt;&lt;publisher&gt;Routledge&lt;/publisher&gt;&lt;number&gt;2&lt;/number&gt;&lt;subtype&gt;400&lt;/subtype&gt;&lt;endpage&gt;218&lt;/endpage&gt;&lt;bundle&gt;&lt;publication&gt;&lt;publisher&gt;Routledge&lt;/publisher&gt;&lt;title&gt;Studies in Higher Education&lt;/title&gt;&lt;type&gt;-100&lt;/type&gt;&lt;subtype&gt;-100&lt;/subtype&gt;&lt;uuid&gt;412782E1-2CAF-4CEF-9C67-B5BB254209F1&lt;/uuid&gt;&lt;/publication&gt;&lt;/bundle&gt;&lt;authors&gt;&lt;author&gt;&lt;firstName&gt;David&lt;/firstName&gt;&lt;middleNames&gt;J&lt;/middleNames&gt;&lt;lastName&gt;Nicol&lt;/lastName&gt;&lt;/author&gt;&lt;author&gt;&lt;firstName&gt;Debra&lt;/firstName&gt;&lt;lastName&gt;Macfarlane-Dick&lt;/lastName&gt;&lt;/author&gt;&lt;/authors&gt;&lt;/publication&gt;&lt;publication&gt;&lt;volume&gt;77&lt;/volume&gt;&lt;number&gt;1&lt;/number&gt;&lt;subtitle&gt;Review of educational research&lt;/subtitle&gt;&lt;startpage&gt;81&lt;/startpage&gt;&lt;title&gt;The power of feedback&lt;/title&gt;&lt;uuid&gt;4F1E3160-A4ED-4958-AC88-68168FF23F49&lt;/uuid&gt;&lt;subtype&gt;400&lt;/subtype&gt;&lt;endpage&gt;112&lt;/endpage&gt;&lt;type&gt;400&lt;/type&gt;&lt;citekey&gt;Hattie:2007uc&lt;/citekey&gt;&lt;publication_date&gt;99200700001200000000200000&lt;/publication_date&gt;&lt;bundle&gt;&lt;publication&gt;&lt;title&gt;Review of Educational Research&lt;/title&gt;&lt;type&gt;-100&lt;/type&gt;&lt;subtype&gt;-100&lt;/subtype&gt;&lt;uuid&gt;5485132B-3165-400E-B993-A6E91F8FCE6D&lt;/uuid&gt;&lt;/publication&gt;&lt;/bundle&gt;&lt;authors&gt;&lt;author&gt;&lt;firstName&gt;John&lt;/firstName&gt;&lt;lastName&gt;Hattie&lt;/lastName&gt;&lt;/author&gt;&lt;author&gt;&lt;firstName&gt;Helen&lt;/firstName&gt;&lt;lastName&gt;Timperley&lt;/lastName&gt;&lt;/author&gt;&lt;/authors&gt;&lt;/publication&gt;&lt;/publications&gt;&lt;cites&gt;&lt;cite&gt;&lt;prefix&gt;e.g.&lt;/prefix&gt;&lt;/cite&gt;&lt;cite&gt;&lt;/cite&gt;&lt;cite&gt;&lt;/cite&gt;&lt;/cites&gt;&lt;/citation&gt;</w:instrText>
      </w:r>
      <w:r>
        <w:fldChar w:fldCharType="separate"/>
      </w:r>
      <w:r>
        <w:rPr>
          <w:rFonts w:eastAsiaTheme="minorHAnsi"/>
          <w:lang w:val="en-US"/>
        </w:rPr>
        <w:t xml:space="preserve">(e.g. Sadler 1998; Nicol and Macfarlane-Dick 2006; </w:t>
      </w:r>
      <w:r>
        <w:rPr>
          <w:rFonts w:eastAsiaTheme="minorHAnsi"/>
          <w:lang w:val="en-US"/>
        </w:rPr>
        <w:lastRenderedPageBreak/>
        <w:t>Hattie and Timperley 2007)</w:t>
      </w:r>
      <w:r>
        <w:fldChar w:fldCharType="end"/>
      </w:r>
      <w:r>
        <w:t xml:space="preserve">. It is extremely concerning, however, that a meta-analysis of the effects of feedback reported in the last 100 years found that for 38% of the studies analysed, feedback reduced performance compared with no-feedback controls </w:t>
      </w:r>
      <w:r>
        <w:fldChar w:fldCharType="begin"/>
      </w:r>
      <w:r>
        <w:instrText xml:space="preserve"> ADDIN PAPERS2_CITATIONS &lt;citation&gt;&lt;uuid&gt;8409777A-D232-410D-AE7C-7266179448AD&lt;/uuid&gt;&lt;priority&gt;0&lt;/priority&gt;&lt;publications&gt;&lt;publication&gt;&lt;uuid&gt;5123B45A-8687-489F-B5DB-8BCDE97BD9FE&lt;/uuid&gt;&lt;volume&gt;119&lt;/volume&gt;&lt;doi&gt;10.1037/0033-2909.119.2.254&lt;/doi&gt;&lt;startpage&gt;254&lt;/startpage&gt;&lt;publication_date&gt;99199603011200000000222000&lt;/publication_date&gt;&lt;url&gt;http://psycnet.apa.org/journals/bul/119/2/254.html&lt;/url&gt;&lt;citekey&gt;Kluger:1996de&lt;/citekey&gt;&lt;type&gt;400&lt;/type&gt;&lt;title&gt;The effects of feedback interventions on performance: A historical review, a meta-analysis, and a preliminary feedback intervention theory.&lt;/title&gt;&lt;publisher&gt;American Psychological Association&lt;/publisher&gt;&lt;number&gt;2&lt;/number&gt;&lt;subtype&gt;400&lt;/subtype&gt;&lt;endpage&gt;284&lt;/endpage&gt;&lt;bundle&gt;&lt;publication&gt;&lt;publisher&gt;American Psychological Association&lt;/publisher&gt;&lt;title&gt;Psychological bulletin&lt;/title&gt;&lt;type&gt;-100&lt;/type&gt;&lt;subtype&gt;-100&lt;/subtype&gt;&lt;uuid&gt;10761423-2F04-4455-B643-76D97F4B961F&lt;/uuid&gt;&lt;/publication&gt;&lt;/bundle&gt;&lt;authors&gt;&lt;author&gt;&lt;firstName&gt;Avraham&lt;/firstName&gt;&lt;middleNames&gt;N&lt;/middleNames&gt;&lt;lastName&gt;Kluger&lt;/lastName&gt;&lt;/author&gt;&lt;author&gt;&lt;firstName&gt;Angelo&lt;/firstName&gt;&lt;lastName&gt;DeNisi&lt;/lastName&gt;&lt;/author&gt;&lt;/authors&gt;&lt;/publication&gt;&lt;/publications&gt;&lt;cites&gt;&lt;/cites&gt;&lt;/citation&gt;</w:instrText>
      </w:r>
      <w:r>
        <w:fldChar w:fldCharType="separate"/>
      </w:r>
      <w:r>
        <w:rPr>
          <w:rFonts w:eastAsiaTheme="minorHAnsi"/>
          <w:lang w:val="en-US"/>
        </w:rPr>
        <w:t>(Kluger and DeNisi 1996)</w:t>
      </w:r>
      <w:r>
        <w:fldChar w:fldCharType="end"/>
      </w:r>
      <w:r>
        <w:t xml:space="preserve">.  Spurred by this paradox, </w:t>
      </w:r>
      <w:r w:rsidRPr="00656DE2">
        <w:t xml:space="preserve">Hattie </w:t>
      </w:r>
      <w:r>
        <w:fldChar w:fldCharType="begin"/>
      </w:r>
      <w:r>
        <w:instrText xml:space="preserve"> ADDIN PAPERS2_CITATIONS &lt;citation&gt;&lt;uuid&gt;DBDE7625-7137-4C26-8B90-855B2B9BA270&lt;/uuid&gt;&lt;priority&gt;0&lt;/priority&gt;&lt;publications&gt;&lt;publication&gt;&lt;publication_date&gt;99200811191200000000222000&lt;/publication_date&gt;&lt;startpage&gt;392&lt;/startpage&gt;&lt;subtitle&gt;A Synthesis of Over 800 Meta-Analyses Relating to Achievement&lt;/subtitle&gt;&lt;title&gt;Visible Learning&lt;/title&gt;&lt;uuid&gt;14EBB85C-A382-4AA4-82B5-32B9933EF089&lt;/uuid&gt;&lt;subtype&gt;0&lt;/subtype&gt;&lt;publisher&gt;Routledge&lt;/publisher&gt;&lt;type&gt;0&lt;/type&gt;&lt;citekey&gt;Hattie:2008uw&lt;/citekey&gt;&lt;url&gt;http://books.google.com.au/books?id=x6rpxF-bpr4C&amp;amp;pg=PT3&amp;amp;dq=inauthor:hattie+2009&amp;amp;hl=&amp;amp;cd=9&amp;amp;source=gbs_api&lt;/url&gt;&lt;authors&gt;&lt;author&gt;&lt;firstName&gt;John&lt;/firstName&gt;&lt;lastName&gt;Hattie&lt;/lastName&gt;&lt;/author&gt;&lt;/authors&gt;&lt;/publication&gt;&lt;/publications&gt;&lt;cites&gt;&lt;cite&gt;&lt;suppress&gt;A&lt;/suppress&gt;&lt;/cite&gt;&lt;/cites&gt;&lt;/citation&gt;</w:instrText>
      </w:r>
      <w:r>
        <w:fldChar w:fldCharType="separate"/>
      </w:r>
      <w:r>
        <w:rPr>
          <w:rFonts w:eastAsiaTheme="minorHAnsi"/>
          <w:lang w:val="en-US"/>
        </w:rPr>
        <w:t>(2008)</w:t>
      </w:r>
      <w:r>
        <w:fldChar w:fldCharType="end"/>
      </w:r>
      <w:r w:rsidRPr="00656DE2">
        <w:t xml:space="preserve"> has </w:t>
      </w:r>
      <w:r>
        <w:t xml:space="preserve">dug deeper into the evidence and </w:t>
      </w:r>
      <w:r w:rsidRPr="00656DE2">
        <w:t xml:space="preserve">shown that it is </w:t>
      </w:r>
      <w:r>
        <w:t xml:space="preserve">not the feedback that educators </w:t>
      </w:r>
      <w:r w:rsidRPr="00B27ED8">
        <w:rPr>
          <w:b/>
        </w:rPr>
        <w:t>provide</w:t>
      </w:r>
      <w:r>
        <w:t xml:space="preserve">, but rather </w:t>
      </w:r>
      <w:r w:rsidRPr="00656DE2">
        <w:t xml:space="preserve">the feedback </w:t>
      </w:r>
      <w:r>
        <w:t xml:space="preserve">that </w:t>
      </w:r>
      <w:r w:rsidRPr="00656DE2">
        <w:t xml:space="preserve">educators </w:t>
      </w:r>
      <w:r w:rsidRPr="0050789C">
        <w:rPr>
          <w:b/>
        </w:rPr>
        <w:t>receive</w:t>
      </w:r>
      <w:r w:rsidRPr="00656DE2">
        <w:t xml:space="preserve"> on student progress toward learning </w:t>
      </w:r>
      <w:r>
        <w:t xml:space="preserve">goals, that underlies the largest improvements in student learning. Thus, leaders in higher education assessment have argued that the prevalent misuse of well-intentioned feedback would be best addressed by academics shifting their focus away from how feedback is provided, toward understanding how students use feedback to improve performance in related assessment tasks, and using this evidence to drive changes in feedback provision </w:t>
      </w:r>
      <w:r>
        <w:fldChar w:fldCharType="begin"/>
      </w:r>
      <w:r>
        <w:instrText xml:space="preserve"> ADDIN PAPERS2_CITATIONS &lt;citation&gt;&lt;uuid&gt;47C975D7-5207-4FDA-932F-D6E0ABE9360F&lt;/uuid&gt;&lt;priority&gt;0&lt;/priority&gt;&lt;publications&gt;&lt;publication&gt;&lt;publication_date&gt;99201300001200000000200000&lt;/publication_date&gt;&lt;startpage&gt;229&lt;/startpage&gt;&lt;subtitle&gt;Understanding it and Doing it Well&lt;/subtitle&gt;&lt;title&gt;Feedback in Higher and Professional Education&lt;/title&gt;&lt;uuid&gt;CFD9CE9E-FEE3-45D7-B08B-E4DA06F9435A&lt;/uuid&gt;&lt;subtype&gt;0&lt;/subtype&gt;&lt;publisher&gt;Routledge&lt;/publisher&gt;&lt;type&gt;0&lt;/type&gt;&lt;citekey&gt;Boud:2013vr&lt;/citekey&gt;&lt;url&gt;http://books.google.com.au/books?id=0N8R7DRwKf0C&amp;amp;printsec=frontcover&amp;amp;dq=intitle:Feedback+in+Higher+and+Professional+Education&amp;amp;hl=&amp;amp;cd=1&amp;amp;source=gbs_api&lt;/url&gt;&lt;authors&gt;&lt;author&gt;&lt;firstName&gt;David&lt;/firstName&gt;&lt;lastName&gt;Boud&lt;/lastName&gt;&lt;/author&gt;&lt;author&gt;&lt;firstName&gt;Elizabeth&lt;/firstName&gt;&lt;lastName&gt;Molloy&lt;/lastName&gt;&lt;/author&gt;&lt;/authors&gt;&lt;/publication&gt;&lt;/publications&gt;&lt;cites&gt;&lt;/cites&gt;&lt;/citation&gt;</w:instrText>
      </w:r>
      <w:r>
        <w:fldChar w:fldCharType="separate"/>
      </w:r>
      <w:r>
        <w:rPr>
          <w:rFonts w:eastAsiaTheme="minorHAnsi"/>
          <w:lang w:val="en-US"/>
        </w:rPr>
        <w:t>(Boud and Molloy 2013)</w:t>
      </w:r>
      <w:r>
        <w:fldChar w:fldCharType="end"/>
      </w:r>
      <w:r>
        <w:t>. Such calls for reform in higher education feedback practices raise the question of what we know about student use of feedback.</w:t>
      </w:r>
    </w:p>
    <w:p w14:paraId="0D4077ED" w14:textId="77777777" w:rsidR="000304C4" w:rsidRDefault="000304C4" w:rsidP="000304C4">
      <w:pPr>
        <w:pStyle w:val="Newparagraph"/>
      </w:pPr>
      <w:r>
        <w:t xml:space="preserve">Unfortunately, how students actually use feedback, and the relationships between student use of feedback and changes in assessment performance are poorly understood (for review see </w:t>
      </w:r>
      <w:proofErr w:type="spellStart"/>
      <w:r>
        <w:t>Jonsson</w:t>
      </w:r>
      <w:proofErr w:type="spellEnd"/>
      <w:r>
        <w:t xml:space="preserve"> 2012). Studies commonly report that students do not collect, or read, written formative feedback (Sinclair and Cleland 2007; MacDonald 1991). Further, it appears that when students do attempt to use feedback, they often lack the necessary strategies to do so effectively (</w:t>
      </w:r>
      <w:proofErr w:type="spellStart"/>
      <w:r>
        <w:t>Furnborough</w:t>
      </w:r>
      <w:proofErr w:type="spellEnd"/>
      <w:r>
        <w:t xml:space="preserve"> and Truman 2009). A recent, small-scale but detailed study, demonstrated very clearly and poignantly that students get frustrated and ignore feedback when they do not understand what to do with it (Still and </w:t>
      </w:r>
      <w:proofErr w:type="spellStart"/>
      <w:r>
        <w:t>Koerber</w:t>
      </w:r>
      <w:proofErr w:type="spellEnd"/>
      <w:r>
        <w:t xml:space="preserve"> 2010). On a brighter note, the increasingly widespread adoption of online marking and feedback tools makes it easier for students to collect their feedback (</w:t>
      </w:r>
      <w:proofErr w:type="spellStart"/>
      <w:r>
        <w:t>Hepplestone</w:t>
      </w:r>
      <w:proofErr w:type="spellEnd"/>
      <w:r>
        <w:t xml:space="preserve"> et al. 2011). When surveyed, the majority of students report accessing their feedback and re-listening to audio comments multiple times (Carruthers et al. </w:t>
      </w:r>
      <w:r>
        <w:lastRenderedPageBreak/>
        <w:t xml:space="preserve">2014; </w:t>
      </w:r>
      <w:proofErr w:type="spellStart"/>
      <w:r>
        <w:t>Brearley</w:t>
      </w:r>
      <w:proofErr w:type="spellEnd"/>
      <w:r>
        <w:t xml:space="preserve"> and Cullen 2012). With the explosion of available evidence on assessment analytics (Ellis 2013), it is now possible to undertake large-scale, systematic and objective investigations of the extent to which student use the multi-modal feedback provided on electronic assessment items, and begin to understand how feedback use impacts on students’ subsequent academic performance.</w:t>
      </w:r>
    </w:p>
    <w:p w14:paraId="7D458454" w14:textId="77777777" w:rsidR="000304C4" w:rsidRDefault="000304C4" w:rsidP="000304C4">
      <w:pPr>
        <w:pStyle w:val="Newparagraph"/>
      </w:pPr>
      <w:r>
        <w:t>In the context of multi-modal digital feedback on electronic assessment items, students report that the provision of audio feedback increases their engagement with, and usefulness of feedback (</w:t>
      </w:r>
      <w:proofErr w:type="spellStart"/>
      <w:r>
        <w:t>Rhind</w:t>
      </w:r>
      <w:proofErr w:type="spellEnd"/>
      <w:r>
        <w:t xml:space="preserve"> et al. 2013; Lunt and Curran 2010; Ice et al. 2007; </w:t>
      </w:r>
      <w:proofErr w:type="spellStart"/>
      <w:r>
        <w:t>Brearley</w:t>
      </w:r>
      <w:proofErr w:type="spellEnd"/>
      <w:r>
        <w:t xml:space="preserve"> and Cullen 2012). Furthermore, students report that a combination of typed and audio feedback is more useful than providing either typed or audio feedback alone (Still 2006). There are now many studies reporting that the use of audio feedback, or mixed audio and typed feedback modalities, improves the efficiency and timely delivery of detailed feedback (Lunt and Curran 2010; Gould and Day 2013; Merry and </w:t>
      </w:r>
      <w:proofErr w:type="spellStart"/>
      <w:r>
        <w:t>Orsmond</w:t>
      </w:r>
      <w:proofErr w:type="spellEnd"/>
      <w:r>
        <w:t xml:space="preserve"> 2008).  However, most of these studies report on the use of audio feedback by a small group of enthusiastic academics (often the author(s)) and none have investigated the extent of uptake of mixed-modality feedback by large teams of casual academic markers or teaching assistants (TAs).</w:t>
      </w:r>
    </w:p>
    <w:p w14:paraId="6EF2846C" w14:textId="77777777" w:rsidR="000304C4" w:rsidRDefault="000304C4" w:rsidP="000304C4">
      <w:pPr>
        <w:pStyle w:val="Newparagraph"/>
      </w:pPr>
      <w:r>
        <w:t xml:space="preserve">In the context of early stage, undergraduate biomedical science courses, cohorts of 800-1000 students are common, and learning to write in the scientific genre is essential for students to gain skills in science communication and a deep understanding of the experimental nature of scientific knowledge (Colthorpe, Rowland, and Leach 2013). Across many contexts, escalating cohort sizes continue to increase the divide between academics who coordinate such courses, the feedback being provided to students by markers, and the evidence of the impact the feedback on student performance across assessment tasks. First, such academics need access to evidence of </w:t>
      </w:r>
      <w:r>
        <w:lastRenderedPageBreak/>
        <w:t xml:space="preserve">the extent to which large teams of casual academic markers are providing feedback, and second, to the extent to which marking teams engage with new feedback tools and modalities (such as in situ audio annotations). Third, academics need evidence of the extent of feedback use by students, and last but most importantly, academics need evidence of the impact of feedback provision and feedback use on how students improve from one assessment task to the next. </w:t>
      </w:r>
    </w:p>
    <w:p w14:paraId="68CF1174" w14:textId="77777777" w:rsidR="000304C4" w:rsidRDefault="000304C4" w:rsidP="000304C4">
      <w:pPr>
        <w:pStyle w:val="Newparagraph"/>
      </w:pPr>
      <w:r>
        <w:t>This paper describes the use of a novel feedback system which allows markers to provide students with detailed, specifically targeted and personalised written, typed or audio feedback in a timely and efficient fashion. Most importantly, this system facilitates the tracking of both the provision of feedback by markers and student interactions with that feedback. In this study, this comprehensive feedback analytics capture system, has been used to investigate: 1) the extent to which large teams of markers use audio and typed feedback modalities, when marking laboratory reports across two iterations of two courses; 2) the extent to which students interacted with that feedback; and 3) the associations between feedback use and student performance on subsequent assessment tasks.</w:t>
      </w:r>
    </w:p>
    <w:p w14:paraId="6ADD7078" w14:textId="77777777" w:rsidR="000304C4" w:rsidRDefault="000304C4" w:rsidP="000304C4">
      <w:pPr>
        <w:pStyle w:val="Heading1"/>
      </w:pPr>
      <w:r>
        <w:t>Methods</w:t>
      </w:r>
    </w:p>
    <w:p w14:paraId="4C30A9EC" w14:textId="77777777" w:rsidR="000304C4" w:rsidRDefault="000304C4" w:rsidP="000304C4">
      <w:pPr>
        <w:pStyle w:val="Heading2"/>
      </w:pPr>
      <w:r>
        <w:t>Educational context</w:t>
      </w:r>
    </w:p>
    <w:p w14:paraId="01F3A62B" w14:textId="22337D04" w:rsidR="000304C4" w:rsidRDefault="000304C4" w:rsidP="000304C4">
      <w:pPr>
        <w:pStyle w:val="Newparagraph"/>
      </w:pPr>
      <w:r>
        <w:t xml:space="preserve">This case study was conducted at a large, research-intensive Australian university, and was approved by the institutional ethical review board. The two, semester-length (13 week) courses described in this study are the first and second level courses required for students who wish to major in biomedical science (specialising in physiology, pharmacology, neuroscience or molecular and cellular biology) and are offered in two semesters per year. These level 1 and 2 biomedical science courses have </w:t>
      </w:r>
      <w:r>
        <w:lastRenderedPageBreak/>
        <w:t>been described in detail previously</w:t>
      </w:r>
      <w:r w:rsidR="004F4CB1">
        <w:t xml:space="preserve"> (</w:t>
      </w:r>
      <w:proofErr w:type="spellStart"/>
      <w:r w:rsidR="004F4CB1">
        <w:t>xxxxx</w:t>
      </w:r>
      <w:proofErr w:type="spellEnd"/>
      <w:r w:rsidR="004F4CB1">
        <w:t xml:space="preserve">; </w:t>
      </w:r>
      <w:proofErr w:type="spellStart"/>
      <w:r w:rsidR="004F4CB1">
        <w:t>xxxxx</w:t>
      </w:r>
      <w:proofErr w:type="spellEnd"/>
      <w:r w:rsidR="004F4CB1">
        <w:t>)</w:t>
      </w:r>
      <w:r>
        <w:t xml:space="preserve">. Briefly, during the practical classes, students undertake hands-on laboratory experiments, and are given increasing levels of autonomy in the experimental design as they progress through the two courses </w:t>
      </w:r>
      <w:r w:rsidR="004F4CB1">
        <w:t>(</w:t>
      </w:r>
      <w:proofErr w:type="spellStart"/>
      <w:r w:rsidR="004F4CB1">
        <w:t>xxxxx</w:t>
      </w:r>
      <w:proofErr w:type="spellEnd"/>
      <w:r w:rsidR="004F4CB1">
        <w:t>).</w:t>
      </w:r>
      <w:r>
        <w:t xml:space="preserve"> Students complete a report at the end of each practical/module. Each course has a designated practical coordinator (faculty member) who oversees the laboratory classes, is responsible for training of teams of TAs, and moderation of the marking and feedback that TAs provide. Assessment in the first level course offerings differ slightly between semesters, as the semester 1 course commences with a task that is identical to the others in format, is graded and has feedback provided, but is formative only. Assessment in the second level course offerings are identical each semester.</w:t>
      </w:r>
    </w:p>
    <w:p w14:paraId="7B3A7484" w14:textId="77777777" w:rsidR="000304C4" w:rsidRDefault="000304C4" w:rsidP="000304C4">
      <w:pPr>
        <w:pStyle w:val="Heading2"/>
      </w:pPr>
      <w:r>
        <w:t>Assessment items analysed in this study</w:t>
      </w:r>
    </w:p>
    <w:p w14:paraId="0C94F54D" w14:textId="77777777" w:rsidR="000304C4" w:rsidRDefault="000304C4" w:rsidP="000304C4">
      <w:pPr>
        <w:pStyle w:val="Newparagraph"/>
      </w:pPr>
      <w:r>
        <w:t>Overall, the level 1 reports induct students into the conventions used for a scientific report and the level 2 reports extend students to strive for the level of publishable scientific article. The task requirements and marking standards (judged using criteria rubrics) are consistent within each course, with only the topic changing for each subsequent report. Thus within each course, these assessment items have ‘overlapping features’ (</w:t>
      </w:r>
      <w:proofErr w:type="spellStart"/>
      <w:r>
        <w:t>Boud</w:t>
      </w:r>
      <w:proofErr w:type="spellEnd"/>
      <w:r>
        <w:t xml:space="preserve"> and Molloy 2013, 20), where the key learning outcomes in scientific writing are kept consistent so that feedback from one report is directly applicable to subsequent reports. </w:t>
      </w:r>
    </w:p>
    <w:p w14:paraId="4993536E" w14:textId="77777777" w:rsidR="000304C4" w:rsidRDefault="000304C4" w:rsidP="000304C4">
      <w:pPr>
        <w:pStyle w:val="Newparagraph"/>
      </w:pPr>
      <w:r>
        <w:t xml:space="preserve">In the level 1 course, students are guided through the </w:t>
      </w:r>
      <w:proofErr w:type="spellStart"/>
      <w:r>
        <w:t>practicals</w:t>
      </w:r>
      <w:proofErr w:type="spellEnd"/>
      <w:r>
        <w:t xml:space="preserve"> by an interactive, online laboratory manual built using </w:t>
      </w:r>
      <w:proofErr w:type="spellStart"/>
      <w:r>
        <w:t>LabTutorTM</w:t>
      </w:r>
      <w:proofErr w:type="spellEnd"/>
      <w:r>
        <w:t xml:space="preserve"> software (</w:t>
      </w:r>
      <w:proofErr w:type="spellStart"/>
      <w:r>
        <w:t>ADInstruments</w:t>
      </w:r>
      <w:proofErr w:type="spellEnd"/>
      <w:r>
        <w:t xml:space="preserve">, New Zealand). This system is also used to scaffold students through the basic structure of the scientific article genre. At the end of each practical class, students export a document from the </w:t>
      </w:r>
      <w:proofErr w:type="spellStart"/>
      <w:r>
        <w:t>LabTutor</w:t>
      </w:r>
      <w:proofErr w:type="spellEnd"/>
      <w:r>
        <w:t xml:space="preserve"> system containing answers and the data their group has collected during the class. Students then work individually on the Discussion section and submit </w:t>
      </w:r>
      <w:r>
        <w:lastRenderedPageBreak/>
        <w:t>an individual report online 48 hours after each class. The reports are assessed by the students’ TA who provides feedback on the report at least five days before the next practical class.</w:t>
      </w:r>
    </w:p>
    <w:p w14:paraId="33F46F3D" w14:textId="77777777" w:rsidR="000304C4" w:rsidRDefault="000304C4" w:rsidP="000304C4">
      <w:pPr>
        <w:pStyle w:val="Newparagraph"/>
      </w:pPr>
      <w:r>
        <w:t xml:space="preserve">In the level 2 course, students complete two practical modules, each consisting of three classes in which students develop new technical skills, plan an experiment, and then conduct that experiment, collect and analyse the data. One week after the final class of the module, students electronically submit an individual report, written to the conventions of a scientific journal article. As in the level 1 course, the students’ TA marks and provides feedback on the report. Students receive this feedback prior to the second class of the second module, in which they are also provided with generalised verbal feedback. In addition, students have opportunities to discuss the feedback with their TA in the final class of the module, before their second report is due, again one week after the completion of the module. </w:t>
      </w:r>
    </w:p>
    <w:p w14:paraId="435C4D8D" w14:textId="77777777" w:rsidR="000304C4" w:rsidRDefault="000304C4" w:rsidP="000304C4">
      <w:pPr>
        <w:pStyle w:val="Heading2"/>
      </w:pPr>
      <w:r>
        <w:t>Student cohort</w:t>
      </w:r>
    </w:p>
    <w:p w14:paraId="4718049F" w14:textId="77777777" w:rsidR="000304C4" w:rsidRDefault="000304C4" w:rsidP="000304C4">
      <w:pPr>
        <w:pStyle w:val="Newparagraph"/>
      </w:pPr>
      <w:r>
        <w:t xml:space="preserve">During the period of this study, there were 733 and 972 students enrolled in the level 1 course, and 251 and 92 students enrolled in the level 2 course in 2013 Semesters 1 and 2, respectively. There were slightly more female (55%) than male (45%) students, the vast majority (90%) were 17 – 21 years old, domestic students (91%), with high- to mid-range university entry scores (84%). Just over half (53%) of the students taking these courses were enrolled in a three-year Bachelor of Science (BSc) or four-year dual degree combining BSc with another degree, or the Bachelor of Biomedical Science (four year research-focused program). An additional 21% were enrolled in one of four sports science degrees, and 12% were enrolled in the combined BSc/Medical program (in which students undertake an accelerated two-year BSc program and then enter a four-year, graduate entry Medical program). The remaining students were enrolled in a </w:t>
      </w:r>
      <w:r>
        <w:lastRenderedPageBreak/>
        <w:t>large range of single and dual degrees (e.g. Arts, Engineering), specialty degrees and applied science degrees.</w:t>
      </w:r>
    </w:p>
    <w:p w14:paraId="7F761EE6" w14:textId="77777777" w:rsidR="000304C4" w:rsidRDefault="000304C4" w:rsidP="000304C4">
      <w:pPr>
        <w:pStyle w:val="Heading2"/>
      </w:pPr>
      <w:r>
        <w:t>Feedback analytics capture system</w:t>
      </w:r>
    </w:p>
    <w:p w14:paraId="718C6745" w14:textId="578F4F60" w:rsidR="000304C4" w:rsidRDefault="000304C4" w:rsidP="000304C4">
      <w:pPr>
        <w:pStyle w:val="Newparagraph"/>
      </w:pPr>
      <w:r>
        <w:t>The feedback analytics capture system is a ‘rich media’ marking system, which aims to help markers provide students with timely, detailed and situated feedback, with learning analytics integrated into the feedback process. A full walkthrough of the system is available online</w:t>
      </w:r>
      <w:r w:rsidR="007C70C0">
        <w:t xml:space="preserve"> (</w:t>
      </w:r>
      <w:proofErr w:type="spellStart"/>
      <w:r w:rsidR="007C70C0">
        <w:t>xxxxx</w:t>
      </w:r>
      <w:proofErr w:type="spellEnd"/>
      <w:r w:rsidR="007C70C0">
        <w:t xml:space="preserve">). </w:t>
      </w:r>
      <w:r>
        <w:t>Briefly, the system consists of three components: 1) Administration Interface that processes submissions for marking or moderation, 2) iPad Marking Application that allows markers and moderators to provide in situ feedback in the form of audio, typed and handwritten annotations and to mark student work using course-specific criteria and standards rubrics, and 3) Feedback Viewer which logs the interactions of the students with the feedback document and annotations.</w:t>
      </w:r>
    </w:p>
    <w:p w14:paraId="3262BCE0" w14:textId="77777777" w:rsidR="000304C4" w:rsidRDefault="000304C4" w:rsidP="000304C4">
      <w:pPr>
        <w:pStyle w:val="Heading3"/>
      </w:pPr>
      <w:r>
        <w:t>Administration Interface</w:t>
      </w:r>
    </w:p>
    <w:p w14:paraId="10F4AC21" w14:textId="77777777" w:rsidR="000304C4" w:rsidRDefault="000304C4" w:rsidP="000304C4">
      <w:pPr>
        <w:pStyle w:val="Newparagraph"/>
      </w:pPr>
      <w:r>
        <w:t>The administration interface is a web-based application for course coordinators that assists in assigning submissions to markers working in large teams, and in moderating the marking and feedback provided by these large teams of markers. This interface is capable of converting a number of document formats for processing, including student work submitted digitally to online repositories and learning management systems (</w:t>
      </w:r>
      <w:proofErr w:type="spellStart"/>
      <w:r>
        <w:t>eg</w:t>
      </w:r>
      <w:proofErr w:type="spellEnd"/>
      <w:r>
        <w:t xml:space="preserve"> </w:t>
      </w:r>
      <w:proofErr w:type="spellStart"/>
      <w:r>
        <w:t>BlackboardTM</w:t>
      </w:r>
      <w:proofErr w:type="spellEnd"/>
      <w:r>
        <w:t xml:space="preserve">, Washington DC, USA).  Once submissions are loaded, they are automatically associated with the respective student (or groups of students), and assigned to markers. The marking workflow can be examined at any time by the coordinator, who can also moderate marked assignments at multiple stages of the marking process. Coordinators are presented with a submission workflow screen, which shows the stage at which all submissions are at within the marking process (Figure 1A). </w:t>
      </w:r>
    </w:p>
    <w:p w14:paraId="157C1DCC" w14:textId="77777777" w:rsidR="000304C4" w:rsidRDefault="000304C4" w:rsidP="000304C4">
      <w:pPr>
        <w:pStyle w:val="Heading3"/>
      </w:pPr>
      <w:r>
        <w:lastRenderedPageBreak/>
        <w:t>iPad Marking Application</w:t>
      </w:r>
    </w:p>
    <w:p w14:paraId="558FCA3D" w14:textId="034B5239" w:rsidR="000304C4" w:rsidRDefault="007C70C0" w:rsidP="000304C4">
      <w:pPr>
        <w:pStyle w:val="Newparagraph"/>
      </w:pPr>
      <w:proofErr w:type="spellStart"/>
      <w:r>
        <w:t>XX</w:t>
      </w:r>
      <w:r w:rsidR="000304C4">
        <w:t>Markup</w:t>
      </w:r>
      <w:proofErr w:type="spellEnd"/>
      <w:r w:rsidR="000304C4">
        <w:t xml:space="preserve"> is an iPad application is used by markers to provide feedback on student work.  The </w:t>
      </w:r>
      <w:proofErr w:type="spellStart"/>
      <w:r>
        <w:t>XX</w:t>
      </w:r>
      <w:r w:rsidR="000304C4">
        <w:t>Markup</w:t>
      </w:r>
      <w:proofErr w:type="spellEnd"/>
      <w:r w:rsidR="000304C4">
        <w:t xml:space="preserve"> app presents markers with all submissions that are assigned to them, and allows them to search and filter to find a specific submission (Figure 1B).  Once a marker has chosen a submission to provide feedback on, they are presented with a full screen representation of the document (Figure 1C).  A number of tools are available at the top of the interface, to allow the marker to annotate either by handwritten annotation (freehand or highlighter), typed annotation (via an onscreen keyboard), or situated audio annotation. The iPad application provides three tabs that can be shown or hidden by the user, including a marking criteria rubric, a list of all audio annotations contained within the document and an annotation library. </w:t>
      </w:r>
    </w:p>
    <w:p w14:paraId="084E69AB" w14:textId="77777777" w:rsidR="000304C4" w:rsidRDefault="000304C4" w:rsidP="000304C4">
      <w:pPr>
        <w:pStyle w:val="Heading3"/>
      </w:pPr>
      <w:r>
        <w:t>Feedback Viewer</w:t>
      </w:r>
    </w:p>
    <w:p w14:paraId="433880FD" w14:textId="77777777" w:rsidR="000304C4" w:rsidRDefault="000304C4" w:rsidP="000304C4">
      <w:pPr>
        <w:pStyle w:val="Newparagraph"/>
      </w:pPr>
      <w:r>
        <w:t xml:space="preserve">Once a submission has been marked, moderated by the coordinator if needed, and published by the coordinator, students receive an email notification that feedback is available. The email contains a unique link which allows students to log into the secure system and access a web based presentation of their submission with embedded annotations (Figure 1D). The feedback viewer is designed with two goals in mind: 1) to allow for in situ feedback without requiring additional software for the student, and 2) to capture information about how the student engages with the feedback. All information is time stamped so that information can be gathered on when and how long students viewed and interacted with each page and annotation. </w:t>
      </w:r>
    </w:p>
    <w:p w14:paraId="69B948C4" w14:textId="77777777" w:rsidR="000304C4" w:rsidRDefault="000304C4" w:rsidP="000304C4">
      <w:pPr>
        <w:pStyle w:val="Newparagraph"/>
      </w:pPr>
    </w:p>
    <w:p w14:paraId="042985C3" w14:textId="77777777" w:rsidR="000304C4" w:rsidRDefault="000304C4" w:rsidP="000304C4">
      <w:pPr>
        <w:pStyle w:val="Newparagraph"/>
      </w:pPr>
      <w:r>
        <w:t xml:space="preserve"> </w:t>
      </w:r>
    </w:p>
    <w:p w14:paraId="47FD354C" w14:textId="77777777" w:rsidR="000304C4" w:rsidRDefault="000304C4" w:rsidP="000304C4">
      <w:pPr>
        <w:pStyle w:val="Heading2"/>
      </w:pPr>
      <w:r>
        <w:lastRenderedPageBreak/>
        <w:t>Data collection and analysis</w:t>
      </w:r>
    </w:p>
    <w:p w14:paraId="57F28BEF" w14:textId="147FACC0" w:rsidR="000304C4" w:rsidRDefault="000304C4" w:rsidP="000304C4">
      <w:pPr>
        <w:pStyle w:val="Newparagraph"/>
      </w:pPr>
      <w:r>
        <w:t xml:space="preserve">A total of 5960 reports submitted and marked through the feedback analytics system in semester 1 and 2, 2013 were used for this study. The modality, length (duration or number of words) and position of each feedback annotation provided on all reports was recorded. </w:t>
      </w:r>
      <w:r w:rsidR="006B5DB8">
        <w:t>To compare the extent to which markers used the audio and text annotation modalities, we converted the audio annotation duration to an estimated word count. Specifically, a randomly selected sample of 160 audio annotations were transcribed and their word count determined. Talking speed was relatively stable across audio annotations, as they contained on average 164+/-6 words per minute, which is also consistent with previou</w:t>
      </w:r>
      <w:r w:rsidR="006E0131">
        <w:t>s reports of 450-500 words per three</w:t>
      </w:r>
      <w:r w:rsidR="006B5DB8">
        <w:t xml:space="preserve"> minute audio feedback comment (</w:t>
      </w:r>
      <w:proofErr w:type="spellStart"/>
      <w:r w:rsidR="006B5DB8">
        <w:t>Brearley</w:t>
      </w:r>
      <w:proofErr w:type="spellEnd"/>
      <w:r w:rsidR="006B5DB8">
        <w:t xml:space="preserve"> and Cullen 2012). Then the length (in minutes) of each audio annotation was multiplied by 164 to allow a direct comparison of the length between typed and audio annotations. </w:t>
      </w:r>
      <w:r>
        <w:t>Clickstream logs were collected as students accessed their marked documents, recording the clock time of each click as student interacted with the marked document. Students’ academic performance on each report w</w:t>
      </w:r>
      <w:r w:rsidR="008F4D87">
        <w:t>as</w:t>
      </w:r>
      <w:r>
        <w:t xml:space="preserve"> also recorded. Throughout this study, quantitative analyses were performed using R 3.1.1 (R Development Core Team, Auckland, NZ). The results are expressed as mean and standard error of the mean (SEM) or as frequencies as appropriate. Statistical comparisons were made using MANOVA with Tukey post-testing and considered significant if the adjusted p value was less than 0.05.</w:t>
      </w:r>
    </w:p>
    <w:p w14:paraId="0EEF3C2D" w14:textId="77777777" w:rsidR="000304C4" w:rsidRDefault="000304C4" w:rsidP="000304C4">
      <w:pPr>
        <w:pStyle w:val="Heading1"/>
      </w:pPr>
      <w:r>
        <w:t>Results and Discussion</w:t>
      </w:r>
    </w:p>
    <w:p w14:paraId="0AE4307D" w14:textId="77777777" w:rsidR="000304C4" w:rsidRDefault="000304C4" w:rsidP="000304C4">
      <w:pPr>
        <w:pStyle w:val="Newparagraph"/>
      </w:pPr>
      <w:r>
        <w:t>The increasing availability of online technologies, which allow the provision of multimodal feedback annotations that can be generalised or situated, has certainly increased the variety and flexibility of feedback delivery options (</w:t>
      </w:r>
      <w:proofErr w:type="spellStart"/>
      <w:r>
        <w:t>Hepplestone</w:t>
      </w:r>
      <w:proofErr w:type="spellEnd"/>
      <w:r>
        <w:t xml:space="preserve"> et al. 2011). However, it has also increased the variability of feedback provision and changed </w:t>
      </w:r>
      <w:r>
        <w:lastRenderedPageBreak/>
        <w:t>the way in which students interact with feedback, leading to potentially greater variability in student outcomes (</w:t>
      </w:r>
      <w:proofErr w:type="spellStart"/>
      <w:r>
        <w:t>Jonsson</w:t>
      </w:r>
      <w:proofErr w:type="spellEnd"/>
      <w:r>
        <w:t xml:space="preserve"> 2012; </w:t>
      </w:r>
      <w:proofErr w:type="spellStart"/>
      <w:r>
        <w:t>Hepplestone</w:t>
      </w:r>
      <w:proofErr w:type="spellEnd"/>
      <w:r>
        <w:t xml:space="preserve"> et al. 2011). The primary aims of this study were to understand how the different modalities of feedback available through online technologies affected feedback provision, both across successive student assessment tasks and within large cohorts with multiple markers, and to examine the way students interacted with the feedback provided. Analyses of feedback analytics data from laboratory reports submitted for assessment (Table 1) in two biomedical science courses in level 1 (n = 1705 students) and level 2 (n = 343), in Semesters 1 and 2, 2013, have shown that there are significant differences in the ways in which markers use the different modalities of feedback (Figure 2-4). In addition, the data demonstrates that there are substantial differences in the way students interact with their marked reports and feedback within them across the semesters (Figures 5-8).</w:t>
      </w:r>
    </w:p>
    <w:p w14:paraId="6F24F057" w14:textId="77777777" w:rsidR="000304C4" w:rsidRDefault="000304C4" w:rsidP="000304C4">
      <w:pPr>
        <w:pStyle w:val="Heading2"/>
      </w:pPr>
      <w:r>
        <w:t>Feedback Provision</w:t>
      </w:r>
    </w:p>
    <w:p w14:paraId="78861441" w14:textId="4EBCD66C" w:rsidR="000404AD" w:rsidRDefault="000404AD" w:rsidP="000304C4">
      <w:pPr>
        <w:pStyle w:val="Newparagraph"/>
      </w:pPr>
      <w:r>
        <w:t xml:space="preserve">With respect to annotation position, markers used the the availability of </w:t>
      </w:r>
      <w:r w:rsidRPr="000404AD">
        <w:rPr>
          <w:i/>
        </w:rPr>
        <w:t>in situ</w:t>
      </w:r>
      <w:r>
        <w:t xml:space="preserve"> feedback possible with this marking tool was well utilised by markers, with annotations, whether typed or audio, being placed primarily in situ, and very few reports receiving ‘summary’ annotations either on the first (9%) or last (0.01%) page of the report text. This meant that each feedback annotation was placed near the specific portion of student work to which it referred. Previous studies investigating the impact of audio annotations have highlighted that students view the separation of audio comments from the relevant section of their work as confusing, for example when a single overall audio comment is provided, or when audio and text files are provided separately (Ribchester, France, and Wakefield 2008; Rodway-Dyer, Knight, and Dunne 2010). In this regard, the advent of completely online assessment submission and marking systems, which </w:t>
      </w:r>
      <w:r>
        <w:lastRenderedPageBreak/>
        <w:t>allow in situ embedding of feedback regardless of modality, represent a notable improvement in feedback provision.</w:t>
      </w:r>
    </w:p>
    <w:p w14:paraId="26DD4E1B" w14:textId="2231D611" w:rsidR="00E437D1" w:rsidRDefault="004D28B5" w:rsidP="000304C4">
      <w:pPr>
        <w:pStyle w:val="Newparagraph"/>
      </w:pPr>
      <w:r>
        <w:t>Although</w:t>
      </w:r>
      <w:r w:rsidR="0049058B">
        <w:t xml:space="preserve"> markers used </w:t>
      </w:r>
      <w:r>
        <w:t>both the</w:t>
      </w:r>
      <w:r w:rsidR="0049058B">
        <w:t xml:space="preserve"> audio and typed annotation modalities, there was a clear difference </w:t>
      </w:r>
      <w:r>
        <w:t xml:space="preserve">in the extent to which markers used the two modalities </w:t>
      </w:r>
      <w:r w:rsidR="0049058B">
        <w:t xml:space="preserve">between the year levels. </w:t>
      </w:r>
      <w:r w:rsidR="00C1233A">
        <w:t>For</w:t>
      </w:r>
      <w:r w:rsidR="000304C4">
        <w:t xml:space="preserve"> the first year reports, markers </w:t>
      </w:r>
      <w:r>
        <w:t>used</w:t>
      </w:r>
      <w:r w:rsidR="000304C4">
        <w:t xml:space="preserve"> </w:t>
      </w:r>
      <w:r w:rsidR="003A6042">
        <w:t>more</w:t>
      </w:r>
      <w:r w:rsidR="000304C4">
        <w:t xml:space="preserve"> typed annotations per report than audio annotations (p&lt;0.001; Figure 2A vs 2B). This was reversed for the second </w:t>
      </w:r>
      <w:r w:rsidR="003A6042">
        <w:t>year</w:t>
      </w:r>
      <w:r w:rsidR="000304C4">
        <w:t xml:space="preserve"> reports, where markers provided </w:t>
      </w:r>
      <w:r w:rsidR="003A6042">
        <w:t xml:space="preserve">nearly twice as many </w:t>
      </w:r>
      <w:r w:rsidR="000304C4">
        <w:t xml:space="preserve">audio annotations </w:t>
      </w:r>
      <w:r w:rsidR="003A6042">
        <w:t>as</w:t>
      </w:r>
      <w:r w:rsidR="000304C4">
        <w:t xml:space="preserve"> typed annotations </w:t>
      </w:r>
      <w:r w:rsidR="003A6042">
        <w:t>per report (</w:t>
      </w:r>
      <w:r w:rsidR="000304C4">
        <w:t xml:space="preserve">p&lt;0.001; Figure 2A vs 2B). </w:t>
      </w:r>
      <w:r>
        <w:t xml:space="preserve">Thus, when comparing the year levels directly, </w:t>
      </w:r>
      <w:r>
        <w:t xml:space="preserve">markers provided slightly more typed annotations (p&lt;0.001; Figure 2B) that were much longer (p&lt;0.001; Figure 3B) on the first year reports compared with second year reports. </w:t>
      </w:r>
      <w:r>
        <w:t xml:space="preserve">Conversely, the second year reports received </w:t>
      </w:r>
      <w:r>
        <w:t>more audio annotations (p&lt;0.001; Figure 2A</w:t>
      </w:r>
      <w:r>
        <w:t>) that were</w:t>
      </w:r>
      <w:r>
        <w:t xml:space="preserve"> approximately 30% longer (p&lt;0.05; Figure 3A)</w:t>
      </w:r>
      <w:r>
        <w:t xml:space="preserve"> compared with the </w:t>
      </w:r>
      <w:r>
        <w:t xml:space="preserve">first year reports. </w:t>
      </w:r>
      <w:r w:rsidR="00E437D1">
        <w:t>Furthermore, these differences in marker behaviour between first and second year courses were consistent across semester (which involves approximately 30% change in marking</w:t>
      </w:r>
      <w:bookmarkStart w:id="0" w:name="_GoBack"/>
      <w:bookmarkEnd w:id="0"/>
      <w:r w:rsidR="00E437D1">
        <w:t>, suggesting that modality preference was related to the curricula context.</w:t>
      </w:r>
    </w:p>
    <w:p w14:paraId="1929C08B" w14:textId="130A3C40" w:rsidR="00AB613D" w:rsidRDefault="00AB613D" w:rsidP="000304C4">
      <w:pPr>
        <w:pStyle w:val="Newparagraph"/>
      </w:pPr>
      <w:r>
        <w:t>However</w:t>
      </w:r>
      <w:r w:rsidR="0049058B">
        <w:t xml:space="preserve">, audio annotations contained nearly eight times more words </w:t>
      </w:r>
      <w:r>
        <w:t xml:space="preserve">on average </w:t>
      </w:r>
      <w:r w:rsidR="0049058B">
        <w:t xml:space="preserve">than typed annotations (p&lt;0.001; Figure 3A vs 3B: note that the y-axis scale for Figure 3A is 10x greater than Figure 3B). </w:t>
      </w:r>
      <w:r w:rsidR="0049058B">
        <w:t>Therefore, a</w:t>
      </w:r>
      <w:r w:rsidR="00C1233A">
        <w:t>cross both year levels,</w:t>
      </w:r>
      <w:r w:rsidR="000304C4">
        <w:t xml:space="preserve"> the total amount of feedback provided in audio annotations, in terms of word length, was significantly greater than typ</w:t>
      </w:r>
      <w:r>
        <w:t>ed annotations (p&lt;0.05; Figure 4A vs 4</w:t>
      </w:r>
      <w:r w:rsidR="000304C4">
        <w:t>B</w:t>
      </w:r>
      <w:r>
        <w:t>:</w:t>
      </w:r>
      <w:r w:rsidRPr="00AB613D">
        <w:t xml:space="preserve"> </w:t>
      </w:r>
      <w:r>
        <w:t>note th</w:t>
      </w:r>
      <w:r>
        <w:t>at the y-axis scale for Figure 4A is 10x greater than Figure 4</w:t>
      </w:r>
      <w:r>
        <w:t>B</w:t>
      </w:r>
      <w:r w:rsidR="000304C4">
        <w:t>).</w:t>
      </w:r>
      <w:r w:rsidR="00C1233A">
        <w:t xml:space="preserve"> </w:t>
      </w:r>
    </w:p>
    <w:p w14:paraId="77253E00" w14:textId="71CC6617" w:rsidR="000304C4" w:rsidRDefault="00C1233A" w:rsidP="000304C4">
      <w:pPr>
        <w:pStyle w:val="Newparagraph"/>
      </w:pPr>
      <w:r>
        <w:t>Therefore, regardless of any differences in marker preference for typed or audio feedback across the two courses, audio annotations contained a far greater amount of feedback than typed annotations.</w:t>
      </w:r>
    </w:p>
    <w:p w14:paraId="6AC884B4" w14:textId="119F0F4E" w:rsidR="000304C4" w:rsidRDefault="00006511" w:rsidP="000304C4">
      <w:pPr>
        <w:pStyle w:val="Newparagraph"/>
      </w:pPr>
      <w:r>
        <w:lastRenderedPageBreak/>
        <w:t>Whe</w:t>
      </w:r>
      <w:r>
        <w:t>n comparing between year levels</w:t>
      </w:r>
      <w:r w:rsidR="00C1233A">
        <w:t xml:space="preserve">, we </w:t>
      </w:r>
      <w:r>
        <w:t>found that</w:t>
      </w:r>
      <w:r w:rsidR="00E234B8">
        <w:t xml:space="preserve"> </w:t>
      </w:r>
      <w:r w:rsidR="000304C4">
        <w:t xml:space="preserve">In contrast, </w:t>
      </w:r>
      <w:r>
        <w:t>Thus, a</w:t>
      </w:r>
      <w:r>
        <w:t>lthough the first year reports received around twice as much typed feedback as the second year reports</w:t>
      </w:r>
      <w:r>
        <w:t xml:space="preserve"> in total</w:t>
      </w:r>
      <w:r>
        <w:t xml:space="preserve"> (first year: 38+/-4 words/report; second year: 78+/-1 words/report; p&lt;0.001; Figure 4B),</w:t>
      </w:r>
    </w:p>
    <w:p w14:paraId="0762429C" w14:textId="6DA3255D" w:rsidR="00E437D1" w:rsidRDefault="000304C4" w:rsidP="000304C4">
      <w:pPr>
        <w:pStyle w:val="Newparagraph"/>
      </w:pPr>
      <w:r>
        <w:t>Overall</w:t>
      </w:r>
      <w:r w:rsidR="006915C5">
        <w:t>, this resulted in</w:t>
      </w:r>
      <w:r>
        <w:t xml:space="preserve"> </w:t>
      </w:r>
      <w:r w:rsidR="00E437D1">
        <w:t>a large difference in the</w:t>
      </w:r>
      <w:r>
        <w:t xml:space="preserve"> total amount of feedback provided </w:t>
      </w:r>
      <w:r w:rsidR="00E437D1">
        <w:t xml:space="preserve">to the first and second year students. </w:t>
      </w:r>
      <w:r>
        <w:t xml:space="preserve">on second year work </w:t>
      </w:r>
      <w:r w:rsidR="006915C5">
        <w:t>being three times</w:t>
      </w:r>
      <w:r>
        <w:t xml:space="preserve"> greater than that on first year reports (</w:t>
      </w:r>
      <w:r w:rsidR="006915C5">
        <w:t xml:space="preserve">first year: </w:t>
      </w:r>
      <w:r>
        <w:t xml:space="preserve">388+/-4 words/report; </w:t>
      </w:r>
      <w:r w:rsidR="006915C5">
        <w:t xml:space="preserve">second year: </w:t>
      </w:r>
      <w:r w:rsidR="006915C5">
        <w:t>1126+/-37 words/report</w:t>
      </w:r>
      <w:r w:rsidR="006915C5">
        <w:t xml:space="preserve">; </w:t>
      </w:r>
      <w:r>
        <w:t xml:space="preserve">p&lt;0.001). Not surprisingly, this was due to each second year report receiving, on average, </w:t>
      </w:r>
      <w:r w:rsidR="006915C5">
        <w:t>approximately three times the</w:t>
      </w:r>
      <w:r>
        <w:t xml:space="preserve"> total words in audio annotations than each first year report </w:t>
      </w:r>
      <w:r w:rsidR="006915C5">
        <w:t>(</w:t>
      </w:r>
      <w:r w:rsidR="00DA5084">
        <w:t xml:space="preserve">first year: 309+/-4 words/report; </w:t>
      </w:r>
      <w:r w:rsidR="00DA5084">
        <w:t xml:space="preserve">second year: </w:t>
      </w:r>
      <w:r w:rsidR="00DA5084">
        <w:t>1088+/-36 words/report</w:t>
      </w:r>
      <w:r w:rsidR="00DA5084">
        <w:t xml:space="preserve">; p&lt;0.001; Figure 4A). </w:t>
      </w:r>
      <w:r w:rsidR="008D0ABD">
        <w:t>this made very little difference to the total amou</w:t>
      </w:r>
      <w:r w:rsidR="00177060">
        <w:t>n</w:t>
      </w:r>
      <w:r w:rsidR="008D0ABD">
        <w:t>t of feedback received by students</w:t>
      </w:r>
      <w:r>
        <w:t xml:space="preserve">. </w:t>
      </w:r>
    </w:p>
    <w:p w14:paraId="2997CD3A" w14:textId="5FA2095A" w:rsidR="000304C4" w:rsidRDefault="000304C4" w:rsidP="000304C4">
      <w:pPr>
        <w:pStyle w:val="Newparagraph"/>
      </w:pPr>
      <w:r>
        <w:t xml:space="preserve">Reports from second year students also took longer to mark (28.4+/-1.0 minutes) than first years’ reports (13.9+/-0.2 minutes; p&lt;0.001). This may be related to the differences in task design between first and second year, with the second years’ reports being of greater average length (1909+/-150) than the first years’ reports (1269+/-99). Further, this reflect the higher degree of similarities between reports in the more structured first year </w:t>
      </w:r>
      <w:proofErr w:type="spellStart"/>
      <w:r>
        <w:t>practicals</w:t>
      </w:r>
      <w:proofErr w:type="spellEnd"/>
      <w:r>
        <w:t>, and/or the higher expectations of scientific reasoning in the second year reports</w:t>
      </w:r>
      <w:r w:rsidR="007C70C0">
        <w:t xml:space="preserve"> (</w:t>
      </w:r>
      <w:proofErr w:type="spellStart"/>
      <w:r w:rsidR="007C70C0">
        <w:t>xxxxx</w:t>
      </w:r>
      <w:proofErr w:type="spellEnd"/>
      <w:r w:rsidR="007C70C0">
        <w:t>)</w:t>
      </w:r>
      <w:r>
        <w:t>.</w:t>
      </w:r>
    </w:p>
    <w:p w14:paraId="3FA8E9D6" w14:textId="77777777" w:rsidR="000304C4" w:rsidRDefault="000304C4" w:rsidP="000304C4">
      <w:pPr>
        <w:pStyle w:val="Newparagraph"/>
      </w:pPr>
      <w:r>
        <w:t xml:space="preserve"> With the exception of the formative task (Report 0), markers tended to provide more audio annotations on the earliest reports in each year and semester, with the amount of audio feedback provided then declining on subsequent reports across each semester (Figure 2A). Interestingly, despite this decline, the average length of each in situ audio annotation was relatively consistent, with averages across semesters and year levels at 28.8+/-0.2 seconds per annotation. With an average talking speed of 164 </w:t>
      </w:r>
      <w:r>
        <w:lastRenderedPageBreak/>
        <w:t>words/minute, this would suggest that markers tend to give feedback in approximately 80 word ‘sound bites’, effectively a short paragraph of information. This contrasts with other studies where a single audio annotation is given, as these tend to be considerably longer (Gould and Day 2013; Ribchester, France, and Wakefield 2008), but may equate to a similar amount of audio feedback being provided overall on equivalent tasks (Ice et al. 2007; Lunt and Curran 2010).</w:t>
      </w:r>
    </w:p>
    <w:p w14:paraId="298AB1DE" w14:textId="0B1C447E" w:rsidR="000304C4" w:rsidRDefault="000304C4" w:rsidP="000404AD">
      <w:pPr>
        <w:pStyle w:val="Newparagraph"/>
      </w:pPr>
      <w:r>
        <w:t xml:space="preserve">While audio annotations were relatively consistent in length, the typed annotations </w:t>
      </w:r>
      <w:r w:rsidR="008266AD">
        <w:t>declined betw</w:t>
      </w:r>
      <w:r w:rsidR="00867006">
        <w:t>een successive reports</w:t>
      </w:r>
      <w:r w:rsidR="00AC13B1">
        <w:t>, at least for the first year course</w:t>
      </w:r>
      <w:r w:rsidR="00691488">
        <w:t>. I</w:t>
      </w:r>
      <w:r>
        <w:t>n semester 1</w:t>
      </w:r>
      <w:r w:rsidR="00691488">
        <w:t xml:space="preserve">, first year students </w:t>
      </w:r>
      <w:r>
        <w:t xml:space="preserve">received </w:t>
      </w:r>
      <w:r w:rsidR="00867006">
        <w:t>the longest</w:t>
      </w:r>
      <w:r>
        <w:t xml:space="preserve"> typed annotations on their formative task (15.4+/-0.2 words)</w:t>
      </w:r>
      <w:r w:rsidR="00867006">
        <w:t xml:space="preserve">, </w:t>
      </w:r>
      <w:r w:rsidR="00EF6F7F">
        <w:t>but</w:t>
      </w:r>
      <w:r w:rsidR="00AC13B1">
        <w:t xml:space="preserve"> this dropped</w:t>
      </w:r>
      <w:r w:rsidR="00867006">
        <w:t xml:space="preserve"> to half</w:t>
      </w:r>
      <w:r>
        <w:t xml:space="preserve"> </w:t>
      </w:r>
      <w:r w:rsidR="00867006">
        <w:t>as long by the final report</w:t>
      </w:r>
      <w:r>
        <w:t xml:space="preserve"> </w:t>
      </w:r>
      <w:r w:rsidR="00867006">
        <w:t>(</w:t>
      </w:r>
      <w:r>
        <w:t>8.9+/-0.2 words; p&lt;0.001; Figure 3</w:t>
      </w:r>
      <w:r w:rsidR="00691488">
        <w:t>B</w:t>
      </w:r>
      <w:r>
        <w:t xml:space="preserve">). </w:t>
      </w:r>
      <w:r w:rsidR="00E21492">
        <w:t>Although</w:t>
      </w:r>
      <w:r>
        <w:t xml:space="preserve"> </w:t>
      </w:r>
      <w:r w:rsidR="00691488">
        <w:t xml:space="preserve">there was </w:t>
      </w:r>
      <w:r>
        <w:t>no formative task</w:t>
      </w:r>
      <w:r w:rsidR="00E21492">
        <w:t xml:space="preserve"> in semester 2</w:t>
      </w:r>
      <w:r>
        <w:t xml:space="preserve">, the length of the typed annotations </w:t>
      </w:r>
      <w:r w:rsidR="00E21492">
        <w:t xml:space="preserve">provided to </w:t>
      </w:r>
      <w:r w:rsidR="001C620B">
        <w:t xml:space="preserve">those </w:t>
      </w:r>
      <w:r w:rsidR="00E21492">
        <w:t xml:space="preserve">first year students </w:t>
      </w:r>
      <w:r>
        <w:t xml:space="preserve">declined </w:t>
      </w:r>
      <w:r w:rsidR="00AC13B1">
        <w:t>at</w:t>
      </w:r>
      <w:r>
        <w:t xml:space="preserve"> a similar </w:t>
      </w:r>
      <w:r w:rsidR="00AC13B1">
        <w:t>rate</w:t>
      </w:r>
      <w:r>
        <w:t xml:space="preserve"> </w:t>
      </w:r>
      <w:r w:rsidR="00691488">
        <w:t xml:space="preserve">between successive reports </w:t>
      </w:r>
      <w:r w:rsidR="001C620B">
        <w:t xml:space="preserve">(p&lt;0.001), </w:t>
      </w:r>
      <w:r w:rsidR="00E21492">
        <w:t>finishing at the same</w:t>
      </w:r>
      <w:r w:rsidR="00691488">
        <w:t xml:space="preserve"> minimum by the final report (</w:t>
      </w:r>
      <w:r w:rsidR="00DA5468">
        <w:t xml:space="preserve">8.8+/-0.1 words; </w:t>
      </w:r>
      <w:r>
        <w:t>Figure 3</w:t>
      </w:r>
      <w:r w:rsidR="00691488">
        <w:t>B</w:t>
      </w:r>
      <w:r>
        <w:t>)</w:t>
      </w:r>
      <w:r w:rsidR="001C620B">
        <w:t xml:space="preserve"> as seen in semester 1</w:t>
      </w:r>
      <w:r>
        <w:t xml:space="preserve">. </w:t>
      </w:r>
      <w:r w:rsidR="00AC13B1">
        <w:t xml:space="preserve">In contrast, the </w:t>
      </w:r>
      <w:r w:rsidR="00DA5468">
        <w:t xml:space="preserve">length of the </w:t>
      </w:r>
      <w:r w:rsidR="00AC13B1">
        <w:t xml:space="preserve">typed annotations provided on </w:t>
      </w:r>
      <w:r>
        <w:t>second year reports</w:t>
      </w:r>
      <w:r w:rsidR="00AC13B1">
        <w:t xml:space="preserve"> </w:t>
      </w:r>
      <w:r w:rsidR="00DA5468">
        <w:t xml:space="preserve">remained unchanged across successive reports in each semester (p&gt;0.05; Figure 3B), </w:t>
      </w:r>
      <w:r w:rsidR="004F29D9">
        <w:t>and</w:t>
      </w:r>
      <w:r w:rsidR="00DA5468">
        <w:t xml:space="preserve"> </w:t>
      </w:r>
      <w:r w:rsidR="00AC13B1">
        <w:t xml:space="preserve">were </w:t>
      </w:r>
      <w:r w:rsidR="004F29D9">
        <w:t xml:space="preserve">similar or even </w:t>
      </w:r>
      <w:r w:rsidR="00AC13B1">
        <w:t xml:space="preserve">shorter than </w:t>
      </w:r>
      <w:r w:rsidR="004F29D9">
        <w:t>the</w:t>
      </w:r>
      <w:r w:rsidR="00DA5468">
        <w:t xml:space="preserve"> typed annotations the </w:t>
      </w:r>
      <w:r w:rsidR="00AC13B1">
        <w:t xml:space="preserve">first year </w:t>
      </w:r>
      <w:r w:rsidR="00DA5468">
        <w:t>students</w:t>
      </w:r>
      <w:r>
        <w:t xml:space="preserve"> </w:t>
      </w:r>
      <w:r w:rsidR="004F29D9">
        <w:t xml:space="preserve">received on their final reports (p&lt;0.001; Figure 3B). </w:t>
      </w:r>
      <w:r w:rsidR="001C620B">
        <w:t>Indeed,</w:t>
      </w:r>
      <w:r w:rsidR="006B29B9">
        <w:t xml:space="preserve"> the </w:t>
      </w:r>
      <w:r w:rsidRPr="00AC13B1">
        <w:rPr>
          <w:b/>
        </w:rPr>
        <w:t>number</w:t>
      </w:r>
      <w:r>
        <w:t xml:space="preserve"> </w:t>
      </w:r>
      <w:r w:rsidR="006B29B9">
        <w:t xml:space="preserve">of typed annotations </w:t>
      </w:r>
      <w:r w:rsidR="00AC13B1">
        <w:t xml:space="preserve">provided on second year reports </w:t>
      </w:r>
      <w:r w:rsidR="006B29B9">
        <w:t xml:space="preserve">nearly halved </w:t>
      </w:r>
      <w:r w:rsidR="00321506">
        <w:t xml:space="preserve">from the first to the second report </w:t>
      </w:r>
      <w:r>
        <w:t>(p&lt;0.001</w:t>
      </w:r>
      <w:r w:rsidR="00321506">
        <w:t>; Figure 2</w:t>
      </w:r>
      <w:r>
        <w:t>)</w:t>
      </w:r>
      <w:r w:rsidR="00AC13B1">
        <w:t>, resulting in an overall decline in the amount of typed feedback provided to second year students across the successive reports (p&lt;0.001; Figure 4).</w:t>
      </w:r>
      <w:r>
        <w:t xml:space="preserve"> </w:t>
      </w:r>
      <w:r w:rsidR="001C620B">
        <w:t>Taking the total amount of audio and typed feedback provided on each report together (Figure 4), it is clear that markers provide a declining amount of feedback across the successive, linked assessment embedded in these curricula.</w:t>
      </w:r>
      <w:r>
        <w:t xml:space="preserve"> </w:t>
      </w:r>
      <w:r w:rsidR="00946F9E">
        <w:t xml:space="preserve">While this might seem concerning when viewed alone, it </w:t>
      </w:r>
      <w:r w:rsidR="001C620B">
        <w:t xml:space="preserve">is </w:t>
      </w:r>
      <w:r w:rsidR="00946F9E">
        <w:t>quite</w:t>
      </w:r>
      <w:r w:rsidR="001C620B">
        <w:t xml:space="preserve"> likely </w:t>
      </w:r>
      <w:r w:rsidR="00946F9E">
        <w:t xml:space="preserve">that the decline in feedback provision is linked to a </w:t>
      </w:r>
      <w:r w:rsidR="00946F9E">
        <w:lastRenderedPageBreak/>
        <w:t>similar decline in student use of the feedback, and inversely, to improvements in report quality (indicated by increasing academic performance) across successive reports. We turn our attention to these questions in the subsequent sections.</w:t>
      </w:r>
    </w:p>
    <w:p w14:paraId="48D65097" w14:textId="77777777" w:rsidR="000304C4" w:rsidRDefault="000304C4" w:rsidP="000304C4">
      <w:pPr>
        <w:pStyle w:val="Heading2"/>
      </w:pPr>
      <w:r>
        <w:t xml:space="preserve">Feedback use </w:t>
      </w:r>
    </w:p>
    <w:p w14:paraId="60DE7A82" w14:textId="77777777" w:rsidR="000304C4" w:rsidRDefault="000304C4" w:rsidP="000304C4">
      <w:pPr>
        <w:pStyle w:val="Heading3"/>
      </w:pPr>
      <w:r>
        <w:t>Proportion of students viewing report feedback</w:t>
      </w:r>
    </w:p>
    <w:p w14:paraId="520EBC45" w14:textId="6BD50F67" w:rsidR="000304C4" w:rsidRDefault="000304C4" w:rsidP="000304C4">
      <w:pPr>
        <w:pStyle w:val="Newparagraph"/>
      </w:pPr>
      <w:r>
        <w:t xml:space="preserve">The vast majority of the first year students opened their marked reports (92%), although the proportion that did so tended to decline slightly across the semester, with the final report being opened by fewer students (83%; Figure 5). Surprisingly, the reverse was true in second year students. In comparison to the first year students, fewer second year students opened any of their reports (85%), with only 63% opening their first report and (a non-overlapping) 74% opening their second report. Notably, this pattern was consistent in each semester (Figure 5). It is difficult to identify the cause of this difference between first and second year students without further investigation. At this stage, it could be hypothesised that this reflects a lower engagement with assessment by second year students (Loughlin et al. 2013) or that there were differences in the in-class opportunities for students to gain verbal feedback on their first report. It is also possible that because the first year course included more subsequent reports and the feedback for the first report was released earlier in semester, first year students had more prompts and opportunities to access the feedback on their first report than the second year students. A preliminary analysis of the dates on which students access their feedback </w:t>
      </w:r>
      <w:r w:rsidR="007C70C0">
        <w:t>(</w:t>
      </w:r>
      <w:proofErr w:type="spellStart"/>
      <w:r w:rsidR="007C70C0">
        <w:t>xxxxx</w:t>
      </w:r>
      <w:proofErr w:type="spellEnd"/>
      <w:r w:rsidR="007C70C0">
        <w:t xml:space="preserve">) </w:t>
      </w:r>
      <w:r>
        <w:t xml:space="preserve">suggests that the majority of both first and second year students access the feedback on the first report before the second report is due, but a more thorough analysis, along with additional data on student use of other feedback sources, is needed to convincingly test these hypotheses. </w:t>
      </w:r>
    </w:p>
    <w:p w14:paraId="1A598440" w14:textId="77777777" w:rsidR="000304C4" w:rsidRDefault="000304C4" w:rsidP="000304C4">
      <w:pPr>
        <w:pStyle w:val="Heading2"/>
      </w:pPr>
      <w:r>
        <w:lastRenderedPageBreak/>
        <w:t xml:space="preserve">Feedback viewing duration and pause times </w:t>
      </w:r>
    </w:p>
    <w:p w14:paraId="77335547" w14:textId="77777777" w:rsidR="000304C4" w:rsidRDefault="000304C4" w:rsidP="000304C4">
      <w:pPr>
        <w:pStyle w:val="Newparagraph"/>
      </w:pPr>
      <w:r>
        <w:t>In terms of the duration for which student had reports open, in each semester and year level the duration declined markedly from averages ranging between 3-7 hours for the non-final reports, down to 30-90 minutes for the final report (Figure 6). When the patterns of open duration across the cohorts were examined in more detail (Figure 7), it was apparent that subsets of students interacted with their marked reports for distinct periods of time. For the non-final reports in each semester (Figure 7A &amp; C), the majority of students were divided approximately equally between those who opened their report for between one minute and an hour (41%), and those who opened them for greater than an hour (43%), with a smaller subset who opened their reports for less than 1 minute (6%) or did not open their report at all (10%). It is possible that these durations represent students engaging in different categories of behaviour (</w:t>
      </w:r>
      <w:proofErr w:type="spellStart"/>
      <w:r>
        <w:t>Warnakulasooriya</w:t>
      </w:r>
      <w:proofErr w:type="spellEnd"/>
      <w:r>
        <w:t xml:space="preserve">, Palazzo, and Pritchard 2007), students who work through the feedback thoroughly (intermediate users); students who work through the feedback thoroughly and also use it directly to inform their subsequent report writing (long users); and a small tail of students who glance through their reports very quickly (short users), perhaps primarily to check their grade. This categorisation is supported by the timing and duration of openings across the assessment period. In the first year cohorts it was observed that there was a cluster of openings of marked reports shortly after their release and another cluster in the period 48 hours prior to the due date for the next report with the latter group being of longer open durations (data not shown). It is also supported by the pattern of open durations for the final reports from each semester, which have on average, much shorter open durations (Figure 6) and far greater proportions of students falling into the categories of shorter open durations, of less than one minute (17%), or between one minute and one hour (57%; Figure 7B &amp; D). The duration and timing of students interaction with feedback occurring on the non-final tasks suggests that the </w:t>
      </w:r>
      <w:r>
        <w:lastRenderedPageBreak/>
        <w:t>students perceive these tasks to be sufficiently similar to one another for the feedback to be useful for the subsequent tasks (</w:t>
      </w:r>
      <w:proofErr w:type="spellStart"/>
      <w:r>
        <w:t>Boud</w:t>
      </w:r>
      <w:proofErr w:type="spellEnd"/>
      <w:r>
        <w:t xml:space="preserve"> and Molloy 2013) but also suggests that one of the key drivers for student interaction with feedback is the immediacy of its use on similar assessment tasks.  </w:t>
      </w:r>
    </w:p>
    <w:p w14:paraId="075B7052" w14:textId="77777777" w:rsidR="000304C4" w:rsidRDefault="000304C4" w:rsidP="000304C4">
      <w:pPr>
        <w:pStyle w:val="Newparagraph"/>
      </w:pPr>
      <w:r>
        <w:t xml:space="preserve">Furthermore, the analytics used in this study are able to go beyond simple duration of openings, with the ‘clickstream’ data providing the first insights into the temporal patterns of student interactions with feedback. These clicks represent student interactions with the report document, such as selecting a position within it, opening an audio annotation or scrolling. Students interacted with their non-final reports to a significantly greater degree compared with their final reports for both the level 1 course (Report 1: 105+/-2 clicks per report; Report 3: 38+/-1 clicks per report; p&lt;0.001) and the level 2 course (Report 1: 202+/-10 clicks per report; Report 2: 67+/-4 clicks per report; p&lt;0.001). In addition, the pauses between clicks may provide a useful lens for understanding how students are interacting with their feedback. On average, the amount of time students paused between clicks was 2.64+/-0.06 minutes for non-final reports, and 1.18+/-0.01 minutes for final reports. The vast majority of these pauses (83%) fell between 0.4 seconds and 3 minutes, with very few pauses exceeding one hour (4%; Figure 8A &amp; B). This finding suggests that, despite the often considerable duration for which students had their reports open, they were spending much of this time actively interacting with the report, rather than simply leaving it open for extended periods. This pattern of behaviour was also very consistent across all non-final and final reports at both year levels (Figure 8A &amp; B), such that it is likely that this represents the ‘normal’ pattern by which students interact with in situ feedback. Such detailed data representing how students interact with their feedback, and educational materials more generally, is now becoming increasingly prevalent in the age of ‘big data’ and learning analytics </w:t>
      </w:r>
      <w:r>
        <w:lastRenderedPageBreak/>
        <w:t>(Long and Siemens 2011) and we are currently at the tip of the iceberg in unpacking the behavioural correlates of such patterns in clickstream data. At this stage we hypothesise that minuscule pauses between scrolling clicks might indicate students accessing specific parts of their marked report, while short pauses between clicks are likely to represent students reading the feedback or their submission. Moderate duration pauses might indicate students working outside their feedback (for example on their next report), and very long pauses may indicate students leaving their feedback open in the background. We are currently undertaking studies to match this type of clickstream data to student behaviours in think-aloud videos conducted in interview situations and in natural settings (at home as students use their feedback to work on their next report), and the findings are providing very interesting insights with the potential for large-scale quantitative investigations with widespread generalisability.</w:t>
      </w:r>
    </w:p>
    <w:p w14:paraId="59F0A013" w14:textId="77777777" w:rsidR="000304C4" w:rsidRDefault="000304C4" w:rsidP="000304C4">
      <w:pPr>
        <w:pStyle w:val="Heading2"/>
      </w:pPr>
      <w:r>
        <w:t>Academic Performance</w:t>
      </w:r>
    </w:p>
    <w:p w14:paraId="7F39F222" w14:textId="51D0DD7A" w:rsidR="000304C4" w:rsidRDefault="000304C4" w:rsidP="000304C4">
      <w:pPr>
        <w:pStyle w:val="Newparagraph"/>
      </w:pPr>
      <w:r>
        <w:t>Both first and second year students showed a steady improvement in their performance on each report within each semester (Figure 9), with the average achievement on each subsequent task being significantly higher than the preceding task, although the performance on the first task in the second year course was lower than that of the final report in the first year course. Potentially this reflects the increase in assessment complexity and expectations across the year levels</w:t>
      </w:r>
      <w:r w:rsidR="007C70C0">
        <w:t xml:space="preserve"> (</w:t>
      </w:r>
      <w:proofErr w:type="spellStart"/>
      <w:r w:rsidR="007C70C0">
        <w:t>xxxxx</w:t>
      </w:r>
      <w:proofErr w:type="spellEnd"/>
      <w:r w:rsidR="007C70C0">
        <w:t>)</w:t>
      </w:r>
      <w:r>
        <w:t xml:space="preserve">. Interestingly, the average performance for the first year students in each semester was comparable between the summative tasks (p=0.15), but their performance on the formative task in semester 1 was lower than any summative tasks, regardless of semester (p&lt;0.001; Figure 9). This suggests that students in semester 2 are not disadvantaged by the lack of the formative task, potentially the experience they have gained in completing a semester </w:t>
      </w:r>
      <w:r>
        <w:lastRenderedPageBreak/>
        <w:t>prior to commencing this course has been an effective substitute for any learning gains from the formative task (Kolb 1984).</w:t>
      </w:r>
    </w:p>
    <w:p w14:paraId="6D0AFE81" w14:textId="77777777" w:rsidR="000304C4" w:rsidRDefault="000304C4" w:rsidP="001C4D4D">
      <w:pPr>
        <w:pStyle w:val="Newparagraph"/>
      </w:pPr>
      <w:r>
        <w:t xml:space="preserve"> When student performance was compared to the extent to which they viewed their feedback, a number of differences were apparent both in terms of the average mark received on any given report and on changes between reports. For example, first year, first semester students were categorised based on the duration for which they opened their Report 0 feedback, into unopened (n = 57), and short (&lt;1 minute; n = 26), intermediate (&gt;1 minute &lt;1 hour; n = 264) and long (&gt;1 hour; n = 320) open durations, and their performance on subsequent reports compared. There were no significant differences in average marks for Report 0 between any of the groups (p&gt;0.56; Figure 10), indicating that students began with equivalent academic performance on this type of assessment task. Students who did not open, or who opened their Report 0 for short or intermediate durations, did not show any significant improvement in their marks until Report 2 (unopened and intermediate) or 3 (short), whereas those students who opened their Report 0 for long durations improved significantly by Report 1 and continued to improve significantly on each subsequent report (p&lt;0.001; Figure 10). In addition, students who opened Report 0 for longer than 1hr had significantly higher marks for Reports 1-3 than students in the intermediate and unopened groups (p&lt;0.05; Figure 10). The pattern of improvements in marks across Reports 1-3 for first year students in semester 2 </w:t>
      </w:r>
      <w:r w:rsidR="007A5BFB">
        <w:t>is</w:t>
      </w:r>
      <w:r>
        <w:t xml:space="preserve"> similar (data not shown); students in the long duration groups consistently outperforming other groups. Second year students also showed a similar pattern (data not shown), but by second year, students who open their Report 1 feedback for long durations already outperform those who do not open it. This may suggest that students in second year who behave differently in relation to their feedback are carrying forward their patterns of behaviour and associated learning gains from first year.  Our use of this </w:t>
      </w:r>
      <w:r>
        <w:lastRenderedPageBreak/>
        <w:t>feedback analytics system over consecutive years will help us to investigate this longitudinal question in the future. At this stage, our findings are consistent with the views (</w:t>
      </w:r>
      <w:proofErr w:type="spellStart"/>
      <w:r>
        <w:t>Boud</w:t>
      </w:r>
      <w:proofErr w:type="spellEnd"/>
      <w:r>
        <w:t xml:space="preserve"> and Molloy 2013) that students who spend longer with their feedback open are more likely to have greater and more rapid improvements in achievement on subsequent tasks than those who never open or who on</w:t>
      </w:r>
      <w:r w:rsidR="001C4D4D">
        <w:t>ly open their feedback briefly.</w:t>
      </w:r>
    </w:p>
    <w:p w14:paraId="59D29A51" w14:textId="77777777" w:rsidR="000304C4" w:rsidRDefault="000304C4" w:rsidP="001C4D4D">
      <w:pPr>
        <w:pStyle w:val="Heading1"/>
      </w:pPr>
      <w:r>
        <w:t xml:space="preserve">Conclusions and Implications </w:t>
      </w:r>
    </w:p>
    <w:p w14:paraId="7F76EE36" w14:textId="77777777" w:rsidR="000304C4" w:rsidRDefault="000304C4" w:rsidP="000304C4">
      <w:pPr>
        <w:pStyle w:val="Newparagraph"/>
      </w:pPr>
      <w:r>
        <w:t>It is clear from our findings that the majority of students, when presented with feedback electronically, open and interact with that feedback for considerable periods of time. However, the marked decline in use of feedback provided on final reports in any given semester demonstrated that immediacy of usefulness is one of the primary drivers of student interactions with feedback. The findings of this study provides reproducible evidence, from several cohorts of students, which provides empirical support for several theoretical frameworks for feedback practice (</w:t>
      </w:r>
      <w:proofErr w:type="spellStart"/>
      <w:r>
        <w:t>Boud</w:t>
      </w:r>
      <w:proofErr w:type="spellEnd"/>
      <w:r>
        <w:t xml:space="preserve"> and </w:t>
      </w:r>
      <w:proofErr w:type="spellStart"/>
      <w:r>
        <w:t>Soler</w:t>
      </w:r>
      <w:proofErr w:type="spellEnd"/>
      <w:r>
        <w:t xml:space="preserve"> 2015; Nicol and Macfarlane-Dick 2006) and have important implications for practice. Firstly, it suggests that it is more efficient to focus feedback provision on the earlier tasks in any sequence, as students are less likely to use and demonstrate learning gains from feedback on final tasks. Secondly, it suggests that students will benefit from an increase in the vertical integration of successive tasks, both within and across semesters. If assessment tasks are deliberately designed to build from earlier tasks, and the links between the sequential tasks are made explicit, students may be more inclined to draw on feedback from preceding tasks.</w:t>
      </w:r>
    </w:p>
    <w:p w14:paraId="109D9730" w14:textId="77777777" w:rsidR="000304C4" w:rsidRDefault="000304C4" w:rsidP="000304C4">
      <w:pPr>
        <w:pStyle w:val="Newparagraph"/>
      </w:pPr>
      <w:r>
        <w:t xml:space="preserve">It is also apparent from our findings that the extents to which students interact with their feedback impacts significantly on their performance. Students who had limited or no interaction with their feedback did not improve to the same extent, or as fast as those with higher levels of interaction. However, this investigation has begun </w:t>
      </w:r>
      <w:r>
        <w:lastRenderedPageBreak/>
        <w:t xml:space="preserve">with a broad marker of academic achievement. In the future, a more detailed analysis of variations in individual’s behaviour, including their interactions with feedback annotations of varying modalities, and extent of changes in performance within specific criteria, will help to identify those areas students learn easily, those areas which are more problematic and the specific types of feedback which help students through such difficult learning transitions. </w:t>
      </w:r>
    </w:p>
    <w:p w14:paraId="08BDD2CD" w14:textId="77777777" w:rsidR="000304C4" w:rsidRDefault="000304C4" w:rsidP="000304C4">
      <w:pPr>
        <w:pStyle w:val="Newparagraph"/>
      </w:pPr>
      <w:r>
        <w:t xml:space="preserve">Prior to this study, research on the impact of different modalities of feedback (i.e. typed based versus audio feedback) has primarily investigated student perceptions of the impact of feedback (Ice et al. 2007; Carruthers et al. 2014; </w:t>
      </w:r>
      <w:proofErr w:type="spellStart"/>
      <w:r>
        <w:t>Rhind</w:t>
      </w:r>
      <w:proofErr w:type="spellEnd"/>
      <w:r>
        <w:t xml:space="preserve"> et al. 2013; Lunt and Curran 2010; Merry and </w:t>
      </w:r>
      <w:proofErr w:type="spellStart"/>
      <w:r>
        <w:t>Orsmond</w:t>
      </w:r>
      <w:proofErr w:type="spellEnd"/>
      <w:r>
        <w:t xml:space="preserve"> 2008), but has not quantified the interactions of students with different forms of feedback, with just a few studies having employed methods to observe students actually using feedback (</w:t>
      </w:r>
      <w:proofErr w:type="spellStart"/>
      <w:r>
        <w:t>Dessner</w:t>
      </w:r>
      <w:proofErr w:type="spellEnd"/>
      <w:r>
        <w:t xml:space="preserve"> 1991; </w:t>
      </w:r>
      <w:proofErr w:type="spellStart"/>
      <w:r>
        <w:t>Dohrer</w:t>
      </w:r>
      <w:proofErr w:type="spellEnd"/>
      <w:r>
        <w:t xml:space="preserve"> 1991; Still and </w:t>
      </w:r>
      <w:proofErr w:type="spellStart"/>
      <w:r>
        <w:t>Koerber</w:t>
      </w:r>
      <w:proofErr w:type="spellEnd"/>
      <w:r>
        <w:t xml:space="preserve"> 2010). Consequently, there has been a clear need for empirical evidence of nature of feedback provision in large teams of markers, student use of that feedback and its impact on subsequent work. To the best of our knowledge, the analytics captured in this study have provided the very first large-scale, quantitative insights into the degree to which students are interacting with the feedback provided on their formative and summative assessment submissions. The initial data generated demonstrates the notable potential of this method to provide quantitative information to researchers, academics, markers and students on the provision of feedback by markers and students’ interaction with that feedback, to guide the refinement of theoretical frameworks on effective feedback practices. </w:t>
      </w:r>
    </w:p>
    <w:p w14:paraId="24CDBE58" w14:textId="77777777" w:rsidR="000304C4" w:rsidRDefault="000304C4" w:rsidP="001C4D4D">
      <w:pPr>
        <w:pStyle w:val="Heading1"/>
      </w:pPr>
      <w:r>
        <w:t>References</w:t>
      </w:r>
    </w:p>
    <w:p w14:paraId="040C0399" w14:textId="77777777" w:rsidR="000304C4" w:rsidRDefault="000304C4" w:rsidP="000304C4">
      <w:pPr>
        <w:pStyle w:val="Newparagraph"/>
      </w:pPr>
      <w:proofErr w:type="spellStart"/>
      <w:r>
        <w:t>Boud</w:t>
      </w:r>
      <w:proofErr w:type="spellEnd"/>
      <w:r>
        <w:t xml:space="preserve">, David, and Elizabeth Molloy. 2013. </w:t>
      </w:r>
      <w:r w:rsidRPr="00431612">
        <w:rPr>
          <w:i/>
        </w:rPr>
        <w:t>Feedback in Higher and Professional Education</w:t>
      </w:r>
      <w:r>
        <w:t>. Routledge.</w:t>
      </w:r>
    </w:p>
    <w:p w14:paraId="5BF2BEF3" w14:textId="77777777" w:rsidR="000304C4" w:rsidRDefault="000304C4" w:rsidP="000304C4">
      <w:pPr>
        <w:pStyle w:val="Newparagraph"/>
      </w:pPr>
      <w:proofErr w:type="spellStart"/>
      <w:r>
        <w:lastRenderedPageBreak/>
        <w:t>Boud</w:t>
      </w:r>
      <w:proofErr w:type="spellEnd"/>
      <w:r>
        <w:t xml:space="preserve">, David, and Nancy </w:t>
      </w:r>
      <w:proofErr w:type="spellStart"/>
      <w:r>
        <w:t>Falchikov</w:t>
      </w:r>
      <w:proofErr w:type="spellEnd"/>
      <w:r>
        <w:t xml:space="preserve">. 2006. “Aligning Assessment with Long-Term Learning.” </w:t>
      </w:r>
      <w:r w:rsidRPr="00431612">
        <w:rPr>
          <w:i/>
        </w:rPr>
        <w:t>Assessment &amp; Evaluation in Higher Education</w:t>
      </w:r>
      <w:r w:rsidR="008F4D87">
        <w:t xml:space="preserve"> 31 (4)</w:t>
      </w:r>
      <w:r>
        <w:t>: 399–413. doi:10.1080/02602930600679050.</w:t>
      </w:r>
    </w:p>
    <w:p w14:paraId="0A945D3A" w14:textId="77777777" w:rsidR="000304C4" w:rsidRDefault="000304C4" w:rsidP="000304C4">
      <w:pPr>
        <w:pStyle w:val="Newparagraph"/>
      </w:pPr>
      <w:proofErr w:type="spellStart"/>
      <w:r>
        <w:t>Boud</w:t>
      </w:r>
      <w:proofErr w:type="spellEnd"/>
      <w:r>
        <w:t xml:space="preserve">, David, and Rebeca </w:t>
      </w:r>
      <w:proofErr w:type="spellStart"/>
      <w:r>
        <w:t>Soler</w:t>
      </w:r>
      <w:proofErr w:type="spellEnd"/>
      <w:r>
        <w:t xml:space="preserve">. 2015. “Sustainable Assessment Revisited.” </w:t>
      </w:r>
      <w:r w:rsidRPr="00431612">
        <w:rPr>
          <w:i/>
        </w:rPr>
        <w:t>Assessment &amp; Evaluation in Higher Education</w:t>
      </w:r>
      <w:r w:rsidR="008F4D87">
        <w:rPr>
          <w:i/>
        </w:rPr>
        <w:t>.</w:t>
      </w:r>
      <w:r>
        <w:t xml:space="preserve"> </w:t>
      </w:r>
      <w:r w:rsidR="008F4D87">
        <w:t xml:space="preserve">ahead-of-print: </w:t>
      </w:r>
      <w:r>
        <w:t>1–14. doi:10.1080/02602938.2015.1018133.</w:t>
      </w:r>
    </w:p>
    <w:p w14:paraId="78C93197" w14:textId="77777777" w:rsidR="000304C4" w:rsidRDefault="000304C4" w:rsidP="000304C4">
      <w:pPr>
        <w:pStyle w:val="Newparagraph"/>
      </w:pPr>
      <w:proofErr w:type="spellStart"/>
      <w:r>
        <w:t>Brearley</w:t>
      </w:r>
      <w:proofErr w:type="spellEnd"/>
      <w:r>
        <w:t xml:space="preserve">, Francis Q, and W Rod Cullen. 2012. “Providing Students with Formative Audio Feedback.” </w:t>
      </w:r>
      <w:r w:rsidRPr="00431612">
        <w:rPr>
          <w:i/>
        </w:rPr>
        <w:t>Bioscience Education</w:t>
      </w:r>
      <w:r w:rsidR="008F4D87">
        <w:t xml:space="preserve"> 20</w:t>
      </w:r>
      <w:r>
        <w:t>: 22–36. doi:10.11120/beej.2012.20000022.</w:t>
      </w:r>
    </w:p>
    <w:p w14:paraId="59805E8C" w14:textId="77777777" w:rsidR="000304C4" w:rsidRDefault="000304C4" w:rsidP="000304C4">
      <w:pPr>
        <w:pStyle w:val="Newparagraph"/>
      </w:pPr>
      <w:r>
        <w:t xml:space="preserve">Carruthers, Clare, Brenda McCarron, Peter Bolan, Adrian Devine, and Una McMahon-Beattie. 2014. “Listening and Learning: Reflections on the Use of Audio Feedback. an Excellence in Teaching and Learning Note.” </w:t>
      </w:r>
      <w:r w:rsidRPr="00431612">
        <w:rPr>
          <w:i/>
        </w:rPr>
        <w:t>Business and Management Education in H</w:t>
      </w:r>
      <w:r w:rsidR="00431612">
        <w:rPr>
          <w:i/>
        </w:rPr>
        <w:t xml:space="preserve">igher </w:t>
      </w:r>
      <w:r w:rsidRPr="00431612">
        <w:rPr>
          <w:i/>
        </w:rPr>
        <w:t>E</w:t>
      </w:r>
      <w:r w:rsidR="00431612">
        <w:rPr>
          <w:i/>
        </w:rPr>
        <w:t>ducation</w:t>
      </w:r>
      <w:r>
        <w:t xml:space="preserve"> 1 (1): 4–11. doi:10.11120/bmhe.2013.00001.</w:t>
      </w:r>
    </w:p>
    <w:p w14:paraId="2A2D6A49" w14:textId="77777777" w:rsidR="000304C4" w:rsidRDefault="000304C4" w:rsidP="000304C4">
      <w:pPr>
        <w:pStyle w:val="Newparagraph"/>
      </w:pPr>
      <w:proofErr w:type="spellStart"/>
      <w:r>
        <w:t>Colthorpe</w:t>
      </w:r>
      <w:proofErr w:type="spellEnd"/>
      <w:r>
        <w:t xml:space="preserve">, Kay L, Susan Rowland, and Joan Leach. 2013. </w:t>
      </w:r>
      <w:r w:rsidRPr="00431612">
        <w:rPr>
          <w:i/>
        </w:rPr>
        <w:t>Threshold Learning Outcome 4: Communication.</w:t>
      </w:r>
      <w:r>
        <w:t xml:space="preserve"> Sydney, NSW, Australia: Office for Learning and Teaching.</w:t>
      </w:r>
    </w:p>
    <w:p w14:paraId="2B533FEC" w14:textId="77777777" w:rsidR="000304C4" w:rsidRDefault="000304C4" w:rsidP="000304C4">
      <w:pPr>
        <w:pStyle w:val="Newparagraph"/>
      </w:pPr>
      <w:proofErr w:type="spellStart"/>
      <w:r>
        <w:t>Dessner</w:t>
      </w:r>
      <w:proofErr w:type="spellEnd"/>
      <w:r>
        <w:t>, Linda E. 1991. “</w:t>
      </w:r>
      <w:r w:rsidRPr="00431612">
        <w:rPr>
          <w:i/>
        </w:rPr>
        <w:t>English as a Second Language College Writers’ Revision Responses to Teacher-Written Comments</w:t>
      </w:r>
      <w:r>
        <w:t>.” Philadelphia, PA.</w:t>
      </w:r>
    </w:p>
    <w:p w14:paraId="33C80C90" w14:textId="77777777" w:rsidR="000304C4" w:rsidRDefault="000304C4" w:rsidP="000304C4">
      <w:pPr>
        <w:pStyle w:val="Newparagraph"/>
      </w:pPr>
      <w:proofErr w:type="spellStart"/>
      <w:r>
        <w:t>Dohrer</w:t>
      </w:r>
      <w:proofErr w:type="spellEnd"/>
      <w:r>
        <w:t>, Gary. 1991. “Do Teachers</w:t>
      </w:r>
      <w:r w:rsidR="00431612">
        <w:t>’</w:t>
      </w:r>
      <w:r>
        <w:t xml:space="preserve"> Com</w:t>
      </w:r>
      <w:r w:rsidR="00431612">
        <w:t>ments on Students’ Papers Help?</w:t>
      </w:r>
      <w:r>
        <w:t xml:space="preserve">” </w:t>
      </w:r>
      <w:r w:rsidRPr="00431612">
        <w:rPr>
          <w:i/>
        </w:rPr>
        <w:t>College Teaching</w:t>
      </w:r>
      <w:r>
        <w:t xml:space="preserve"> 39 (2): 48–54.</w:t>
      </w:r>
    </w:p>
    <w:p w14:paraId="1C96C343" w14:textId="77777777" w:rsidR="000304C4" w:rsidRDefault="000304C4" w:rsidP="000304C4">
      <w:pPr>
        <w:pStyle w:val="Newparagraph"/>
      </w:pPr>
      <w:r>
        <w:t xml:space="preserve">Ellis, Cath. 2013. “Broadening the Scope and Increasing the Usefulness of Learning Analytics: the Case for Assessment Analytics.” </w:t>
      </w:r>
      <w:r w:rsidRPr="00431612">
        <w:rPr>
          <w:i/>
        </w:rPr>
        <w:t>British Journal of Educational Technology</w:t>
      </w:r>
      <w:r>
        <w:t xml:space="preserve"> 44 (4): 662–664. doi:10.1111/bjet.12028.</w:t>
      </w:r>
    </w:p>
    <w:p w14:paraId="5ECD97BC" w14:textId="77777777" w:rsidR="000304C4" w:rsidRDefault="000304C4" w:rsidP="000304C4">
      <w:pPr>
        <w:pStyle w:val="Newparagraph"/>
      </w:pPr>
      <w:proofErr w:type="spellStart"/>
      <w:r>
        <w:lastRenderedPageBreak/>
        <w:t>Furnborough</w:t>
      </w:r>
      <w:proofErr w:type="spellEnd"/>
      <w:r>
        <w:t xml:space="preserve">, Concha, and Mike Truman. 2009. “Adult Beginner Distance Language Learner Perceptions and Use of Assignment Feedback.” </w:t>
      </w:r>
      <w:r w:rsidRPr="00431612">
        <w:rPr>
          <w:i/>
        </w:rPr>
        <w:t>Distance Education</w:t>
      </w:r>
      <w:r w:rsidR="00431612">
        <w:t xml:space="preserve"> </w:t>
      </w:r>
      <w:r w:rsidR="008F4D87">
        <w:t>30 (3)</w:t>
      </w:r>
      <w:r>
        <w:t>: 399–418.</w:t>
      </w:r>
    </w:p>
    <w:p w14:paraId="75C5D3B4" w14:textId="77777777" w:rsidR="000304C4" w:rsidRDefault="000304C4" w:rsidP="000304C4">
      <w:pPr>
        <w:pStyle w:val="Newparagraph"/>
      </w:pPr>
      <w:r>
        <w:t xml:space="preserve">Gould, Jill, and Pat Day. 2013. “Hearing You Loud and Clear: Student Perspectives of Audio Feedback in Higher Education.” </w:t>
      </w:r>
      <w:r w:rsidRPr="00934670">
        <w:rPr>
          <w:i/>
        </w:rPr>
        <w:t>Assessment &amp; Evaluation in Higher Education</w:t>
      </w:r>
      <w:r>
        <w:t xml:space="preserve"> 38 (5): 554–566.</w:t>
      </w:r>
    </w:p>
    <w:p w14:paraId="4157A397" w14:textId="77777777" w:rsidR="000304C4" w:rsidRDefault="000304C4" w:rsidP="000304C4">
      <w:pPr>
        <w:pStyle w:val="Newparagraph"/>
      </w:pPr>
      <w:r>
        <w:t xml:space="preserve">Hattie, John. 2008. </w:t>
      </w:r>
      <w:r w:rsidRPr="00934670">
        <w:rPr>
          <w:i/>
        </w:rPr>
        <w:t>Visible Learning</w:t>
      </w:r>
      <w:r>
        <w:t>. Routledge.</w:t>
      </w:r>
    </w:p>
    <w:p w14:paraId="5A2BB3CB" w14:textId="77777777" w:rsidR="000304C4" w:rsidRDefault="000304C4" w:rsidP="000304C4">
      <w:pPr>
        <w:pStyle w:val="Newparagraph"/>
      </w:pPr>
      <w:r>
        <w:t xml:space="preserve">Hattie, John, and Helen Timperley. 2007. “The Power of Feedback.” </w:t>
      </w:r>
      <w:r w:rsidRPr="00934670">
        <w:rPr>
          <w:i/>
        </w:rPr>
        <w:t>Review of Educational Research</w:t>
      </w:r>
      <w:r>
        <w:t xml:space="preserve"> 77 (1): 81–112.</w:t>
      </w:r>
    </w:p>
    <w:p w14:paraId="599D47B7" w14:textId="77777777" w:rsidR="000304C4" w:rsidRDefault="000304C4" w:rsidP="000304C4">
      <w:pPr>
        <w:pStyle w:val="Newparagraph"/>
      </w:pPr>
      <w:proofErr w:type="spellStart"/>
      <w:r>
        <w:t>Hepplestone</w:t>
      </w:r>
      <w:proofErr w:type="spellEnd"/>
      <w:r>
        <w:t xml:space="preserve">, Stuart, Graham Holden, Brian Irwin, Helen J Parkin, and Louise Thorpe. 2011. “Using Technology to Encourage Student Engagement with Feedback: a Literature Review.” </w:t>
      </w:r>
      <w:r w:rsidRPr="00934670">
        <w:rPr>
          <w:i/>
        </w:rPr>
        <w:t>Research in Learning Technology</w:t>
      </w:r>
      <w:r>
        <w:t xml:space="preserve"> 19 (2): 89–100. doi:10.3402/rlt.v19i2.10347.</w:t>
      </w:r>
    </w:p>
    <w:p w14:paraId="01D51093" w14:textId="77777777" w:rsidR="000304C4" w:rsidRDefault="000304C4" w:rsidP="000304C4">
      <w:pPr>
        <w:pStyle w:val="Newparagraph"/>
      </w:pPr>
      <w:r>
        <w:t xml:space="preserve">Ice, Philip, Reagan Curtis, Perry Phillips, and John Wells. 2007. “Using Asynchronous Audio Feedback to Enhance Teaching Presence and Students’ Sense of Community.” </w:t>
      </w:r>
      <w:r w:rsidRPr="00934670">
        <w:rPr>
          <w:i/>
        </w:rPr>
        <w:t>Journal of Asynchronous Learning Networks</w:t>
      </w:r>
      <w:r>
        <w:t xml:space="preserve"> 11 (2): 3–25.</w:t>
      </w:r>
    </w:p>
    <w:p w14:paraId="65E989C1" w14:textId="77777777" w:rsidR="000304C4" w:rsidRDefault="000304C4" w:rsidP="000304C4">
      <w:pPr>
        <w:pStyle w:val="Newparagraph"/>
      </w:pPr>
      <w:proofErr w:type="spellStart"/>
      <w:r>
        <w:t>Jonsson</w:t>
      </w:r>
      <w:proofErr w:type="spellEnd"/>
      <w:r>
        <w:t xml:space="preserve">, Anders. 2012. “Facilitating Productive Use of Feedback in Higher Education.” </w:t>
      </w:r>
      <w:r w:rsidRPr="00934670">
        <w:rPr>
          <w:i/>
        </w:rPr>
        <w:t>Active Learning in Higher Education</w:t>
      </w:r>
      <w:r>
        <w:t xml:space="preserve"> 14 (1): 63–76. doi:10.1177/1469787412467125.</w:t>
      </w:r>
    </w:p>
    <w:p w14:paraId="4B568D5A" w14:textId="77777777" w:rsidR="000304C4" w:rsidRDefault="000304C4" w:rsidP="000304C4">
      <w:pPr>
        <w:pStyle w:val="Newparagraph"/>
      </w:pPr>
      <w:proofErr w:type="spellStart"/>
      <w:r>
        <w:t>Kluger</w:t>
      </w:r>
      <w:proofErr w:type="spellEnd"/>
      <w:r>
        <w:t xml:space="preserve">, Avraham N, and Angelo </w:t>
      </w:r>
      <w:proofErr w:type="spellStart"/>
      <w:r>
        <w:t>DeNisi</w:t>
      </w:r>
      <w:proofErr w:type="spellEnd"/>
      <w:r>
        <w:t>. 1996. “The Effects of Feedback Interventions on Performance: a Historical Review, a Meta-Analysis, and a Preliminar</w:t>
      </w:r>
      <w:r w:rsidR="00934670">
        <w:t>y Feedback Intervention Theory.</w:t>
      </w:r>
      <w:r>
        <w:t xml:space="preserve">” </w:t>
      </w:r>
      <w:r w:rsidRPr="00934670">
        <w:rPr>
          <w:i/>
        </w:rPr>
        <w:t>Psychological Bulletin</w:t>
      </w:r>
      <w:r>
        <w:t xml:space="preserve"> 119 (2). American Psychological Association: 254–284. doi:10.1037/0033-2909.119.2.254.</w:t>
      </w:r>
    </w:p>
    <w:p w14:paraId="5279972D" w14:textId="77777777" w:rsidR="000304C4" w:rsidRDefault="000304C4" w:rsidP="000304C4">
      <w:pPr>
        <w:pStyle w:val="Newparagraph"/>
      </w:pPr>
      <w:proofErr w:type="spellStart"/>
      <w:r>
        <w:lastRenderedPageBreak/>
        <w:t>Knauf</w:t>
      </w:r>
      <w:proofErr w:type="spellEnd"/>
      <w:r>
        <w:t xml:space="preserve">, Helen. 2015. “Reading, Listening and Feeling: Audio Feedback as a Component of an Inclusive Learning Culture at Universities.” </w:t>
      </w:r>
      <w:r w:rsidRPr="00934670">
        <w:rPr>
          <w:i/>
        </w:rPr>
        <w:t>Assessment &amp; Evaluation in Higher Education</w:t>
      </w:r>
      <w:r>
        <w:t xml:space="preserve">. </w:t>
      </w:r>
      <w:r w:rsidR="008F4D87">
        <w:t>ahead-of-print</w:t>
      </w:r>
      <w:r w:rsidR="00934670">
        <w:t>: 1-8.</w:t>
      </w:r>
    </w:p>
    <w:p w14:paraId="1DA97F41" w14:textId="77777777" w:rsidR="000304C4" w:rsidRDefault="000304C4" w:rsidP="000304C4">
      <w:pPr>
        <w:pStyle w:val="Newparagraph"/>
      </w:pPr>
      <w:r>
        <w:t xml:space="preserve">Kolb, David A. 1984. </w:t>
      </w:r>
      <w:r w:rsidRPr="00934670">
        <w:rPr>
          <w:i/>
        </w:rPr>
        <w:t>Experiential Learning: Experience as the Source of Learning and Development</w:t>
      </w:r>
      <w:r>
        <w:t>. Vol. 1. Prentice-Hall Englewood Cliffs, NJ.</w:t>
      </w:r>
    </w:p>
    <w:p w14:paraId="0A83954B" w14:textId="77777777" w:rsidR="000304C4" w:rsidRDefault="000304C4" w:rsidP="000304C4">
      <w:pPr>
        <w:pStyle w:val="Newparagraph"/>
      </w:pPr>
      <w:r>
        <w:t>Long, Phil, and George Siemens. 2011. “Penetrating the Fog: Analytics in Learning and Educat</w:t>
      </w:r>
      <w:r w:rsidR="00934670">
        <w:t>ion</w:t>
      </w:r>
      <w:r>
        <w:t xml:space="preserve">.” </w:t>
      </w:r>
      <w:proofErr w:type="spellStart"/>
      <w:r w:rsidRPr="00934670">
        <w:rPr>
          <w:i/>
        </w:rPr>
        <w:t>Educause</w:t>
      </w:r>
      <w:proofErr w:type="spellEnd"/>
      <w:r w:rsidRPr="00934670">
        <w:rPr>
          <w:i/>
        </w:rPr>
        <w:t xml:space="preserve"> Review</w:t>
      </w:r>
      <w:r>
        <w:t xml:space="preserve"> 46 (5): 30–32.</w:t>
      </w:r>
    </w:p>
    <w:p w14:paraId="750305F5" w14:textId="77777777" w:rsidR="000304C4" w:rsidRDefault="000304C4" w:rsidP="000304C4">
      <w:pPr>
        <w:pStyle w:val="Newparagraph"/>
      </w:pPr>
      <w:r>
        <w:t xml:space="preserve">Loughlin, Wendy, Sarah-Jane Gregory, Glenn Harrison, and Jason Lodge. 2013. “Beyond the First Year Experience in Science: Identifying the Need for a Supportive Learning and Teaching Environment for Second Year Science Students.” </w:t>
      </w:r>
      <w:r w:rsidRPr="00934670">
        <w:rPr>
          <w:i/>
        </w:rPr>
        <w:t>International Journal of Innovation in Science and Mathematics Education</w:t>
      </w:r>
      <w:r>
        <w:t xml:space="preserve"> 21 (4): 13–26.</w:t>
      </w:r>
    </w:p>
    <w:p w14:paraId="10086C30" w14:textId="77777777" w:rsidR="000304C4" w:rsidRDefault="000304C4" w:rsidP="000304C4">
      <w:pPr>
        <w:pStyle w:val="Newparagraph"/>
      </w:pPr>
      <w:r>
        <w:t xml:space="preserve">Lunt, Tom, and John Curran. 2010. “‘Are You Listening Please?’ the Advantages of Electronic Audio Feedback Compared to Written Feedback.” </w:t>
      </w:r>
      <w:r w:rsidRPr="00934670">
        <w:rPr>
          <w:i/>
        </w:rPr>
        <w:t>Assessment &amp; Evaluation in Higher Education</w:t>
      </w:r>
      <w:r>
        <w:t xml:space="preserve"> 35 (7): 759–769. doi:10.1080/02602930902977772.</w:t>
      </w:r>
    </w:p>
    <w:p w14:paraId="2E2B1B5F" w14:textId="77777777" w:rsidR="00934670" w:rsidRDefault="000304C4" w:rsidP="000304C4">
      <w:pPr>
        <w:pStyle w:val="Newparagraph"/>
      </w:pPr>
      <w:r>
        <w:t>MacDonald, Ross B. 1991. “Developmental Students' Processing of Teacher Feed</w:t>
      </w:r>
      <w:r w:rsidR="00934670">
        <w:t>back in Composition Instruction</w:t>
      </w:r>
      <w:r>
        <w:t xml:space="preserve">.” </w:t>
      </w:r>
      <w:r w:rsidRPr="00934670">
        <w:rPr>
          <w:i/>
        </w:rPr>
        <w:t>Review of Research in Developmental Education</w:t>
      </w:r>
      <w:r>
        <w:t xml:space="preserve"> 8 (5)</w:t>
      </w:r>
      <w:r w:rsidR="00934670">
        <w:t>: n5</w:t>
      </w:r>
      <w:r>
        <w:t xml:space="preserve">. </w:t>
      </w:r>
    </w:p>
    <w:p w14:paraId="46C5CC40" w14:textId="77777777" w:rsidR="000304C4" w:rsidRDefault="000304C4" w:rsidP="000304C4">
      <w:pPr>
        <w:pStyle w:val="Newparagraph"/>
      </w:pPr>
      <w:r>
        <w:t xml:space="preserve">Merry, Stephen, and Paul </w:t>
      </w:r>
      <w:proofErr w:type="spellStart"/>
      <w:r>
        <w:t>Orsmond</w:t>
      </w:r>
      <w:proofErr w:type="spellEnd"/>
      <w:r>
        <w:t xml:space="preserve">. 2008. “Students’ Attitudes to and Usage of Academic Feedback Provided via Audio Files.” </w:t>
      </w:r>
      <w:r w:rsidRPr="00934670">
        <w:rPr>
          <w:i/>
        </w:rPr>
        <w:t>Bioscience Education</w:t>
      </w:r>
      <w:r>
        <w:t xml:space="preserve"> 11.</w:t>
      </w:r>
    </w:p>
    <w:p w14:paraId="2D398AB1" w14:textId="77777777" w:rsidR="000304C4" w:rsidRDefault="000304C4" w:rsidP="000304C4">
      <w:pPr>
        <w:pStyle w:val="Newparagraph"/>
      </w:pPr>
      <w:r>
        <w:t xml:space="preserve">Nicol, David J, and Debra Macfarlane-Dick. 2006. “Formative Assessment and Self-Regulated Learning: a Model and Seven Principles of Good Feedback Practice.” </w:t>
      </w:r>
      <w:r w:rsidRPr="00934670">
        <w:rPr>
          <w:i/>
        </w:rPr>
        <w:t>Studies in Higher Education</w:t>
      </w:r>
      <w:r w:rsidR="00934670">
        <w:t xml:space="preserve"> 31 (2)</w:t>
      </w:r>
      <w:r>
        <w:t>: 199–218. doi:10.1080/03075070600572090.</w:t>
      </w:r>
    </w:p>
    <w:p w14:paraId="138A812B" w14:textId="77777777" w:rsidR="000304C4" w:rsidRDefault="000304C4" w:rsidP="000304C4">
      <w:pPr>
        <w:pStyle w:val="Newparagraph"/>
      </w:pPr>
      <w:proofErr w:type="spellStart"/>
      <w:r>
        <w:t>Rhind</w:t>
      </w:r>
      <w:proofErr w:type="spellEnd"/>
      <w:r>
        <w:t xml:space="preserve">, Susan M, Graham W Pettigrew, Jo Spiller, and Geoff T Pearson. 2013. “Experiences with Audio Feedback in a Veterinary Curriculum.” </w:t>
      </w:r>
      <w:r w:rsidRPr="00934670">
        <w:rPr>
          <w:i/>
        </w:rPr>
        <w:t>Journal of Veterinary Medical Education</w:t>
      </w:r>
      <w:r>
        <w:t xml:space="preserve"> 40 (1): 12–18. doi:10.3138/jvme.0912-081R.</w:t>
      </w:r>
    </w:p>
    <w:p w14:paraId="438A126E" w14:textId="77777777" w:rsidR="000304C4" w:rsidRDefault="000304C4" w:rsidP="000304C4">
      <w:pPr>
        <w:pStyle w:val="Newparagraph"/>
      </w:pPr>
      <w:r>
        <w:lastRenderedPageBreak/>
        <w:t xml:space="preserve">Ribchester, Chris, Derek France, and Kelly Wakefield. 2008. “‘It Was Just Like a Personal Tutorial’: Using Podcasts to Provide Assessment Feedback.” </w:t>
      </w:r>
      <w:r w:rsidR="00934670" w:rsidRPr="00934670">
        <w:rPr>
          <w:iCs/>
        </w:rPr>
        <w:t>Paper presented at the</w:t>
      </w:r>
      <w:r w:rsidR="00934670">
        <w:rPr>
          <w:i/>
          <w:iCs/>
        </w:rPr>
        <w:t xml:space="preserve"> Higher Education Academy Conference</w:t>
      </w:r>
      <w:r w:rsidR="00934670">
        <w:t xml:space="preserve">. </w:t>
      </w:r>
    </w:p>
    <w:p w14:paraId="22F1EE90" w14:textId="77777777" w:rsidR="000304C4" w:rsidRDefault="000304C4" w:rsidP="000304C4">
      <w:pPr>
        <w:pStyle w:val="Newparagraph"/>
      </w:pPr>
      <w:r>
        <w:t xml:space="preserve">Rodway-Dyer, Sue, Jasper Knight, and Elizabeth Dunne. 2010. “A Case Study on Audio Feedback with Geography Undergraduates.” </w:t>
      </w:r>
      <w:r w:rsidRPr="00934670">
        <w:rPr>
          <w:i/>
        </w:rPr>
        <w:t>Journal of Geography in Higher Education</w:t>
      </w:r>
      <w:r w:rsidR="008F4D87">
        <w:t xml:space="preserve"> 35 (2)</w:t>
      </w:r>
      <w:r>
        <w:t>: 217–231. doi:10.1080/03098265.2010.524197.</w:t>
      </w:r>
    </w:p>
    <w:p w14:paraId="3659D3AB" w14:textId="77777777" w:rsidR="000304C4" w:rsidRDefault="000304C4" w:rsidP="000304C4">
      <w:pPr>
        <w:pStyle w:val="Newparagraph"/>
      </w:pPr>
      <w:r>
        <w:t xml:space="preserve">Sadler, D Royce. 1998. “Formative Assessment: Revisiting the Territory.” </w:t>
      </w:r>
      <w:r w:rsidRPr="00934670">
        <w:rPr>
          <w:i/>
        </w:rPr>
        <w:t>Assessment in Education</w:t>
      </w:r>
      <w:r w:rsidR="00934670">
        <w:rPr>
          <w:i/>
        </w:rPr>
        <w:t xml:space="preserve"> </w:t>
      </w:r>
      <w:r w:rsidR="00934670" w:rsidRPr="00934670">
        <w:rPr>
          <w:iCs/>
        </w:rPr>
        <w:t>5</w:t>
      </w:r>
      <w:r w:rsidR="00934670">
        <w:t xml:space="preserve"> (1): 77-84.</w:t>
      </w:r>
      <w:r>
        <w:t xml:space="preserve"> doi:10.1080/0969595980050104.</w:t>
      </w:r>
    </w:p>
    <w:p w14:paraId="2F1A1A4B" w14:textId="77777777" w:rsidR="000304C4" w:rsidRDefault="000304C4" w:rsidP="000304C4">
      <w:pPr>
        <w:pStyle w:val="Newparagraph"/>
      </w:pPr>
      <w:r>
        <w:t>Sinclair, Hazel K, and Jennifer A Cleland. 2007. “Undergraduate Medical Students: Who Seek</w:t>
      </w:r>
      <w:r w:rsidR="00934670">
        <w:t>s Formative Feedback?</w:t>
      </w:r>
      <w:r>
        <w:t xml:space="preserve">” </w:t>
      </w:r>
      <w:r w:rsidRPr="00934670">
        <w:rPr>
          <w:i/>
        </w:rPr>
        <w:t>Medical Education</w:t>
      </w:r>
      <w:r w:rsidR="00934670">
        <w:t xml:space="preserve"> 41 (6)</w:t>
      </w:r>
      <w:r>
        <w:t>: 580–582. doi:10.1111/j.1365-2923.2007.02768.x.</w:t>
      </w:r>
    </w:p>
    <w:p w14:paraId="176F7A8D" w14:textId="77777777" w:rsidR="000304C4" w:rsidRDefault="000304C4" w:rsidP="000304C4">
      <w:pPr>
        <w:pStyle w:val="Newparagraph"/>
      </w:pPr>
      <w:r>
        <w:t xml:space="preserve">Still, Brian. 2006. “Talking to Students Embedded Voice Commenting as a Tool for Critiquing Student Writing.” </w:t>
      </w:r>
      <w:r w:rsidRPr="00934670">
        <w:rPr>
          <w:i/>
        </w:rPr>
        <w:t>Journal of Business and Technical Communication</w:t>
      </w:r>
      <w:r>
        <w:t xml:space="preserve"> 20 (4): 460–475.</w:t>
      </w:r>
    </w:p>
    <w:p w14:paraId="2ABD3BC1" w14:textId="77777777" w:rsidR="000304C4" w:rsidRDefault="000304C4" w:rsidP="000304C4">
      <w:pPr>
        <w:pStyle w:val="Newparagraph"/>
      </w:pPr>
      <w:r>
        <w:t xml:space="preserve">Still, Brian, and Amy </w:t>
      </w:r>
      <w:proofErr w:type="spellStart"/>
      <w:r>
        <w:t>Koerber</w:t>
      </w:r>
      <w:proofErr w:type="spellEnd"/>
      <w:r>
        <w:t xml:space="preserve">. 2010. “Listening to Students: a Usability Evaluation of Instructor Commentary.” </w:t>
      </w:r>
      <w:r w:rsidRPr="00934670">
        <w:rPr>
          <w:i/>
        </w:rPr>
        <w:t>Journal of Business and Technical Communicatio</w:t>
      </w:r>
      <w:r>
        <w:t>n 24 (2): 206–233. doi:10.1177/1050651909353304.</w:t>
      </w:r>
    </w:p>
    <w:p w14:paraId="38AA2E5C" w14:textId="77777777" w:rsidR="000304C4" w:rsidRDefault="000304C4" w:rsidP="000304C4">
      <w:pPr>
        <w:pStyle w:val="Newparagraph"/>
      </w:pPr>
      <w:proofErr w:type="spellStart"/>
      <w:r>
        <w:t>Warnakulasooriya</w:t>
      </w:r>
      <w:proofErr w:type="spellEnd"/>
      <w:r>
        <w:t xml:space="preserve">, </w:t>
      </w:r>
      <w:proofErr w:type="spellStart"/>
      <w:r>
        <w:t>Rasil</w:t>
      </w:r>
      <w:proofErr w:type="spellEnd"/>
      <w:r>
        <w:t xml:space="preserve">, David J Palazzo, and David E Pritchard. 2007. “Time to Completion of Web-Based Physics Problems with Tutoring.” </w:t>
      </w:r>
      <w:r w:rsidRPr="00934670">
        <w:rPr>
          <w:i/>
        </w:rPr>
        <w:t xml:space="preserve">Journal of the Experimental Analysis of </w:t>
      </w:r>
      <w:proofErr w:type="spellStart"/>
      <w:r w:rsidRPr="00934670">
        <w:rPr>
          <w:i/>
        </w:rPr>
        <w:t>Behavior</w:t>
      </w:r>
      <w:proofErr w:type="spellEnd"/>
      <w:r>
        <w:t xml:space="preserve"> 88 (1): 103–113. doi:10.1901/jeab.2007.70-06.</w:t>
      </w:r>
    </w:p>
    <w:p w14:paraId="73C151B1" w14:textId="77777777" w:rsidR="000304C4" w:rsidRDefault="000304C4" w:rsidP="000304C4">
      <w:pPr>
        <w:pStyle w:val="Newparagraph"/>
      </w:pPr>
      <w:r>
        <w:t xml:space="preserve">West, John, and Will Turner. 2015. “Enhancing the Assessment Experience: Improving Student Perceptions, Engagement and Understanding Using Online Video Feedback.” </w:t>
      </w:r>
      <w:r w:rsidRPr="00934670">
        <w:rPr>
          <w:i/>
        </w:rPr>
        <w:t>Innovations in Education and Teaching International</w:t>
      </w:r>
      <w:r>
        <w:t xml:space="preserve">. </w:t>
      </w:r>
      <w:r w:rsidR="00934670">
        <w:t>(ahead-of-print):</w:t>
      </w:r>
      <w:r>
        <w:t xml:space="preserve"> 1–11. doi:10.1080/14703297.2014.1003954.</w:t>
      </w:r>
    </w:p>
    <w:p w14:paraId="4EC99505" w14:textId="77777777" w:rsidR="001C4D4D" w:rsidRDefault="001C4D4D">
      <w:pPr>
        <w:spacing w:line="240" w:lineRule="auto"/>
      </w:pPr>
      <w:r>
        <w:br w:type="page"/>
      </w:r>
    </w:p>
    <w:p w14:paraId="2666B6B0" w14:textId="77777777" w:rsidR="001C4D4D" w:rsidRDefault="001C4D4D" w:rsidP="001C4D4D">
      <w:r w:rsidRPr="001C4D4D">
        <w:lastRenderedPageBreak/>
        <w:t>Table 1: Number of assignments processed through the feedback analytics capture system used for the analysis in this study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0"/>
        <w:gridCol w:w="1461"/>
        <w:gridCol w:w="1451"/>
        <w:gridCol w:w="1451"/>
        <w:gridCol w:w="1451"/>
        <w:gridCol w:w="1451"/>
      </w:tblGrid>
      <w:tr w:rsidR="001C4D4D" w:rsidRPr="00734710" w14:paraId="65B88843" w14:textId="77777777" w:rsidTr="00475C1A">
        <w:trPr>
          <w:trHeight w:val="397"/>
        </w:trPr>
        <w:tc>
          <w:tcPr>
            <w:tcW w:w="1474" w:type="dxa"/>
            <w:tcBorders>
              <w:top w:val="single" w:sz="4" w:space="0" w:color="auto"/>
              <w:bottom w:val="single" w:sz="4" w:space="0" w:color="auto"/>
            </w:tcBorders>
            <w:shd w:val="clear" w:color="auto" w:fill="D9D9D9" w:themeFill="background1" w:themeFillShade="D9"/>
            <w:vAlign w:val="bottom"/>
          </w:tcPr>
          <w:p w14:paraId="4D7B378F" w14:textId="77777777" w:rsidR="001C4D4D" w:rsidRPr="00734710" w:rsidRDefault="001C4D4D" w:rsidP="00475C1A">
            <w:r w:rsidRPr="00734710">
              <w:t>Course</w:t>
            </w:r>
          </w:p>
        </w:tc>
        <w:tc>
          <w:tcPr>
            <w:tcW w:w="1474" w:type="dxa"/>
            <w:tcBorders>
              <w:top w:val="single" w:sz="4" w:space="0" w:color="auto"/>
              <w:left w:val="nil"/>
              <w:bottom w:val="single" w:sz="4" w:space="0" w:color="auto"/>
            </w:tcBorders>
            <w:shd w:val="clear" w:color="auto" w:fill="D9D9D9" w:themeFill="background1" w:themeFillShade="D9"/>
            <w:vAlign w:val="bottom"/>
          </w:tcPr>
          <w:p w14:paraId="0B0F3694" w14:textId="77777777" w:rsidR="001C4D4D" w:rsidRPr="00734710" w:rsidRDefault="001C4D4D" w:rsidP="00475C1A">
            <w:r w:rsidRPr="00734710">
              <w:t>Semester</w:t>
            </w:r>
          </w:p>
        </w:tc>
        <w:tc>
          <w:tcPr>
            <w:tcW w:w="1474" w:type="dxa"/>
            <w:tcBorders>
              <w:top w:val="single" w:sz="4" w:space="0" w:color="auto"/>
              <w:bottom w:val="single" w:sz="4" w:space="0" w:color="auto"/>
            </w:tcBorders>
            <w:shd w:val="clear" w:color="auto" w:fill="D9D9D9" w:themeFill="background1" w:themeFillShade="D9"/>
            <w:vAlign w:val="bottom"/>
          </w:tcPr>
          <w:p w14:paraId="61AD8622" w14:textId="77777777" w:rsidR="001C4D4D" w:rsidRPr="00734710" w:rsidRDefault="001C4D4D" w:rsidP="00475C1A">
            <w:r w:rsidRPr="00734710">
              <w:t xml:space="preserve">Report </w:t>
            </w:r>
            <w:r>
              <w:t>0*</w:t>
            </w:r>
          </w:p>
        </w:tc>
        <w:tc>
          <w:tcPr>
            <w:tcW w:w="1474" w:type="dxa"/>
            <w:tcBorders>
              <w:top w:val="single" w:sz="4" w:space="0" w:color="auto"/>
              <w:bottom w:val="single" w:sz="4" w:space="0" w:color="auto"/>
            </w:tcBorders>
            <w:shd w:val="clear" w:color="auto" w:fill="D9D9D9" w:themeFill="background1" w:themeFillShade="D9"/>
            <w:vAlign w:val="bottom"/>
          </w:tcPr>
          <w:p w14:paraId="58FFB34C" w14:textId="77777777" w:rsidR="001C4D4D" w:rsidRPr="00734710" w:rsidRDefault="001C4D4D" w:rsidP="00475C1A">
            <w:r w:rsidRPr="00734710">
              <w:t xml:space="preserve">Report </w:t>
            </w:r>
            <w:r>
              <w:t>1</w:t>
            </w:r>
          </w:p>
        </w:tc>
        <w:tc>
          <w:tcPr>
            <w:tcW w:w="1474" w:type="dxa"/>
            <w:tcBorders>
              <w:top w:val="single" w:sz="4" w:space="0" w:color="auto"/>
              <w:bottom w:val="single" w:sz="4" w:space="0" w:color="auto"/>
            </w:tcBorders>
            <w:shd w:val="clear" w:color="auto" w:fill="D9D9D9" w:themeFill="background1" w:themeFillShade="D9"/>
            <w:vAlign w:val="bottom"/>
          </w:tcPr>
          <w:p w14:paraId="648E487E" w14:textId="77777777" w:rsidR="001C4D4D" w:rsidRPr="00734710" w:rsidRDefault="001C4D4D" w:rsidP="00475C1A">
            <w:r w:rsidRPr="00734710">
              <w:t xml:space="preserve">Report </w:t>
            </w:r>
            <w:r>
              <w:t>2</w:t>
            </w:r>
          </w:p>
        </w:tc>
        <w:tc>
          <w:tcPr>
            <w:tcW w:w="1474" w:type="dxa"/>
            <w:tcBorders>
              <w:top w:val="single" w:sz="4" w:space="0" w:color="auto"/>
              <w:bottom w:val="single" w:sz="4" w:space="0" w:color="auto"/>
            </w:tcBorders>
            <w:shd w:val="clear" w:color="auto" w:fill="D9D9D9" w:themeFill="background1" w:themeFillShade="D9"/>
            <w:vAlign w:val="bottom"/>
          </w:tcPr>
          <w:p w14:paraId="417FFA77" w14:textId="77777777" w:rsidR="001C4D4D" w:rsidRPr="00734710" w:rsidRDefault="001C4D4D" w:rsidP="00475C1A">
            <w:r w:rsidRPr="00734710">
              <w:t xml:space="preserve">Report </w:t>
            </w:r>
            <w:r>
              <w:t>3</w:t>
            </w:r>
          </w:p>
        </w:tc>
      </w:tr>
      <w:tr w:rsidR="001C4D4D" w:rsidRPr="00734710" w14:paraId="2AFBBBF7" w14:textId="77777777" w:rsidTr="00475C1A">
        <w:trPr>
          <w:trHeight w:val="374"/>
        </w:trPr>
        <w:tc>
          <w:tcPr>
            <w:tcW w:w="1474" w:type="dxa"/>
            <w:tcBorders>
              <w:top w:val="single" w:sz="4" w:space="0" w:color="auto"/>
            </w:tcBorders>
            <w:shd w:val="clear" w:color="auto" w:fill="auto"/>
            <w:vAlign w:val="bottom"/>
          </w:tcPr>
          <w:p w14:paraId="735054CB" w14:textId="77777777" w:rsidR="001C4D4D" w:rsidRPr="00734710" w:rsidRDefault="001C4D4D" w:rsidP="00475C1A">
            <w:r w:rsidRPr="00734710">
              <w:t>Level 1</w:t>
            </w:r>
          </w:p>
        </w:tc>
        <w:tc>
          <w:tcPr>
            <w:tcW w:w="1474" w:type="dxa"/>
            <w:tcBorders>
              <w:top w:val="single" w:sz="4" w:space="0" w:color="auto"/>
              <w:left w:val="nil"/>
              <w:bottom w:val="single" w:sz="4" w:space="0" w:color="auto"/>
            </w:tcBorders>
            <w:vAlign w:val="bottom"/>
          </w:tcPr>
          <w:p w14:paraId="6BD1E382" w14:textId="77777777" w:rsidR="001C4D4D" w:rsidRPr="00734710" w:rsidRDefault="001C4D4D" w:rsidP="00475C1A">
            <w:r w:rsidRPr="00734710">
              <w:t>1</w:t>
            </w:r>
          </w:p>
        </w:tc>
        <w:tc>
          <w:tcPr>
            <w:tcW w:w="1474" w:type="dxa"/>
            <w:tcBorders>
              <w:top w:val="single" w:sz="4" w:space="0" w:color="auto"/>
              <w:bottom w:val="single" w:sz="4" w:space="0" w:color="auto"/>
            </w:tcBorders>
            <w:vAlign w:val="bottom"/>
          </w:tcPr>
          <w:p w14:paraId="6E11E47D" w14:textId="77777777" w:rsidR="001C4D4D" w:rsidRPr="00734710" w:rsidRDefault="001C4D4D" w:rsidP="00475C1A">
            <w:r w:rsidRPr="00734710">
              <w:t>6</w:t>
            </w:r>
            <w:r>
              <w:t>82</w:t>
            </w:r>
          </w:p>
        </w:tc>
        <w:tc>
          <w:tcPr>
            <w:tcW w:w="1474" w:type="dxa"/>
            <w:tcBorders>
              <w:top w:val="single" w:sz="4" w:space="0" w:color="auto"/>
              <w:bottom w:val="single" w:sz="4" w:space="0" w:color="auto"/>
            </w:tcBorders>
            <w:vAlign w:val="bottom"/>
          </w:tcPr>
          <w:p w14:paraId="3F778FC3" w14:textId="77777777" w:rsidR="001C4D4D" w:rsidRPr="00734710" w:rsidRDefault="001C4D4D" w:rsidP="00475C1A">
            <w:r>
              <w:t>674</w:t>
            </w:r>
          </w:p>
        </w:tc>
        <w:tc>
          <w:tcPr>
            <w:tcW w:w="1474" w:type="dxa"/>
            <w:tcBorders>
              <w:top w:val="single" w:sz="4" w:space="0" w:color="auto"/>
              <w:bottom w:val="single" w:sz="4" w:space="0" w:color="auto"/>
            </w:tcBorders>
            <w:vAlign w:val="bottom"/>
          </w:tcPr>
          <w:p w14:paraId="68D30B85" w14:textId="77777777" w:rsidR="001C4D4D" w:rsidRPr="00734710" w:rsidRDefault="001C4D4D" w:rsidP="00475C1A">
            <w:r>
              <w:t>671</w:t>
            </w:r>
          </w:p>
        </w:tc>
        <w:tc>
          <w:tcPr>
            <w:tcW w:w="1474" w:type="dxa"/>
            <w:tcBorders>
              <w:top w:val="single" w:sz="4" w:space="0" w:color="auto"/>
              <w:bottom w:val="single" w:sz="4" w:space="0" w:color="auto"/>
            </w:tcBorders>
            <w:vAlign w:val="bottom"/>
          </w:tcPr>
          <w:p w14:paraId="036DEBCD" w14:textId="77777777" w:rsidR="001C4D4D" w:rsidRPr="00734710" w:rsidRDefault="001C4D4D" w:rsidP="00475C1A">
            <w:r>
              <w:t>667</w:t>
            </w:r>
          </w:p>
        </w:tc>
      </w:tr>
      <w:tr w:rsidR="001C4D4D" w:rsidRPr="00734710" w14:paraId="42C3017B" w14:textId="77777777" w:rsidTr="00475C1A">
        <w:trPr>
          <w:trHeight w:val="397"/>
        </w:trPr>
        <w:tc>
          <w:tcPr>
            <w:tcW w:w="1474" w:type="dxa"/>
            <w:shd w:val="clear" w:color="auto" w:fill="auto"/>
            <w:vAlign w:val="bottom"/>
          </w:tcPr>
          <w:p w14:paraId="1666B7D1" w14:textId="77777777" w:rsidR="001C4D4D" w:rsidRPr="00734710" w:rsidRDefault="001C4D4D" w:rsidP="00475C1A"/>
        </w:tc>
        <w:tc>
          <w:tcPr>
            <w:tcW w:w="1474" w:type="dxa"/>
            <w:tcBorders>
              <w:top w:val="single" w:sz="4" w:space="0" w:color="auto"/>
              <w:left w:val="nil"/>
            </w:tcBorders>
            <w:vAlign w:val="bottom"/>
          </w:tcPr>
          <w:p w14:paraId="7DA69288" w14:textId="77777777" w:rsidR="001C4D4D" w:rsidRPr="00734710" w:rsidRDefault="001C4D4D" w:rsidP="00475C1A">
            <w:r w:rsidRPr="00734710">
              <w:t>2</w:t>
            </w:r>
          </w:p>
        </w:tc>
        <w:tc>
          <w:tcPr>
            <w:tcW w:w="1474" w:type="dxa"/>
            <w:tcBorders>
              <w:top w:val="single" w:sz="4" w:space="0" w:color="auto"/>
            </w:tcBorders>
            <w:vAlign w:val="bottom"/>
          </w:tcPr>
          <w:p w14:paraId="7A5061CA" w14:textId="77777777" w:rsidR="001C4D4D" w:rsidRPr="00734710" w:rsidRDefault="001C4D4D" w:rsidP="00475C1A"/>
        </w:tc>
        <w:tc>
          <w:tcPr>
            <w:tcW w:w="1474" w:type="dxa"/>
            <w:tcBorders>
              <w:top w:val="single" w:sz="4" w:space="0" w:color="auto"/>
            </w:tcBorders>
            <w:vAlign w:val="bottom"/>
          </w:tcPr>
          <w:p w14:paraId="78C48248" w14:textId="77777777" w:rsidR="001C4D4D" w:rsidRPr="00734710" w:rsidRDefault="001C4D4D" w:rsidP="00475C1A">
            <w:r>
              <w:t>897</w:t>
            </w:r>
          </w:p>
        </w:tc>
        <w:tc>
          <w:tcPr>
            <w:tcW w:w="1474" w:type="dxa"/>
            <w:tcBorders>
              <w:top w:val="single" w:sz="4" w:space="0" w:color="auto"/>
            </w:tcBorders>
            <w:vAlign w:val="bottom"/>
          </w:tcPr>
          <w:p w14:paraId="25C706C2" w14:textId="77777777" w:rsidR="001C4D4D" w:rsidRPr="00734710" w:rsidRDefault="001C4D4D" w:rsidP="00475C1A">
            <w:r w:rsidRPr="00734710">
              <w:t>8</w:t>
            </w:r>
            <w:r>
              <w:t>70</w:t>
            </w:r>
          </w:p>
        </w:tc>
        <w:tc>
          <w:tcPr>
            <w:tcW w:w="1474" w:type="dxa"/>
            <w:tcBorders>
              <w:top w:val="single" w:sz="4" w:space="0" w:color="auto"/>
            </w:tcBorders>
            <w:vAlign w:val="bottom"/>
          </w:tcPr>
          <w:p w14:paraId="5F5B0B07" w14:textId="77777777" w:rsidR="001C4D4D" w:rsidRPr="00734710" w:rsidRDefault="001C4D4D" w:rsidP="00475C1A">
            <w:r>
              <w:t>854</w:t>
            </w:r>
          </w:p>
        </w:tc>
      </w:tr>
      <w:tr w:rsidR="001C4D4D" w:rsidRPr="00734710" w14:paraId="4FAC8A9C" w14:textId="77777777" w:rsidTr="00475C1A">
        <w:trPr>
          <w:trHeight w:val="397"/>
        </w:trPr>
        <w:tc>
          <w:tcPr>
            <w:tcW w:w="1474" w:type="dxa"/>
            <w:tcBorders>
              <w:top w:val="single" w:sz="4" w:space="0" w:color="auto"/>
            </w:tcBorders>
            <w:shd w:val="clear" w:color="auto" w:fill="auto"/>
            <w:vAlign w:val="bottom"/>
          </w:tcPr>
          <w:p w14:paraId="4E1CA1C7" w14:textId="77777777" w:rsidR="001C4D4D" w:rsidRPr="00734710" w:rsidRDefault="001C4D4D" w:rsidP="00475C1A">
            <w:r w:rsidRPr="00734710">
              <w:t>Level 2</w:t>
            </w:r>
          </w:p>
        </w:tc>
        <w:tc>
          <w:tcPr>
            <w:tcW w:w="1474" w:type="dxa"/>
            <w:tcBorders>
              <w:top w:val="single" w:sz="4" w:space="0" w:color="auto"/>
              <w:left w:val="nil"/>
              <w:bottom w:val="single" w:sz="4" w:space="0" w:color="auto"/>
            </w:tcBorders>
            <w:vAlign w:val="bottom"/>
          </w:tcPr>
          <w:p w14:paraId="3B771DD2" w14:textId="77777777" w:rsidR="001C4D4D" w:rsidRPr="00734710" w:rsidRDefault="001C4D4D" w:rsidP="00475C1A">
            <w:r w:rsidRPr="00734710">
              <w:t>1</w:t>
            </w:r>
          </w:p>
        </w:tc>
        <w:tc>
          <w:tcPr>
            <w:tcW w:w="1474" w:type="dxa"/>
            <w:tcBorders>
              <w:top w:val="single" w:sz="4" w:space="0" w:color="auto"/>
              <w:bottom w:val="single" w:sz="4" w:space="0" w:color="auto"/>
            </w:tcBorders>
            <w:vAlign w:val="bottom"/>
          </w:tcPr>
          <w:p w14:paraId="63BFC28D" w14:textId="77777777" w:rsidR="001C4D4D" w:rsidRPr="00734710" w:rsidRDefault="001C4D4D" w:rsidP="00475C1A"/>
        </w:tc>
        <w:tc>
          <w:tcPr>
            <w:tcW w:w="1474" w:type="dxa"/>
            <w:tcBorders>
              <w:top w:val="single" w:sz="4" w:space="0" w:color="auto"/>
              <w:bottom w:val="single" w:sz="4" w:space="0" w:color="auto"/>
            </w:tcBorders>
            <w:vAlign w:val="bottom"/>
          </w:tcPr>
          <w:p w14:paraId="4E977D14" w14:textId="77777777" w:rsidR="001C4D4D" w:rsidRPr="00734710" w:rsidRDefault="001C4D4D" w:rsidP="00475C1A">
            <w:r w:rsidRPr="00734710">
              <w:t>2</w:t>
            </w:r>
            <w:r>
              <w:t>39</w:t>
            </w:r>
          </w:p>
        </w:tc>
        <w:tc>
          <w:tcPr>
            <w:tcW w:w="1474" w:type="dxa"/>
            <w:tcBorders>
              <w:top w:val="single" w:sz="4" w:space="0" w:color="auto"/>
              <w:bottom w:val="single" w:sz="4" w:space="0" w:color="auto"/>
            </w:tcBorders>
            <w:vAlign w:val="bottom"/>
          </w:tcPr>
          <w:p w14:paraId="24A64AA6" w14:textId="77777777" w:rsidR="001C4D4D" w:rsidRPr="00734710" w:rsidRDefault="001C4D4D" w:rsidP="00475C1A">
            <w:r w:rsidRPr="00734710">
              <w:t>2</w:t>
            </w:r>
            <w:r>
              <w:t>41</w:t>
            </w:r>
          </w:p>
        </w:tc>
        <w:tc>
          <w:tcPr>
            <w:tcW w:w="1474" w:type="dxa"/>
            <w:tcBorders>
              <w:top w:val="single" w:sz="4" w:space="0" w:color="auto"/>
              <w:bottom w:val="single" w:sz="4" w:space="0" w:color="auto"/>
            </w:tcBorders>
            <w:vAlign w:val="bottom"/>
          </w:tcPr>
          <w:p w14:paraId="1A8A88BD" w14:textId="77777777" w:rsidR="001C4D4D" w:rsidRPr="00734710" w:rsidRDefault="001C4D4D" w:rsidP="00475C1A"/>
        </w:tc>
      </w:tr>
      <w:tr w:rsidR="001C4D4D" w:rsidRPr="00734710" w14:paraId="30D6BDAC" w14:textId="77777777" w:rsidTr="00475C1A">
        <w:trPr>
          <w:trHeight w:val="397"/>
        </w:trPr>
        <w:tc>
          <w:tcPr>
            <w:tcW w:w="1474" w:type="dxa"/>
            <w:shd w:val="clear" w:color="auto" w:fill="auto"/>
            <w:vAlign w:val="bottom"/>
          </w:tcPr>
          <w:p w14:paraId="294E553F" w14:textId="77777777" w:rsidR="001C4D4D" w:rsidRPr="00734710" w:rsidRDefault="001C4D4D" w:rsidP="00475C1A"/>
        </w:tc>
        <w:tc>
          <w:tcPr>
            <w:tcW w:w="1474" w:type="dxa"/>
            <w:tcBorders>
              <w:top w:val="single" w:sz="4" w:space="0" w:color="auto"/>
              <w:left w:val="nil"/>
            </w:tcBorders>
            <w:vAlign w:val="bottom"/>
          </w:tcPr>
          <w:p w14:paraId="3D290BCF" w14:textId="77777777" w:rsidR="001C4D4D" w:rsidRPr="00734710" w:rsidRDefault="001C4D4D" w:rsidP="00475C1A">
            <w:r w:rsidRPr="00734710">
              <w:t>2</w:t>
            </w:r>
          </w:p>
        </w:tc>
        <w:tc>
          <w:tcPr>
            <w:tcW w:w="1474" w:type="dxa"/>
            <w:tcBorders>
              <w:top w:val="single" w:sz="4" w:space="0" w:color="auto"/>
            </w:tcBorders>
            <w:vAlign w:val="bottom"/>
          </w:tcPr>
          <w:p w14:paraId="6AB6C755" w14:textId="77777777" w:rsidR="001C4D4D" w:rsidRPr="00734710" w:rsidRDefault="001C4D4D" w:rsidP="00475C1A"/>
        </w:tc>
        <w:tc>
          <w:tcPr>
            <w:tcW w:w="1474" w:type="dxa"/>
            <w:tcBorders>
              <w:top w:val="single" w:sz="4" w:space="0" w:color="auto"/>
            </w:tcBorders>
            <w:vAlign w:val="bottom"/>
          </w:tcPr>
          <w:p w14:paraId="0109FE7F" w14:textId="77777777" w:rsidR="001C4D4D" w:rsidRPr="00734710" w:rsidRDefault="001C4D4D" w:rsidP="00475C1A">
            <w:r w:rsidRPr="00734710">
              <w:t>8</w:t>
            </w:r>
            <w:r>
              <w:t>5</w:t>
            </w:r>
          </w:p>
        </w:tc>
        <w:tc>
          <w:tcPr>
            <w:tcW w:w="1474" w:type="dxa"/>
            <w:tcBorders>
              <w:top w:val="single" w:sz="4" w:space="0" w:color="auto"/>
            </w:tcBorders>
            <w:vAlign w:val="bottom"/>
          </w:tcPr>
          <w:p w14:paraId="7774EFDA" w14:textId="77777777" w:rsidR="001C4D4D" w:rsidRPr="00734710" w:rsidRDefault="001C4D4D" w:rsidP="00475C1A">
            <w:r w:rsidRPr="00734710">
              <w:t>80</w:t>
            </w:r>
          </w:p>
        </w:tc>
        <w:tc>
          <w:tcPr>
            <w:tcW w:w="1474" w:type="dxa"/>
            <w:tcBorders>
              <w:top w:val="single" w:sz="4" w:space="0" w:color="auto"/>
            </w:tcBorders>
            <w:vAlign w:val="bottom"/>
          </w:tcPr>
          <w:p w14:paraId="5C22745B" w14:textId="77777777" w:rsidR="001C4D4D" w:rsidRPr="00734710" w:rsidRDefault="001C4D4D" w:rsidP="00475C1A"/>
        </w:tc>
      </w:tr>
      <w:tr w:rsidR="001C4D4D" w:rsidRPr="00734710" w14:paraId="77BB7C7C" w14:textId="77777777" w:rsidTr="00475C1A">
        <w:trPr>
          <w:trHeight w:val="397"/>
        </w:trPr>
        <w:tc>
          <w:tcPr>
            <w:tcW w:w="1474" w:type="dxa"/>
            <w:tcBorders>
              <w:top w:val="single" w:sz="4" w:space="0" w:color="auto"/>
              <w:bottom w:val="single" w:sz="4" w:space="0" w:color="auto"/>
            </w:tcBorders>
            <w:shd w:val="clear" w:color="auto" w:fill="auto"/>
            <w:vAlign w:val="bottom"/>
          </w:tcPr>
          <w:p w14:paraId="39373791" w14:textId="77777777" w:rsidR="001C4D4D" w:rsidRPr="00734710" w:rsidRDefault="001C4D4D" w:rsidP="00475C1A">
            <w:r w:rsidRPr="00734710">
              <w:t>Total</w:t>
            </w:r>
          </w:p>
        </w:tc>
        <w:tc>
          <w:tcPr>
            <w:tcW w:w="1474" w:type="dxa"/>
            <w:tcBorders>
              <w:top w:val="single" w:sz="4" w:space="0" w:color="auto"/>
              <w:left w:val="nil"/>
              <w:bottom w:val="single" w:sz="4" w:space="0" w:color="auto"/>
            </w:tcBorders>
            <w:shd w:val="clear" w:color="auto" w:fill="auto"/>
            <w:vAlign w:val="bottom"/>
          </w:tcPr>
          <w:p w14:paraId="165B857A" w14:textId="77777777" w:rsidR="001C4D4D" w:rsidRPr="00734710" w:rsidRDefault="001C4D4D" w:rsidP="00475C1A"/>
        </w:tc>
        <w:tc>
          <w:tcPr>
            <w:tcW w:w="1474" w:type="dxa"/>
            <w:tcBorders>
              <w:top w:val="single" w:sz="4" w:space="0" w:color="auto"/>
              <w:bottom w:val="single" w:sz="4" w:space="0" w:color="auto"/>
            </w:tcBorders>
            <w:shd w:val="clear" w:color="auto" w:fill="auto"/>
            <w:vAlign w:val="bottom"/>
          </w:tcPr>
          <w:p w14:paraId="501C5DF4" w14:textId="77777777" w:rsidR="001C4D4D" w:rsidRPr="00734710" w:rsidRDefault="001C4D4D" w:rsidP="00475C1A">
            <w:r>
              <w:t>682</w:t>
            </w:r>
          </w:p>
        </w:tc>
        <w:tc>
          <w:tcPr>
            <w:tcW w:w="1474" w:type="dxa"/>
            <w:tcBorders>
              <w:top w:val="single" w:sz="4" w:space="0" w:color="auto"/>
              <w:bottom w:val="single" w:sz="4" w:space="0" w:color="auto"/>
            </w:tcBorders>
            <w:shd w:val="clear" w:color="auto" w:fill="auto"/>
            <w:vAlign w:val="bottom"/>
          </w:tcPr>
          <w:p w14:paraId="6B4D422A" w14:textId="77777777" w:rsidR="001C4D4D" w:rsidRPr="00734710" w:rsidRDefault="001C4D4D" w:rsidP="00475C1A">
            <w:r>
              <w:rPr>
                <w:color w:val="000000"/>
              </w:rPr>
              <w:t>1895</w:t>
            </w:r>
          </w:p>
        </w:tc>
        <w:tc>
          <w:tcPr>
            <w:tcW w:w="1474" w:type="dxa"/>
            <w:tcBorders>
              <w:top w:val="single" w:sz="4" w:space="0" w:color="auto"/>
              <w:bottom w:val="single" w:sz="4" w:space="0" w:color="auto"/>
            </w:tcBorders>
            <w:shd w:val="clear" w:color="auto" w:fill="auto"/>
            <w:vAlign w:val="bottom"/>
          </w:tcPr>
          <w:p w14:paraId="0DF02E03" w14:textId="77777777" w:rsidR="001C4D4D" w:rsidRPr="00734710" w:rsidRDefault="001C4D4D" w:rsidP="00475C1A">
            <w:r>
              <w:rPr>
                <w:color w:val="000000"/>
              </w:rPr>
              <w:t>1862</w:t>
            </w:r>
          </w:p>
        </w:tc>
        <w:tc>
          <w:tcPr>
            <w:tcW w:w="1474" w:type="dxa"/>
            <w:tcBorders>
              <w:top w:val="single" w:sz="4" w:space="0" w:color="auto"/>
              <w:bottom w:val="single" w:sz="4" w:space="0" w:color="auto"/>
            </w:tcBorders>
            <w:shd w:val="clear" w:color="auto" w:fill="auto"/>
            <w:vAlign w:val="bottom"/>
          </w:tcPr>
          <w:p w14:paraId="5221DA2B" w14:textId="77777777" w:rsidR="001C4D4D" w:rsidRPr="00734710" w:rsidRDefault="001C4D4D" w:rsidP="00475C1A">
            <w:r>
              <w:rPr>
                <w:color w:val="000000"/>
              </w:rPr>
              <w:t>1521</w:t>
            </w:r>
          </w:p>
        </w:tc>
      </w:tr>
    </w:tbl>
    <w:p w14:paraId="6EA38B38" w14:textId="77777777" w:rsidR="001C4D4D" w:rsidRDefault="001C4D4D" w:rsidP="001C4D4D">
      <w:r>
        <w:t>* Report 0 is a formative task that was only offered in the Level 1, Semester 1 course.</w:t>
      </w:r>
    </w:p>
    <w:p w14:paraId="1320CC06" w14:textId="77777777" w:rsidR="001C4D4D" w:rsidRPr="001C4D4D" w:rsidRDefault="001C4D4D" w:rsidP="001C4D4D"/>
    <w:p w14:paraId="6C3FAC36" w14:textId="77777777" w:rsidR="001C4D4D" w:rsidRDefault="001C4D4D">
      <w:pPr>
        <w:spacing w:line="240" w:lineRule="auto"/>
      </w:pPr>
      <w:r>
        <w:br w:type="page"/>
      </w:r>
    </w:p>
    <w:p w14:paraId="61BE8FFF" w14:textId="77777777" w:rsidR="000304C4" w:rsidRDefault="004E56A8" w:rsidP="0080308E">
      <w:pPr>
        <w:pStyle w:val="Figurecaption"/>
      </w:pPr>
      <w:r>
        <w:lastRenderedPageBreak/>
        <w:t xml:space="preserve">Figure 1. </w:t>
      </w:r>
      <w:r w:rsidR="000304C4" w:rsidRPr="000304C4">
        <w:t xml:space="preserve">A) Administration Interface B) iPad library of submissions available for marking or uploading; C) iPad feedback view, with examples of each type of annotation embedded; D) Feedback viewer showing annotated document. </w:t>
      </w:r>
    </w:p>
    <w:p w14:paraId="66A7178E" w14:textId="77777777" w:rsidR="000304C4" w:rsidRDefault="000304C4" w:rsidP="000304C4">
      <w:pPr>
        <w:pStyle w:val="Figurecaption"/>
      </w:pPr>
      <w:r w:rsidRPr="000304C4">
        <w:t xml:space="preserve">Figure 2: Number of audio and typed annotations for level 1 course (Report 0: n=681, Report 1: n=1559, Report 2: n=1535, Report 3: n=1516 and for the level 2 course (Report 1: n=299, Report 2: n=295). Shown is the A) Mean+/-SEM number of audio annotations per report across two semesters of level 1 and 2 subjects; B) Mean+/-SEM number of typed annotations per report across two semesters of level 1 and 2 subjects. * indicates a significant difference in the number of annotations between first and second year reports (p&lt;0.05). </w:t>
      </w:r>
    </w:p>
    <w:p w14:paraId="333F8E55" w14:textId="77777777" w:rsidR="000304C4" w:rsidRDefault="000304C4" w:rsidP="000304C4">
      <w:pPr>
        <w:pStyle w:val="Figurecaption"/>
      </w:pPr>
      <w:r>
        <w:t xml:space="preserve">Figure 3: Number of words provided in audio and typed feedback for level 1 course (Report 0: n=681, Report 1: n=1559, Report 2: n=1535, Report 3: n=1516 and for the level 2 course (Report 1: n=299, Report 2: n=295). Shown is the A) Mean+/-SEM number of words in audio annotations in reports across two semesters and levels; B) Mean+/-SEM number of words in typed annotations in reports across two semesters and two levels. * indicates a significant difference in the length of annotations between first and second year reports (p&lt;0.05). NB: The y-axis scale for A is 10x the y-axis scale for B. </w:t>
      </w:r>
    </w:p>
    <w:p w14:paraId="2844345D" w14:textId="77777777" w:rsidR="000304C4" w:rsidRDefault="000304C4" w:rsidP="000304C4">
      <w:pPr>
        <w:pStyle w:val="Figurecaption"/>
      </w:pPr>
      <w:r>
        <w:t xml:space="preserve"> Figure 4: Total amount of feedback provided in audio and typed feedback for level 1 course (Report 0: n=681, Report 1: n=1559, Report 2: n=1535, Report 3: n=1516 and for the level 2 course (Report 1: n=299, Report 2: n=295). Shown is the A) Mean+/-SEM number of words in audio annotations in reports across two semesters and levels; B) Mean+/-SEM number of words in typed annotations in reports across two semesters and two levels. * indicates a significant difference in the total amount of feedback between first and second year reports (p&lt;0.05). NB The y-axis scale for A is 10x the y-axis scale for B.</w:t>
      </w:r>
      <w:r w:rsidRPr="000304C4">
        <w:t xml:space="preserve"> </w:t>
      </w:r>
    </w:p>
    <w:p w14:paraId="5B999353" w14:textId="77777777" w:rsidR="000304C4" w:rsidRDefault="000304C4" w:rsidP="000304C4">
      <w:pPr>
        <w:pStyle w:val="Figurecaption"/>
      </w:pPr>
      <w:r w:rsidRPr="000304C4">
        <w:t xml:space="preserve">Figure 5: The proportion of students who looked at their feedback (shown as the proportion of students who received feedback in each cohort). Number of students in each cohort: Level one semester 1: n=682; Level one semester 2: n=897; Level two semester 1: n=239; Level two semester 2: n=85. </w:t>
      </w:r>
    </w:p>
    <w:p w14:paraId="2DB5B231" w14:textId="77777777" w:rsidR="000304C4" w:rsidRDefault="000304C4" w:rsidP="000304C4">
      <w:pPr>
        <w:pStyle w:val="Figurecaption"/>
      </w:pPr>
      <w:r>
        <w:lastRenderedPageBreak/>
        <w:t>Figure 6: The duration students had their report feedback open for the level 1 course (Report 0: n=682, Report 1: n=1571, Report 2: n=1541, Report 3: n=1521) and for the level 2 course (Report 1: n=324, Report 2: n=321). Data are expressed as the mean+/-SEM time for which each report was open, in hours.</w:t>
      </w:r>
    </w:p>
    <w:p w14:paraId="2E81CFE1" w14:textId="77777777" w:rsidR="000304C4" w:rsidRDefault="000304C4" w:rsidP="000304C4">
      <w:pPr>
        <w:pStyle w:val="Figurecaption"/>
      </w:pPr>
      <w:r>
        <w:t>Figure 7: The number of students who had their feedback open for various durations following the level one semester one course A) formative report (Report 0: n=682), and B) final report (Report 3: n=667), and the level two semester one course C) first report (Report 1: n=239), and D) final report (Report 2: n=241). Data are presented as a frequency histogram showing the number of student across the log transformed open duration.</w:t>
      </w:r>
      <w:r w:rsidRPr="000304C4">
        <w:t xml:space="preserve"> </w:t>
      </w:r>
    </w:p>
    <w:p w14:paraId="4510A88E" w14:textId="77777777" w:rsidR="000304C4" w:rsidRDefault="000304C4" w:rsidP="000304C4">
      <w:pPr>
        <w:pStyle w:val="Figurecaption"/>
      </w:pPr>
      <w:r w:rsidRPr="000304C4">
        <w:t xml:space="preserve">Figure 8: Frequency histogram of the duration that students pause between clicks when interacting with feedback for the A) non-final reports (n=3686 reports) and B) final reports (n=1509 reports). Data are expressed as the proportion of pauses students took between clicks, ranging from milliseconds to hours (x scale is log transformed to improve clarity). </w:t>
      </w:r>
    </w:p>
    <w:p w14:paraId="2B1F23CF" w14:textId="77777777" w:rsidR="001C4D4D" w:rsidRDefault="000304C4" w:rsidP="000304C4">
      <w:pPr>
        <w:pStyle w:val="Figurecaption"/>
      </w:pPr>
      <w:r w:rsidRPr="000304C4">
        <w:t>Figure 9: Overall final mark for reports in the level 1 course (Report 0: n=682, Report 1: n=1571, Report 2: n=1541, Report 3: n=1521) and for the level 2 course (Report 1: n=324, Report 2: n=321). Data are expressed as the mean+/-SEM mark that students achieved for each report, as a percentage. * indicates a statistically significant difference in report mark (p&lt;0.05).</w:t>
      </w:r>
      <w:r w:rsidR="001C4D4D" w:rsidRPr="001C4D4D">
        <w:t xml:space="preserve"> </w:t>
      </w:r>
    </w:p>
    <w:p w14:paraId="64AD75F8" w14:textId="77777777" w:rsidR="00FE4713" w:rsidRDefault="001C4D4D" w:rsidP="000304C4">
      <w:pPr>
        <w:pStyle w:val="Figurecaption"/>
      </w:pPr>
      <w:r w:rsidRPr="001C4D4D">
        <w:t>Figure 10: Final marks for reports in the level 1, semester 1 course, with students categorised based on the duration for which they opened their Report 0 feedback into unopened (white bars; n = 57), and short (light blue bars; &lt;1 minute; n = 26), medium (medium blue bars; &gt;1 minute &lt;1 hour; n = 264) and long (dark blue bars; &gt;1 hour; n = 320) open durations. Data are expressed as the mean+/-SEM mark that students achieved for each report, as a percentage. * indicates a statistically significant difference in report mark (p&lt;0.05).</w:t>
      </w:r>
    </w:p>
    <w:p w14:paraId="6D9386A7" w14:textId="77777777" w:rsidR="000304C4" w:rsidRPr="000304C4" w:rsidRDefault="000304C4" w:rsidP="000304C4"/>
    <w:sectPr w:rsidR="000304C4" w:rsidRPr="000304C4" w:rsidSect="006F3DFD">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2AFB19" w14:textId="77777777" w:rsidR="004B69FC" w:rsidRDefault="004B69FC" w:rsidP="00AF2C92">
      <w:r>
        <w:separator/>
      </w:r>
    </w:p>
  </w:endnote>
  <w:endnote w:type="continuationSeparator" w:id="0">
    <w:p w14:paraId="6B2C9013" w14:textId="77777777" w:rsidR="004B69FC" w:rsidRDefault="004B69FC"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60C80D" w14:textId="77777777" w:rsidR="004B69FC" w:rsidRDefault="004B69FC" w:rsidP="00AF2C92">
      <w:r>
        <w:separator/>
      </w:r>
    </w:p>
  </w:footnote>
  <w:footnote w:type="continuationSeparator" w:id="0">
    <w:p w14:paraId="2324F8DC" w14:textId="77777777" w:rsidR="004B69FC" w:rsidRDefault="004B69FC" w:rsidP="00AF2C9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54AB6CC"/>
    <w:lvl w:ilvl="0">
      <w:start w:val="1"/>
      <w:numFmt w:val="decimal"/>
      <w:lvlText w:val="%1."/>
      <w:lvlJc w:val="left"/>
      <w:pPr>
        <w:tabs>
          <w:tab w:val="num" w:pos="1492"/>
        </w:tabs>
        <w:ind w:left="1492" w:hanging="360"/>
      </w:pPr>
    </w:lvl>
  </w:abstractNum>
  <w:abstractNum w:abstractNumId="2">
    <w:nsid w:val="FFFFFF7D"/>
    <w:multiLevelType w:val="singleLevel"/>
    <w:tmpl w:val="DD022EAE"/>
    <w:lvl w:ilvl="0">
      <w:start w:val="1"/>
      <w:numFmt w:val="decimal"/>
      <w:lvlText w:val="%1."/>
      <w:lvlJc w:val="left"/>
      <w:pPr>
        <w:tabs>
          <w:tab w:val="num" w:pos="1209"/>
        </w:tabs>
        <w:ind w:left="1209" w:hanging="360"/>
      </w:pPr>
    </w:lvl>
  </w:abstractNum>
  <w:abstractNum w:abstractNumId="3">
    <w:nsid w:val="FFFFFF7E"/>
    <w:multiLevelType w:val="singleLevel"/>
    <w:tmpl w:val="2E3626A4"/>
    <w:lvl w:ilvl="0">
      <w:start w:val="1"/>
      <w:numFmt w:val="decimal"/>
      <w:lvlText w:val="%1."/>
      <w:lvlJc w:val="left"/>
      <w:pPr>
        <w:tabs>
          <w:tab w:val="num" w:pos="926"/>
        </w:tabs>
        <w:ind w:left="926" w:hanging="360"/>
      </w:pPr>
    </w:lvl>
  </w:abstractNum>
  <w:abstractNum w:abstractNumId="4">
    <w:nsid w:val="FFFFFF7F"/>
    <w:multiLevelType w:val="singleLevel"/>
    <w:tmpl w:val="ECD2D830"/>
    <w:lvl w:ilvl="0">
      <w:start w:val="1"/>
      <w:numFmt w:val="decimal"/>
      <w:lvlText w:val="%1."/>
      <w:lvlJc w:val="left"/>
      <w:pPr>
        <w:tabs>
          <w:tab w:val="num" w:pos="643"/>
        </w:tabs>
        <w:ind w:left="643" w:hanging="360"/>
      </w:pPr>
    </w:lvl>
  </w:abstractNum>
  <w:abstractNum w:abstractNumId="5">
    <w:nsid w:val="FFFFFF80"/>
    <w:multiLevelType w:val="singleLevel"/>
    <w:tmpl w:val="227402F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85865B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46689D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F80B21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977869E6"/>
    <w:lvl w:ilvl="0">
      <w:start w:val="1"/>
      <w:numFmt w:val="decimal"/>
      <w:lvlText w:val="%1."/>
      <w:lvlJc w:val="left"/>
      <w:pPr>
        <w:tabs>
          <w:tab w:val="num" w:pos="360"/>
        </w:tabs>
        <w:ind w:left="360" w:hanging="360"/>
      </w:pPr>
    </w:lvl>
  </w:abstractNum>
  <w:abstractNum w:abstractNumId="10">
    <w:nsid w:val="FFFFFF89"/>
    <w:multiLevelType w:val="singleLevel"/>
    <w:tmpl w:val="605E9420"/>
    <w:lvl w:ilvl="0">
      <w:start w:val="1"/>
      <w:numFmt w:val="bullet"/>
      <w:lvlText w:val=""/>
      <w:lvlJc w:val="left"/>
      <w:pPr>
        <w:tabs>
          <w:tab w:val="num" w:pos="360"/>
        </w:tabs>
        <w:ind w:left="360" w:hanging="360"/>
      </w:pPr>
      <w:rPr>
        <w:rFonts w:ascii="Symbol" w:hAnsi="Symbol" w:hint="default"/>
      </w:rPr>
    </w:lvl>
  </w:abstractNum>
  <w:abstractNum w:abstractNumId="11">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20"/>
  </w:num>
  <w:num w:numId="21">
    <w:abstractNumId w:val="20"/>
  </w:num>
  <w:num w:numId="22">
    <w:abstractNumId w:val="20"/>
  </w:num>
  <w:num w:numId="23">
    <w:abstractNumId w:val="20"/>
  </w:num>
  <w:num w:numId="24">
    <w:abstractNumId w:val="17"/>
  </w:num>
  <w:num w:numId="25">
    <w:abstractNumId w:val="18"/>
  </w:num>
  <w:num w:numId="26">
    <w:abstractNumId w:val="21"/>
  </w:num>
  <w:num w:numId="27">
    <w:abstractNumId w:val="22"/>
  </w:num>
  <w:num w:numId="28">
    <w:abstractNumId w:val="20"/>
  </w:num>
  <w:num w:numId="29">
    <w:abstractNumId w:val="1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A11"/>
    <w:rsid w:val="00001899"/>
    <w:rsid w:val="000041D6"/>
    <w:rsid w:val="000049AD"/>
    <w:rsid w:val="00006511"/>
    <w:rsid w:val="000133C0"/>
    <w:rsid w:val="00014C4E"/>
    <w:rsid w:val="00017107"/>
    <w:rsid w:val="000202E2"/>
    <w:rsid w:val="00022441"/>
    <w:rsid w:val="0002261E"/>
    <w:rsid w:val="00024839"/>
    <w:rsid w:val="00026871"/>
    <w:rsid w:val="000304C4"/>
    <w:rsid w:val="00037A98"/>
    <w:rsid w:val="000404AD"/>
    <w:rsid w:val="000427FB"/>
    <w:rsid w:val="0004455E"/>
    <w:rsid w:val="00047CB5"/>
    <w:rsid w:val="00051FAA"/>
    <w:rsid w:val="000572A9"/>
    <w:rsid w:val="00061325"/>
    <w:rsid w:val="000733AC"/>
    <w:rsid w:val="00074D22"/>
    <w:rsid w:val="00075081"/>
    <w:rsid w:val="0007528A"/>
    <w:rsid w:val="000811AB"/>
    <w:rsid w:val="00083C5F"/>
    <w:rsid w:val="0009172C"/>
    <w:rsid w:val="000930EC"/>
    <w:rsid w:val="00095E61"/>
    <w:rsid w:val="000966C1"/>
    <w:rsid w:val="000970AC"/>
    <w:rsid w:val="000A1167"/>
    <w:rsid w:val="000A4428"/>
    <w:rsid w:val="000A6D40"/>
    <w:rsid w:val="000A7BC3"/>
    <w:rsid w:val="000B1661"/>
    <w:rsid w:val="000B2E88"/>
    <w:rsid w:val="000B4603"/>
    <w:rsid w:val="000C09BE"/>
    <w:rsid w:val="000C1380"/>
    <w:rsid w:val="000C554F"/>
    <w:rsid w:val="000D0DC5"/>
    <w:rsid w:val="000D15FF"/>
    <w:rsid w:val="000D28DF"/>
    <w:rsid w:val="000D488B"/>
    <w:rsid w:val="000D68DF"/>
    <w:rsid w:val="000E138D"/>
    <w:rsid w:val="000E187A"/>
    <w:rsid w:val="000E2D61"/>
    <w:rsid w:val="000E450E"/>
    <w:rsid w:val="000E6259"/>
    <w:rsid w:val="000F4677"/>
    <w:rsid w:val="000F5BE0"/>
    <w:rsid w:val="00100587"/>
    <w:rsid w:val="0010284E"/>
    <w:rsid w:val="00103122"/>
    <w:rsid w:val="0010336A"/>
    <w:rsid w:val="001050F1"/>
    <w:rsid w:val="00105AEA"/>
    <w:rsid w:val="00106DAF"/>
    <w:rsid w:val="001125B2"/>
    <w:rsid w:val="00116023"/>
    <w:rsid w:val="00134A51"/>
    <w:rsid w:val="00140727"/>
    <w:rsid w:val="00160628"/>
    <w:rsid w:val="00161344"/>
    <w:rsid w:val="00162195"/>
    <w:rsid w:val="0016322A"/>
    <w:rsid w:val="00165A21"/>
    <w:rsid w:val="0016702F"/>
    <w:rsid w:val="001705CE"/>
    <w:rsid w:val="00177060"/>
    <w:rsid w:val="0017714B"/>
    <w:rsid w:val="001804DF"/>
    <w:rsid w:val="00181BDC"/>
    <w:rsid w:val="00181DB0"/>
    <w:rsid w:val="001829E3"/>
    <w:rsid w:val="00196963"/>
    <w:rsid w:val="0019731E"/>
    <w:rsid w:val="001A09FE"/>
    <w:rsid w:val="001A67C9"/>
    <w:rsid w:val="001A69DE"/>
    <w:rsid w:val="001B1C7C"/>
    <w:rsid w:val="001B398F"/>
    <w:rsid w:val="001B3FEA"/>
    <w:rsid w:val="001B46C6"/>
    <w:rsid w:val="001B4B48"/>
    <w:rsid w:val="001B4D1F"/>
    <w:rsid w:val="001B7681"/>
    <w:rsid w:val="001B7CAE"/>
    <w:rsid w:val="001C0772"/>
    <w:rsid w:val="001C0D4F"/>
    <w:rsid w:val="001C1DEC"/>
    <w:rsid w:val="001C4D4D"/>
    <w:rsid w:val="001C5736"/>
    <w:rsid w:val="001C620B"/>
    <w:rsid w:val="001D4A49"/>
    <w:rsid w:val="001E0572"/>
    <w:rsid w:val="001E0A67"/>
    <w:rsid w:val="001E1028"/>
    <w:rsid w:val="001E14E2"/>
    <w:rsid w:val="001E6302"/>
    <w:rsid w:val="001E7DCB"/>
    <w:rsid w:val="001F3411"/>
    <w:rsid w:val="001F4287"/>
    <w:rsid w:val="001F4DBA"/>
    <w:rsid w:val="0020415E"/>
    <w:rsid w:val="002045CB"/>
    <w:rsid w:val="00204FF4"/>
    <w:rsid w:val="0021056E"/>
    <w:rsid w:val="0021075D"/>
    <w:rsid w:val="0021165A"/>
    <w:rsid w:val="00211BC9"/>
    <w:rsid w:val="0021620C"/>
    <w:rsid w:val="00216E78"/>
    <w:rsid w:val="00217275"/>
    <w:rsid w:val="00231BB0"/>
    <w:rsid w:val="00236F4B"/>
    <w:rsid w:val="00242B0D"/>
    <w:rsid w:val="002467C6"/>
    <w:rsid w:val="0024692A"/>
    <w:rsid w:val="00252BBA"/>
    <w:rsid w:val="00252DC3"/>
    <w:rsid w:val="00253123"/>
    <w:rsid w:val="00264001"/>
    <w:rsid w:val="00266354"/>
    <w:rsid w:val="00267A18"/>
    <w:rsid w:val="00273462"/>
    <w:rsid w:val="0027395B"/>
    <w:rsid w:val="00275854"/>
    <w:rsid w:val="00283B41"/>
    <w:rsid w:val="00285F28"/>
    <w:rsid w:val="00286398"/>
    <w:rsid w:val="002A3C42"/>
    <w:rsid w:val="002A5D75"/>
    <w:rsid w:val="002B1B1A"/>
    <w:rsid w:val="002B7228"/>
    <w:rsid w:val="002C53EE"/>
    <w:rsid w:val="002C7127"/>
    <w:rsid w:val="002D24F7"/>
    <w:rsid w:val="002D2799"/>
    <w:rsid w:val="002D2CD7"/>
    <w:rsid w:val="002D4DDC"/>
    <w:rsid w:val="002D4F75"/>
    <w:rsid w:val="002D6493"/>
    <w:rsid w:val="002D7AB6"/>
    <w:rsid w:val="002E06D0"/>
    <w:rsid w:val="002E3C27"/>
    <w:rsid w:val="002E403A"/>
    <w:rsid w:val="002E7F3A"/>
    <w:rsid w:val="002F4EDB"/>
    <w:rsid w:val="002F6054"/>
    <w:rsid w:val="00307993"/>
    <w:rsid w:val="00314068"/>
    <w:rsid w:val="00315713"/>
    <w:rsid w:val="0031686C"/>
    <w:rsid w:val="00316FE0"/>
    <w:rsid w:val="003204D2"/>
    <w:rsid w:val="00321506"/>
    <w:rsid w:val="0032605E"/>
    <w:rsid w:val="003275D1"/>
    <w:rsid w:val="00330B2A"/>
    <w:rsid w:val="00331E17"/>
    <w:rsid w:val="00333063"/>
    <w:rsid w:val="003408E3"/>
    <w:rsid w:val="00343480"/>
    <w:rsid w:val="00344529"/>
    <w:rsid w:val="00345E89"/>
    <w:rsid w:val="003522A1"/>
    <w:rsid w:val="0035254B"/>
    <w:rsid w:val="00353555"/>
    <w:rsid w:val="003565D4"/>
    <w:rsid w:val="003607FB"/>
    <w:rsid w:val="00360FD5"/>
    <w:rsid w:val="003634A5"/>
    <w:rsid w:val="003638D4"/>
    <w:rsid w:val="00365282"/>
    <w:rsid w:val="00366868"/>
    <w:rsid w:val="00367506"/>
    <w:rsid w:val="00370085"/>
    <w:rsid w:val="003744A7"/>
    <w:rsid w:val="00376235"/>
    <w:rsid w:val="00381FB6"/>
    <w:rsid w:val="003836D3"/>
    <w:rsid w:val="00383A52"/>
    <w:rsid w:val="00391652"/>
    <w:rsid w:val="0039507F"/>
    <w:rsid w:val="003A1260"/>
    <w:rsid w:val="003A295F"/>
    <w:rsid w:val="003A41DD"/>
    <w:rsid w:val="003A6042"/>
    <w:rsid w:val="003A7033"/>
    <w:rsid w:val="003B47FE"/>
    <w:rsid w:val="003B5673"/>
    <w:rsid w:val="003B62C9"/>
    <w:rsid w:val="003C7176"/>
    <w:rsid w:val="003D0929"/>
    <w:rsid w:val="003D4729"/>
    <w:rsid w:val="003D7DD6"/>
    <w:rsid w:val="003E5AAF"/>
    <w:rsid w:val="003E600D"/>
    <w:rsid w:val="003E64DF"/>
    <w:rsid w:val="003E6A5D"/>
    <w:rsid w:val="003F193A"/>
    <w:rsid w:val="003F4207"/>
    <w:rsid w:val="003F5C46"/>
    <w:rsid w:val="003F7CBB"/>
    <w:rsid w:val="003F7D34"/>
    <w:rsid w:val="00412C8E"/>
    <w:rsid w:val="00414B73"/>
    <w:rsid w:val="0041518D"/>
    <w:rsid w:val="0042221D"/>
    <w:rsid w:val="00424DD3"/>
    <w:rsid w:val="004269C5"/>
    <w:rsid w:val="00431612"/>
    <w:rsid w:val="00435939"/>
    <w:rsid w:val="00437CC7"/>
    <w:rsid w:val="00442B9C"/>
    <w:rsid w:val="0044738A"/>
    <w:rsid w:val="004473D3"/>
    <w:rsid w:val="00452231"/>
    <w:rsid w:val="00460C13"/>
    <w:rsid w:val="00463228"/>
    <w:rsid w:val="00463782"/>
    <w:rsid w:val="004667E0"/>
    <w:rsid w:val="0046760E"/>
    <w:rsid w:val="00470E10"/>
    <w:rsid w:val="00473368"/>
    <w:rsid w:val="00475C1A"/>
    <w:rsid w:val="00477A97"/>
    <w:rsid w:val="00481343"/>
    <w:rsid w:val="00483796"/>
    <w:rsid w:val="0048549E"/>
    <w:rsid w:val="00490370"/>
    <w:rsid w:val="0049058B"/>
    <w:rsid w:val="00493347"/>
    <w:rsid w:val="00496092"/>
    <w:rsid w:val="004A08DB"/>
    <w:rsid w:val="004A25D0"/>
    <w:rsid w:val="004A37E8"/>
    <w:rsid w:val="004A7549"/>
    <w:rsid w:val="004B09D4"/>
    <w:rsid w:val="004B2BDB"/>
    <w:rsid w:val="004B330A"/>
    <w:rsid w:val="004B69FC"/>
    <w:rsid w:val="004B7C8E"/>
    <w:rsid w:val="004D0EDC"/>
    <w:rsid w:val="004D1220"/>
    <w:rsid w:val="004D14B3"/>
    <w:rsid w:val="004D1529"/>
    <w:rsid w:val="004D2253"/>
    <w:rsid w:val="004D28B5"/>
    <w:rsid w:val="004D5514"/>
    <w:rsid w:val="004D56C3"/>
    <w:rsid w:val="004E0338"/>
    <w:rsid w:val="004E4FF3"/>
    <w:rsid w:val="004E56A8"/>
    <w:rsid w:val="004E79B4"/>
    <w:rsid w:val="004F29D9"/>
    <w:rsid w:val="004F3B55"/>
    <w:rsid w:val="004F4CB1"/>
    <w:rsid w:val="004F4E46"/>
    <w:rsid w:val="004F6B7D"/>
    <w:rsid w:val="005015F6"/>
    <w:rsid w:val="005030C4"/>
    <w:rsid w:val="005031C5"/>
    <w:rsid w:val="00504FDC"/>
    <w:rsid w:val="005120CC"/>
    <w:rsid w:val="00512B7B"/>
    <w:rsid w:val="00514EA1"/>
    <w:rsid w:val="00516AAB"/>
    <w:rsid w:val="0051798B"/>
    <w:rsid w:val="00521A11"/>
    <w:rsid w:val="00521F5A"/>
    <w:rsid w:val="00525E06"/>
    <w:rsid w:val="00526454"/>
    <w:rsid w:val="00531823"/>
    <w:rsid w:val="00534ECC"/>
    <w:rsid w:val="0053720D"/>
    <w:rsid w:val="00540EF5"/>
    <w:rsid w:val="00541BF3"/>
    <w:rsid w:val="00541CD3"/>
    <w:rsid w:val="005476FA"/>
    <w:rsid w:val="0055595E"/>
    <w:rsid w:val="00557988"/>
    <w:rsid w:val="00562C49"/>
    <w:rsid w:val="00562DEF"/>
    <w:rsid w:val="00563A35"/>
    <w:rsid w:val="00566596"/>
    <w:rsid w:val="00567FB8"/>
    <w:rsid w:val="005741E9"/>
    <w:rsid w:val="005748CF"/>
    <w:rsid w:val="00581E68"/>
    <w:rsid w:val="00584270"/>
    <w:rsid w:val="00584738"/>
    <w:rsid w:val="005920B0"/>
    <w:rsid w:val="0059380D"/>
    <w:rsid w:val="00595A8F"/>
    <w:rsid w:val="005975F2"/>
    <w:rsid w:val="00597BF2"/>
    <w:rsid w:val="005B134E"/>
    <w:rsid w:val="005B2039"/>
    <w:rsid w:val="005B344F"/>
    <w:rsid w:val="005B3FBA"/>
    <w:rsid w:val="005B4A1D"/>
    <w:rsid w:val="005B674D"/>
    <w:rsid w:val="005C0CBE"/>
    <w:rsid w:val="005C1FCF"/>
    <w:rsid w:val="005D1885"/>
    <w:rsid w:val="005D4A38"/>
    <w:rsid w:val="005E2EEA"/>
    <w:rsid w:val="005E3708"/>
    <w:rsid w:val="005E3CCD"/>
    <w:rsid w:val="005E3D6B"/>
    <w:rsid w:val="005E5E4A"/>
    <w:rsid w:val="005E693D"/>
    <w:rsid w:val="005E75BF"/>
    <w:rsid w:val="005F57BA"/>
    <w:rsid w:val="005F61E6"/>
    <w:rsid w:val="005F6C45"/>
    <w:rsid w:val="00605A69"/>
    <w:rsid w:val="00606C54"/>
    <w:rsid w:val="00614375"/>
    <w:rsid w:val="00615B0A"/>
    <w:rsid w:val="006168CF"/>
    <w:rsid w:val="0062011B"/>
    <w:rsid w:val="00626DE0"/>
    <w:rsid w:val="00630901"/>
    <w:rsid w:val="00631F8E"/>
    <w:rsid w:val="00636EE9"/>
    <w:rsid w:val="00640950"/>
    <w:rsid w:val="00641AE7"/>
    <w:rsid w:val="00642629"/>
    <w:rsid w:val="0065293D"/>
    <w:rsid w:val="00653EFC"/>
    <w:rsid w:val="00654021"/>
    <w:rsid w:val="00661045"/>
    <w:rsid w:val="00666DA8"/>
    <w:rsid w:val="00671057"/>
    <w:rsid w:val="00675AAF"/>
    <w:rsid w:val="0068031A"/>
    <w:rsid w:val="00681B2F"/>
    <w:rsid w:val="0068335F"/>
    <w:rsid w:val="00691488"/>
    <w:rsid w:val="006915C5"/>
    <w:rsid w:val="00693302"/>
    <w:rsid w:val="006960CE"/>
    <w:rsid w:val="0069640B"/>
    <w:rsid w:val="006A1B83"/>
    <w:rsid w:val="006A21CD"/>
    <w:rsid w:val="006A5918"/>
    <w:rsid w:val="006B21B2"/>
    <w:rsid w:val="006B29B9"/>
    <w:rsid w:val="006B4A4A"/>
    <w:rsid w:val="006B5DB8"/>
    <w:rsid w:val="006C19B2"/>
    <w:rsid w:val="006C5BB8"/>
    <w:rsid w:val="006C6936"/>
    <w:rsid w:val="006C7B01"/>
    <w:rsid w:val="006D0FE8"/>
    <w:rsid w:val="006D4B2B"/>
    <w:rsid w:val="006D4F3C"/>
    <w:rsid w:val="006D5C66"/>
    <w:rsid w:val="006E0131"/>
    <w:rsid w:val="006E1B3C"/>
    <w:rsid w:val="006E23FB"/>
    <w:rsid w:val="006E325A"/>
    <w:rsid w:val="006E33EC"/>
    <w:rsid w:val="006E3802"/>
    <w:rsid w:val="006E6C02"/>
    <w:rsid w:val="006F231A"/>
    <w:rsid w:val="006F3DFD"/>
    <w:rsid w:val="006F788D"/>
    <w:rsid w:val="006F78E1"/>
    <w:rsid w:val="00701072"/>
    <w:rsid w:val="00702054"/>
    <w:rsid w:val="007035A4"/>
    <w:rsid w:val="00711799"/>
    <w:rsid w:val="00712B78"/>
    <w:rsid w:val="0071393B"/>
    <w:rsid w:val="00713EE2"/>
    <w:rsid w:val="007177FC"/>
    <w:rsid w:val="00720C5E"/>
    <w:rsid w:val="00721701"/>
    <w:rsid w:val="007312C5"/>
    <w:rsid w:val="00731835"/>
    <w:rsid w:val="007341F8"/>
    <w:rsid w:val="00734372"/>
    <w:rsid w:val="00734EB8"/>
    <w:rsid w:val="00735F8B"/>
    <w:rsid w:val="00742D1F"/>
    <w:rsid w:val="00743EBA"/>
    <w:rsid w:val="00744C8E"/>
    <w:rsid w:val="0074707E"/>
    <w:rsid w:val="007516DC"/>
    <w:rsid w:val="00754B80"/>
    <w:rsid w:val="00761918"/>
    <w:rsid w:val="00762F03"/>
    <w:rsid w:val="0076413B"/>
    <w:rsid w:val="007648AE"/>
    <w:rsid w:val="00764BF8"/>
    <w:rsid w:val="0076514D"/>
    <w:rsid w:val="00773D59"/>
    <w:rsid w:val="00781003"/>
    <w:rsid w:val="007839F5"/>
    <w:rsid w:val="00790B81"/>
    <w:rsid w:val="007911FD"/>
    <w:rsid w:val="00793930"/>
    <w:rsid w:val="00793DD1"/>
    <w:rsid w:val="00794FEC"/>
    <w:rsid w:val="007A003E"/>
    <w:rsid w:val="007A1965"/>
    <w:rsid w:val="007A2ED1"/>
    <w:rsid w:val="007A4BE6"/>
    <w:rsid w:val="007A5BFB"/>
    <w:rsid w:val="007B0DC6"/>
    <w:rsid w:val="007B1094"/>
    <w:rsid w:val="007B1762"/>
    <w:rsid w:val="007B3320"/>
    <w:rsid w:val="007C301F"/>
    <w:rsid w:val="007C4540"/>
    <w:rsid w:val="007C65AF"/>
    <w:rsid w:val="007C70C0"/>
    <w:rsid w:val="007D135D"/>
    <w:rsid w:val="007D730F"/>
    <w:rsid w:val="007D7CD8"/>
    <w:rsid w:val="007E3AA7"/>
    <w:rsid w:val="007F737D"/>
    <w:rsid w:val="0080308E"/>
    <w:rsid w:val="00806705"/>
    <w:rsid w:val="00806738"/>
    <w:rsid w:val="008216D5"/>
    <w:rsid w:val="008249CE"/>
    <w:rsid w:val="008266AD"/>
    <w:rsid w:val="00831A50"/>
    <w:rsid w:val="00831B3C"/>
    <w:rsid w:val="00831C89"/>
    <w:rsid w:val="00832114"/>
    <w:rsid w:val="00834C46"/>
    <w:rsid w:val="0084093E"/>
    <w:rsid w:val="00841CE1"/>
    <w:rsid w:val="008452FC"/>
    <w:rsid w:val="008473D8"/>
    <w:rsid w:val="008528DC"/>
    <w:rsid w:val="00852B8C"/>
    <w:rsid w:val="00854981"/>
    <w:rsid w:val="00864B2E"/>
    <w:rsid w:val="00865963"/>
    <w:rsid w:val="00867006"/>
    <w:rsid w:val="0087450E"/>
    <w:rsid w:val="008755A6"/>
    <w:rsid w:val="00875A82"/>
    <w:rsid w:val="00876CA3"/>
    <w:rsid w:val="008772FE"/>
    <w:rsid w:val="008775F1"/>
    <w:rsid w:val="008821AE"/>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5AFB"/>
    <w:rsid w:val="008D07FB"/>
    <w:rsid w:val="008D0ABD"/>
    <w:rsid w:val="008D0C02"/>
    <w:rsid w:val="008D357D"/>
    <w:rsid w:val="008E387B"/>
    <w:rsid w:val="008E6087"/>
    <w:rsid w:val="008E758D"/>
    <w:rsid w:val="008F10A7"/>
    <w:rsid w:val="008F4D87"/>
    <w:rsid w:val="008F755D"/>
    <w:rsid w:val="008F7A39"/>
    <w:rsid w:val="009021E8"/>
    <w:rsid w:val="0091062D"/>
    <w:rsid w:val="00911440"/>
    <w:rsid w:val="00911712"/>
    <w:rsid w:val="00911B27"/>
    <w:rsid w:val="009170BE"/>
    <w:rsid w:val="00920B55"/>
    <w:rsid w:val="009262C9"/>
    <w:rsid w:val="00930EB9"/>
    <w:rsid w:val="00933DC7"/>
    <w:rsid w:val="00934670"/>
    <w:rsid w:val="009403B3"/>
    <w:rsid w:val="009418F4"/>
    <w:rsid w:val="00942BBC"/>
    <w:rsid w:val="00944180"/>
    <w:rsid w:val="00944AA0"/>
    <w:rsid w:val="00946F9E"/>
    <w:rsid w:val="00947DA2"/>
    <w:rsid w:val="00951177"/>
    <w:rsid w:val="00955C78"/>
    <w:rsid w:val="009673E8"/>
    <w:rsid w:val="00974DB8"/>
    <w:rsid w:val="00980661"/>
    <w:rsid w:val="0098093B"/>
    <w:rsid w:val="009876D4"/>
    <w:rsid w:val="009914A5"/>
    <w:rsid w:val="0099548E"/>
    <w:rsid w:val="00996456"/>
    <w:rsid w:val="00996A12"/>
    <w:rsid w:val="00997B0F"/>
    <w:rsid w:val="009A1CAD"/>
    <w:rsid w:val="009A3440"/>
    <w:rsid w:val="009A5832"/>
    <w:rsid w:val="009A6838"/>
    <w:rsid w:val="009B24B5"/>
    <w:rsid w:val="009B4EBC"/>
    <w:rsid w:val="009B5ABB"/>
    <w:rsid w:val="009B73CE"/>
    <w:rsid w:val="009C2461"/>
    <w:rsid w:val="009C6FE2"/>
    <w:rsid w:val="009C7674"/>
    <w:rsid w:val="009D004A"/>
    <w:rsid w:val="009D5880"/>
    <w:rsid w:val="009E3B07"/>
    <w:rsid w:val="009E51D1"/>
    <w:rsid w:val="009E5531"/>
    <w:rsid w:val="009F171E"/>
    <w:rsid w:val="009F3D2F"/>
    <w:rsid w:val="009F7052"/>
    <w:rsid w:val="00A02668"/>
    <w:rsid w:val="00A02801"/>
    <w:rsid w:val="00A06A39"/>
    <w:rsid w:val="00A07F58"/>
    <w:rsid w:val="00A131CB"/>
    <w:rsid w:val="00A14847"/>
    <w:rsid w:val="00A16D6D"/>
    <w:rsid w:val="00A20098"/>
    <w:rsid w:val="00A21383"/>
    <w:rsid w:val="00A2199F"/>
    <w:rsid w:val="00A21B31"/>
    <w:rsid w:val="00A2360E"/>
    <w:rsid w:val="00A26E0C"/>
    <w:rsid w:val="00A32FCB"/>
    <w:rsid w:val="00A34C25"/>
    <w:rsid w:val="00A3507D"/>
    <w:rsid w:val="00A3717A"/>
    <w:rsid w:val="00A4088C"/>
    <w:rsid w:val="00A4456B"/>
    <w:rsid w:val="00A448D4"/>
    <w:rsid w:val="00A452E0"/>
    <w:rsid w:val="00A51EA5"/>
    <w:rsid w:val="00A53742"/>
    <w:rsid w:val="00A557A1"/>
    <w:rsid w:val="00A63059"/>
    <w:rsid w:val="00A63AE3"/>
    <w:rsid w:val="00A651A4"/>
    <w:rsid w:val="00A71361"/>
    <w:rsid w:val="00A746E2"/>
    <w:rsid w:val="00A81FF2"/>
    <w:rsid w:val="00A83904"/>
    <w:rsid w:val="00A90A79"/>
    <w:rsid w:val="00A96B30"/>
    <w:rsid w:val="00AA59B5"/>
    <w:rsid w:val="00AA7777"/>
    <w:rsid w:val="00AA7B84"/>
    <w:rsid w:val="00AB613D"/>
    <w:rsid w:val="00AC0B4C"/>
    <w:rsid w:val="00AC1164"/>
    <w:rsid w:val="00AC13B1"/>
    <w:rsid w:val="00AC2296"/>
    <w:rsid w:val="00AC2754"/>
    <w:rsid w:val="00AC48B0"/>
    <w:rsid w:val="00AC4ACD"/>
    <w:rsid w:val="00AC5DFB"/>
    <w:rsid w:val="00AD13DC"/>
    <w:rsid w:val="00AD6DE2"/>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27D7"/>
    <w:rsid w:val="00B13B0C"/>
    <w:rsid w:val="00B1453A"/>
    <w:rsid w:val="00B16688"/>
    <w:rsid w:val="00B20F82"/>
    <w:rsid w:val="00B25BD5"/>
    <w:rsid w:val="00B34079"/>
    <w:rsid w:val="00B3793A"/>
    <w:rsid w:val="00B401BA"/>
    <w:rsid w:val="00B407E4"/>
    <w:rsid w:val="00B425B6"/>
    <w:rsid w:val="00B42A72"/>
    <w:rsid w:val="00B441AE"/>
    <w:rsid w:val="00B45F33"/>
    <w:rsid w:val="00B46D50"/>
    <w:rsid w:val="00B53170"/>
    <w:rsid w:val="00B62999"/>
    <w:rsid w:val="00B63BE3"/>
    <w:rsid w:val="00B64885"/>
    <w:rsid w:val="00B66810"/>
    <w:rsid w:val="00B72BE3"/>
    <w:rsid w:val="00B73B80"/>
    <w:rsid w:val="00B770C7"/>
    <w:rsid w:val="00B80F26"/>
    <w:rsid w:val="00B822BD"/>
    <w:rsid w:val="00B842F4"/>
    <w:rsid w:val="00B91A7B"/>
    <w:rsid w:val="00B929DD"/>
    <w:rsid w:val="00B95405"/>
    <w:rsid w:val="00B963F1"/>
    <w:rsid w:val="00BA020A"/>
    <w:rsid w:val="00BA4616"/>
    <w:rsid w:val="00BB02A4"/>
    <w:rsid w:val="00BB1270"/>
    <w:rsid w:val="00BB1E44"/>
    <w:rsid w:val="00BB5267"/>
    <w:rsid w:val="00BB52B8"/>
    <w:rsid w:val="00BB59D8"/>
    <w:rsid w:val="00BB7E69"/>
    <w:rsid w:val="00BC3C1F"/>
    <w:rsid w:val="00BC7CE7"/>
    <w:rsid w:val="00BD295E"/>
    <w:rsid w:val="00BD4664"/>
    <w:rsid w:val="00BE1193"/>
    <w:rsid w:val="00BE5F65"/>
    <w:rsid w:val="00BF4849"/>
    <w:rsid w:val="00BF4EA7"/>
    <w:rsid w:val="00C00EDB"/>
    <w:rsid w:val="00C02863"/>
    <w:rsid w:val="00C0383A"/>
    <w:rsid w:val="00C067FF"/>
    <w:rsid w:val="00C1233A"/>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4149"/>
    <w:rsid w:val="00C44410"/>
    <w:rsid w:val="00C44A15"/>
    <w:rsid w:val="00C4630A"/>
    <w:rsid w:val="00C523F0"/>
    <w:rsid w:val="00C526D2"/>
    <w:rsid w:val="00C5794E"/>
    <w:rsid w:val="00C60968"/>
    <w:rsid w:val="00C63D39"/>
    <w:rsid w:val="00C63EDD"/>
    <w:rsid w:val="00C65B36"/>
    <w:rsid w:val="00C7292E"/>
    <w:rsid w:val="00C74E88"/>
    <w:rsid w:val="00C80924"/>
    <w:rsid w:val="00C8286B"/>
    <w:rsid w:val="00C947F8"/>
    <w:rsid w:val="00C9515F"/>
    <w:rsid w:val="00C963C5"/>
    <w:rsid w:val="00CA030C"/>
    <w:rsid w:val="00CA1F41"/>
    <w:rsid w:val="00CA32EE"/>
    <w:rsid w:val="00CA6A1A"/>
    <w:rsid w:val="00CC1E75"/>
    <w:rsid w:val="00CC2E0E"/>
    <w:rsid w:val="00CC361C"/>
    <w:rsid w:val="00CC474B"/>
    <w:rsid w:val="00CC658C"/>
    <w:rsid w:val="00CC67BF"/>
    <w:rsid w:val="00CD0843"/>
    <w:rsid w:val="00CD5A78"/>
    <w:rsid w:val="00CD7345"/>
    <w:rsid w:val="00CE372E"/>
    <w:rsid w:val="00CF0A1B"/>
    <w:rsid w:val="00CF19F6"/>
    <w:rsid w:val="00CF1DAD"/>
    <w:rsid w:val="00CF2F4F"/>
    <w:rsid w:val="00CF536D"/>
    <w:rsid w:val="00D05009"/>
    <w:rsid w:val="00D10CB8"/>
    <w:rsid w:val="00D12806"/>
    <w:rsid w:val="00D12D44"/>
    <w:rsid w:val="00D15018"/>
    <w:rsid w:val="00D158AC"/>
    <w:rsid w:val="00D1694C"/>
    <w:rsid w:val="00D20F5E"/>
    <w:rsid w:val="00D23B76"/>
    <w:rsid w:val="00D379A3"/>
    <w:rsid w:val="00D43272"/>
    <w:rsid w:val="00D45FF3"/>
    <w:rsid w:val="00D512CF"/>
    <w:rsid w:val="00D528B9"/>
    <w:rsid w:val="00D53186"/>
    <w:rsid w:val="00D5487D"/>
    <w:rsid w:val="00D60140"/>
    <w:rsid w:val="00D6024A"/>
    <w:rsid w:val="00D608B5"/>
    <w:rsid w:val="00D71F99"/>
    <w:rsid w:val="00D73CA4"/>
    <w:rsid w:val="00D73D71"/>
    <w:rsid w:val="00D74396"/>
    <w:rsid w:val="00D80284"/>
    <w:rsid w:val="00D81F71"/>
    <w:rsid w:val="00D8642D"/>
    <w:rsid w:val="00D90A5E"/>
    <w:rsid w:val="00D91A68"/>
    <w:rsid w:val="00D95A68"/>
    <w:rsid w:val="00DA17C7"/>
    <w:rsid w:val="00DA5084"/>
    <w:rsid w:val="00DA5468"/>
    <w:rsid w:val="00DA6A9A"/>
    <w:rsid w:val="00DB1EFD"/>
    <w:rsid w:val="00DB3EAF"/>
    <w:rsid w:val="00DC3203"/>
    <w:rsid w:val="00DC3C99"/>
    <w:rsid w:val="00DC52F5"/>
    <w:rsid w:val="00DC5B61"/>
    <w:rsid w:val="00DC5FD0"/>
    <w:rsid w:val="00DD0354"/>
    <w:rsid w:val="00DD27D7"/>
    <w:rsid w:val="00DD458C"/>
    <w:rsid w:val="00DD72E9"/>
    <w:rsid w:val="00DD7605"/>
    <w:rsid w:val="00DE2020"/>
    <w:rsid w:val="00DE3476"/>
    <w:rsid w:val="00DF5B84"/>
    <w:rsid w:val="00DF6D5B"/>
    <w:rsid w:val="00DF771B"/>
    <w:rsid w:val="00DF7EE2"/>
    <w:rsid w:val="00E01BAA"/>
    <w:rsid w:val="00E0282A"/>
    <w:rsid w:val="00E07E14"/>
    <w:rsid w:val="00E14F94"/>
    <w:rsid w:val="00E17336"/>
    <w:rsid w:val="00E17D15"/>
    <w:rsid w:val="00E21492"/>
    <w:rsid w:val="00E22B95"/>
    <w:rsid w:val="00E234B8"/>
    <w:rsid w:val="00E30331"/>
    <w:rsid w:val="00E30BB8"/>
    <w:rsid w:val="00E31F9C"/>
    <w:rsid w:val="00E40488"/>
    <w:rsid w:val="00E437D1"/>
    <w:rsid w:val="00E50367"/>
    <w:rsid w:val="00E51ABA"/>
    <w:rsid w:val="00E524CB"/>
    <w:rsid w:val="00E54C0C"/>
    <w:rsid w:val="00E65456"/>
    <w:rsid w:val="00E65A91"/>
    <w:rsid w:val="00E66188"/>
    <w:rsid w:val="00E664FB"/>
    <w:rsid w:val="00E66EEC"/>
    <w:rsid w:val="00E70373"/>
    <w:rsid w:val="00E72E40"/>
    <w:rsid w:val="00E73665"/>
    <w:rsid w:val="00E73999"/>
    <w:rsid w:val="00E73BDC"/>
    <w:rsid w:val="00E73E9E"/>
    <w:rsid w:val="00E77DB9"/>
    <w:rsid w:val="00E81660"/>
    <w:rsid w:val="00E854FE"/>
    <w:rsid w:val="00E906CC"/>
    <w:rsid w:val="00E939A0"/>
    <w:rsid w:val="00E97E4E"/>
    <w:rsid w:val="00EA0167"/>
    <w:rsid w:val="00EA1CC2"/>
    <w:rsid w:val="00EA2D76"/>
    <w:rsid w:val="00EA4644"/>
    <w:rsid w:val="00EA758A"/>
    <w:rsid w:val="00EB199F"/>
    <w:rsid w:val="00EB27C4"/>
    <w:rsid w:val="00EB5387"/>
    <w:rsid w:val="00EB5C10"/>
    <w:rsid w:val="00EB7322"/>
    <w:rsid w:val="00EC0FE9"/>
    <w:rsid w:val="00EC426D"/>
    <w:rsid w:val="00EC571B"/>
    <w:rsid w:val="00EC57D7"/>
    <w:rsid w:val="00EC6385"/>
    <w:rsid w:val="00ED1DE9"/>
    <w:rsid w:val="00ED23D4"/>
    <w:rsid w:val="00ED5E0B"/>
    <w:rsid w:val="00EE37B6"/>
    <w:rsid w:val="00EF0F45"/>
    <w:rsid w:val="00EF6F7F"/>
    <w:rsid w:val="00EF7463"/>
    <w:rsid w:val="00F002EF"/>
    <w:rsid w:val="00F01EE9"/>
    <w:rsid w:val="00F02F94"/>
    <w:rsid w:val="00F04900"/>
    <w:rsid w:val="00F065A4"/>
    <w:rsid w:val="00F126B9"/>
    <w:rsid w:val="00F12715"/>
    <w:rsid w:val="00F144D5"/>
    <w:rsid w:val="00F146F0"/>
    <w:rsid w:val="00F15039"/>
    <w:rsid w:val="00F20FF3"/>
    <w:rsid w:val="00F2190B"/>
    <w:rsid w:val="00F228B5"/>
    <w:rsid w:val="00F2389C"/>
    <w:rsid w:val="00F25C67"/>
    <w:rsid w:val="00F270B1"/>
    <w:rsid w:val="00F30DFF"/>
    <w:rsid w:val="00F32B80"/>
    <w:rsid w:val="00F340EB"/>
    <w:rsid w:val="00F35285"/>
    <w:rsid w:val="00F43B9D"/>
    <w:rsid w:val="00F44BAA"/>
    <w:rsid w:val="00F44D5E"/>
    <w:rsid w:val="00F53A35"/>
    <w:rsid w:val="00F55A3D"/>
    <w:rsid w:val="00F5744B"/>
    <w:rsid w:val="00F61209"/>
    <w:rsid w:val="00F6259E"/>
    <w:rsid w:val="00F65DD4"/>
    <w:rsid w:val="00F672B2"/>
    <w:rsid w:val="00F83973"/>
    <w:rsid w:val="00F87FA3"/>
    <w:rsid w:val="00F93D8C"/>
    <w:rsid w:val="00FA3102"/>
    <w:rsid w:val="00FA48D4"/>
    <w:rsid w:val="00FA54FA"/>
    <w:rsid w:val="00FB227E"/>
    <w:rsid w:val="00FB3D61"/>
    <w:rsid w:val="00FB44CE"/>
    <w:rsid w:val="00FB5009"/>
    <w:rsid w:val="00FB76AB"/>
    <w:rsid w:val="00FD03FE"/>
    <w:rsid w:val="00FD126E"/>
    <w:rsid w:val="00FD3C36"/>
    <w:rsid w:val="00FD4D81"/>
    <w:rsid w:val="00FD7498"/>
    <w:rsid w:val="00FD7FB3"/>
    <w:rsid w:val="00FE2E65"/>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DD3E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0">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285"/>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qFormat/>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Abstract"/>
    <w:qFormat/>
    <w:rsid w:val="00CC474B"/>
  </w:style>
  <w:style w:type="paragraph" w:customStyle="1" w:styleId="Abstract">
    <w:name w:val="Abstract"/>
    <w:basedOn w:val="Normal"/>
    <w:next w:val="Keywords"/>
    <w:qFormat/>
    <w:rsid w:val="00C22A78"/>
    <w:pPr>
      <w:spacing w:before="360" w:after="300" w:line="360" w:lineRule="auto"/>
      <w:ind w:left="720" w:right="567"/>
      <w:contextualSpacing/>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DF5B84"/>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F02F94"/>
    <w:pPr>
      <w:tabs>
        <w:tab w:val="center" w:pos="4320"/>
        <w:tab w:val="right" w:pos="8640"/>
      </w:tabs>
      <w:spacing w:line="240" w:lineRule="auto"/>
    </w:pPr>
  </w:style>
  <w:style w:type="character" w:customStyle="1" w:styleId="HeaderChar">
    <w:name w:val="Header Char"/>
    <w:basedOn w:val="DefaultParagraphFont"/>
    <w:link w:val="Header"/>
    <w:rsid w:val="00F02F94"/>
    <w:rPr>
      <w:sz w:val="24"/>
      <w:szCs w:val="24"/>
    </w:rPr>
  </w:style>
  <w:style w:type="paragraph" w:styleId="Footer">
    <w:name w:val="footer"/>
    <w:basedOn w:val="Normal"/>
    <w:link w:val="FooterChar"/>
    <w:rsid w:val="00F02F94"/>
    <w:pPr>
      <w:tabs>
        <w:tab w:val="center" w:pos="4320"/>
        <w:tab w:val="right" w:pos="8640"/>
      </w:tabs>
      <w:spacing w:line="240" w:lineRule="auto"/>
    </w:pPr>
  </w:style>
  <w:style w:type="character" w:customStyle="1" w:styleId="FooterChar">
    <w:name w:val="Footer Char"/>
    <w:basedOn w:val="DefaultParagraphFont"/>
    <w:link w:val="Footer"/>
    <w:rsid w:val="00F02F94"/>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CommentReference">
    <w:name w:val="annotation reference"/>
    <w:basedOn w:val="DefaultParagraphFont"/>
    <w:rsid w:val="00EA0167"/>
    <w:rPr>
      <w:sz w:val="16"/>
      <w:szCs w:val="16"/>
    </w:rPr>
  </w:style>
  <w:style w:type="paragraph" w:styleId="CommentText">
    <w:name w:val="annotation text"/>
    <w:basedOn w:val="Normal"/>
    <w:link w:val="CommentTextChar"/>
    <w:rsid w:val="00EA0167"/>
    <w:pPr>
      <w:spacing w:line="240" w:lineRule="auto"/>
    </w:pPr>
    <w:rPr>
      <w:sz w:val="20"/>
      <w:szCs w:val="20"/>
    </w:rPr>
  </w:style>
  <w:style w:type="character" w:customStyle="1" w:styleId="CommentTextChar">
    <w:name w:val="Comment Text Char"/>
    <w:basedOn w:val="DefaultParagraphFont"/>
    <w:link w:val="CommentText"/>
    <w:rsid w:val="00EA0167"/>
  </w:style>
  <w:style w:type="paragraph" w:styleId="CommentSubject">
    <w:name w:val="annotation subject"/>
    <w:basedOn w:val="CommentText"/>
    <w:next w:val="CommentText"/>
    <w:link w:val="CommentSubjectChar"/>
    <w:rsid w:val="00EA0167"/>
    <w:rPr>
      <w:b/>
      <w:bCs/>
    </w:rPr>
  </w:style>
  <w:style w:type="character" w:customStyle="1" w:styleId="CommentSubjectChar">
    <w:name w:val="Comment Subject Char"/>
    <w:basedOn w:val="CommentTextChar"/>
    <w:link w:val="CommentSubject"/>
    <w:rsid w:val="00EA0167"/>
    <w:rPr>
      <w:b/>
      <w:bCs/>
    </w:rPr>
  </w:style>
  <w:style w:type="paragraph" w:styleId="BalloonText">
    <w:name w:val="Balloon Text"/>
    <w:basedOn w:val="Normal"/>
    <w:link w:val="BalloonTextChar"/>
    <w:rsid w:val="00EA016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A0167"/>
    <w:rPr>
      <w:rFonts w:ascii="Tahoma" w:hAnsi="Tahoma" w:cs="Tahoma"/>
      <w:sz w:val="16"/>
      <w:szCs w:val="16"/>
    </w:rPr>
  </w:style>
  <w:style w:type="table" w:styleId="TableGrid">
    <w:name w:val="Table Grid"/>
    <w:basedOn w:val="TableNormal"/>
    <w:uiPriority w:val="59"/>
    <w:rsid w:val="001C4D4D"/>
    <w:rPr>
      <w:rFonts w:asciiTheme="minorHAnsi" w:eastAsiaTheme="minorEastAsia" w:hAnsiTheme="minorHAnsi" w:cstheme="minorBidi"/>
      <w:sz w:val="24"/>
      <w:szCs w:val="24"/>
      <w:lang w:val="en-A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307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irsten:Dropbox:Research:UQMarkUp:UQ%20Feedback%20Project:Dissemination:Usage%20paper:TF_Template_Word_Ma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126396-3676-554E-95E6-8376F3E7D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HD:Users:kirsten:Dropbox:Research:UQMarkUp:UQ Feedback Project:Dissemination:Usage paper:TF_Template_Word_Mac_2011.dotx</Template>
  <TotalTime>9</TotalTime>
  <Pages>27</Pages>
  <Words>9565</Words>
  <Characters>54522</Characters>
  <Application>Microsoft Macintosh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TF_Template_Word_Mac_2011</vt:lpstr>
    </vt:vector>
  </TitlesOfParts>
  <Company>The University of Queensland</Company>
  <LinksUpToDate>false</LinksUpToDate>
  <CharactersWithSpaces>63960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TF_Template_Word_Mac_2011</dc:title>
  <dc:creator>kirsten</dc:creator>
  <cp:lastModifiedBy>Kirsten Zimbardi</cp:lastModifiedBy>
  <cp:revision>2</cp:revision>
  <cp:lastPrinted>2011-07-22T14:54:00Z</cp:lastPrinted>
  <dcterms:created xsi:type="dcterms:W3CDTF">2016-03-04T01:46:00Z</dcterms:created>
  <dcterms:modified xsi:type="dcterms:W3CDTF">2016-03-04T01:46:00Z</dcterms:modified>
</cp:coreProperties>
</file>