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Title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yellow"/>
          <w:rtl w:val="0"/>
        </w:rPr>
        <w:t xml:space="preserve">Ocean Acidification Conditions Increase Routine Metabolic Rate and Reduces Hypoxia Tolerance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highlight w:val="yellow"/>
          <w:rtl w:val="0"/>
        </w:rPr>
        <w:t xml:space="preserve">Muusoctopus leioderma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36"/>
          <w:szCs w:val="36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cyan"/>
          <w:rtl w:val="0"/>
        </w:rPr>
        <w:t xml:space="preserve">Need to verify Title is correct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As oceans become more acidic the ability of organisms to use calcite and aragonite decreases.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Dissolution of existing calcite and aragonite structures also is present.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Decreased pH affect the respiratory pigments of cephalopods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Impaired respiratory pigments lead to less oxygen for metabolic processes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 quick acclimatization observed by Drs. Onthank and Trueblood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Octopus rubescens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How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would a deep sea octopus fare in such acidic waters? Why are they this shallow (9m instead of 250 to 1400 m) only in Burrows bay?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Comparatively, the amount of ocean acidification (OA) research on squid and cuttlefish dwarfs OA research on octopuses. 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Methods and Materials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Collection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Muusoctopus leioderma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= 12)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by SCUBA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Octopuses were placed in treatment tanks with either a pCO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of 1,000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µ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atm or a pCO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of 1,800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µ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atm to simulate current and future ocean acidification conditions.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pH was measured daily by spectrophotometry and alkalinity was measured once per week by alkalinity titration and these data points were used to calculate and adjust the treatment tank pCO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as needed.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Routine metabolic rate (RMR) and Critical Partial Oxygen Pressure (pCrit) was measured at 24 hours and then after 7 days in treatment by flow through respiratormetery.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Statistical analysis was performed using R version 4.0.3 with the package RStudio.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Results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Discussion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ylab=expression("RMR (µmolO"[2]*"g"^-1*"hr"^-1*")"))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