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Fig 1. Burrows Bay, WA.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i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Fig. 2. Photograph of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32"/>
          <w:szCs w:val="32"/>
          <w:rtl w:val="0"/>
        </w:rPr>
        <w:t xml:space="preserve">Muusoctopus leioderma.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Fig. 3. Boxplot comparing the RMR of two treatment lengths (one and seven days) from the 1000 pCO2 treatment groups.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Fig 4. Boxplot comparing the RMR of the two treatment groups (1000 pCO2 and 1800 pCO2).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Fig 5. Boxplot comparing the pCrit O2 of the four pCO2 treatment groups.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Fig 6. Scatterplot showing the relationship of RMR and Partial Pressure O2. The pCrit is represented by the point where the vertical line intersects with the logarithmic trendline.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