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160"/>
          <w:szCs w:val="16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60"/>
          <w:szCs w:val="160"/>
          <w:rtl w:val="0"/>
        </w:rPr>
        <w:t xml:space="preserve">Effects of altered pCO2 levels on the resting metabolic rate of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60"/>
          <w:szCs w:val="160"/>
          <w:rtl w:val="0"/>
        </w:rPr>
        <w:t xml:space="preserve">Muusoctopus leioderma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