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sz w:val="60"/>
          <w:szCs w:val="60"/>
        </w:rPr>
      </w:pPr>
      <w:r w:rsidDel="00000000" w:rsidR="00000000" w:rsidRPr="00000000">
        <w:rPr>
          <w:rFonts w:ascii="Helvetica Neue" w:cs="Helvetica Neue" w:eastAsia="Helvetica Neue" w:hAnsi="Helvetica Neue"/>
          <w:sz w:val="60"/>
          <w:szCs w:val="60"/>
          <w:rtl w:val="0"/>
        </w:rPr>
        <w:t xml:space="preserve">Methods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40"/>
          <w:szCs w:val="40"/>
          <w:rtl w:val="0"/>
        </w:rPr>
        <w:t xml:space="preserve">Muusoctopus leioderma </w:t>
      </w: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were collected in Burrows Bay, Washington.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(number of octopuses) were treated in 1000 and 1800 pCO2 seawater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Octopuses were OA treated for 24 hr and 7 day intervals.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Metabolic rates were monitored by measuring routine metabolic rate (RMR) and critical partial pressure (pCrit).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RMR was measured using open circuit respirometry, while pCrit was measured using closed circuit respirometry.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Oxygen concentration percentages were logged using PreSens Microsensor Oxygen Meter.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pH in OA tanks was calibrated daily using mass spectrometry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Alkalinity was measured using an autotitrator weekly.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Both pH and Alkalinity values were used to calculate pCO2 and daily OA tank pH setpoint.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Data </w:t>
      </w: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were</w:t>
      </w: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 analyzed, and figures were created in rstats and RStudio.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