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  <w:sz w:val="60"/>
          <w:szCs w:val="60"/>
        </w:rPr>
      </w:pPr>
      <w:r w:rsidDel="00000000" w:rsidR="00000000" w:rsidRPr="00000000">
        <w:rPr>
          <w:rFonts w:ascii="Helvetica Neue" w:cs="Helvetica Neue" w:eastAsia="Helvetica Neue" w:hAnsi="Helvetica Neue"/>
          <w:sz w:val="60"/>
          <w:szCs w:val="60"/>
          <w:rtl w:val="0"/>
        </w:rPr>
        <w:t xml:space="preserve">Results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-ANOVA tests and post-hoc analysis were conducted for RMR and pCrit using VassarStats.net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-Values were separated into 1000-1day, 1000-7day, 1800-1day, and 1800-7day PCO2 treatment groups</w:t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-Tukey HSD revealed significant statistical relationships between these groups: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ab/>
        <w:t xml:space="preserve">-RMR 1000-1day and 1800-1day (p &lt; 0.05)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ab/>
        <w:t xml:space="preserve">-RMR 1000-1day and 1000-7day (p &lt; 0.01)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 xml:space="preserve">No other significant relationships were shown</w:t>
      </w:r>
    </w:p>
    <w:p w:rsidR="00000000" w:rsidDel="00000000" w:rsidP="00000000" w:rsidRDefault="00000000" w:rsidRPr="00000000" w14:paraId="0000000C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Helvetica Neue" w:cs="Helvetica Neue" w:eastAsia="Helvetica Neue" w:hAnsi="Helvetica Neue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