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b/>
          <w:bCs/>
          <w:color w:val="1F3864"/>
          <w:sz w:val="56"/>
          <w:szCs w:val="56"/>
        </w:rPr>
        <w:t xml:space="preserve">VIGIL EYE</w:t>
      </w:r>
    </w:p>
    <w:p>
      <w:pPr>
        <w:spacing w:after="400"/>
      </w:pPr>
      <w:r>
        <w:rPr>
          <w:color w:val="2E5A8C"/>
          <w:sz w:val="34"/>
          <w:szCs w:val="34"/>
        </w:rPr>
        <w:t xml:space="preserve">Security Assessment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Pre-Development Architecture &amp; Threat Review</w:t>
      </w:r>
    </w:p>
    <w:p>
      <w:pPr>
        <w:spacing w:after="40"/>
      </w:pPr>
      <w:r>
        <w:rPr>
          <w:color w:val="666666"/>
          <w:sz w:val="20"/>
          <w:szCs w:val="20"/>
        </w:rPr>
        <w:t xml:space="preserve">Version 1.0  |  Draft</w:t>
      </w:r>
    </w:p>
    <w:p>
      <w:pPr>
        <w:spacing w:after="600"/>
      </w:pPr>
      <w:r>
        <w:rPr>
          <w:color w:val="666666"/>
          <w:sz w:val="20"/>
          <w:szCs w:val="20"/>
        </w:rPr>
        <w:t xml:space="preserve">Prepared: September 13,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Assessed Product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Vigil Eye — Family Device Safety &amp; Parental Monitoring Platform (working title)</w:t>
            </w:r>
          </w:p>
        </w:tc>
      </w:tr>
      <w:tr>
        <w:tc>
          <w:tcPr>
            <w:tcW w:type="dxa" w:w="2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Source Documents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Vigil Eye PRD v1.0 (Draft); Vigil Eye TRD v1.0 (Draft)</w:t>
            </w:r>
          </w:p>
        </w:tc>
      </w:tr>
      <w:tr>
        <w:tc>
          <w:tcPr>
            <w:tcW w:type="dxa" w:w="2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Assessment Type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Design-stage security &amp; privacy review (no live system, code, or infrastructure yet exists to test)</w:t>
            </w:r>
          </w:p>
        </w:tc>
      </w:tr>
      <w:tr>
        <w:tc>
          <w:tcPr>
            <w:tcW w:type="dxa" w:w="2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&amp; Engineering leadership</w:t>
            </w:r>
          </w:p>
        </w:tc>
      </w:tr>
      <w:tr>
        <w:tc>
          <w:tcPr>
            <w:tcW w:type="dxa" w:w="2400"/>
            <w:shd w:fill="ED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—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sz w:val="21"/>
          <w:szCs w:val="21"/>
        </w:rPr>
        <w:t xml:space="preserve">Vigil Eye is a parental monitoring platform consisting of a Windows dashboard for guardians and an Android/iOS companion app installed on a minor's device, connected through a cloud backend. This assessment reviews the security posture described in the product and technical requirements documents at the design stage, before any code has been written.</w:t>
      </w:r>
    </w:p>
    <w:p>
      <w:pPr>
        <w:spacing w:after="160" w:line="276"/>
      </w:pPr>
      <w:r>
        <w:rPr>
          <w:sz w:val="21"/>
          <w:szCs w:val="21"/>
        </w:rPr>
        <w:t xml:space="preserve">The product's overall design is unusually security- and ethics-conscious for this category: it explicitly excludes camera/microphone capture and keystroke logging, requires a persistent on-device indicator that cannot be hidden or disabled, mandates a guardian consent attestation before pairing, and binds device credentials to hardware-backed keys. These choices directly address the primary reputational and legal risk for this class of product — being classified as covert "stalkerware."</w:t>
      </w:r>
    </w:p>
    <w:p>
      <w:pPr>
        <w:spacing w:after="160" w:line="276"/>
      </w:pPr>
      <w:r>
        <w:rPr>
          <w:sz w:val="21"/>
          <w:szCs w:val="21"/>
        </w:rPr>
        <w:t xml:space="preserve">That said, the review identified ten notable risks, summarized in the register in Section 6. The most significant is R-2 (Critical): the plan to capture SMS/message content under a keyword watch-list feature runs into wiretap/eavesdropping and children's-privacy statutes that vary by jurisdiction and, in many places, cannot be satisfied by a minor's own consent. Three further risks are rated High: a brute-forceable fallback pairing code (R-1), a long-lived refresh token with no re-attestation trigger (R-3), and under-specified access controls for internal support/legal-hold tooling (R-6). None of these are architectural dead ends — each has a practical mitigation described in Section 6 — but they should be resolved before the features they touch (message content alerts, long-term device trust, internal tooling) are built.</w:t>
      </w:r>
    </w:p>
    <w:p>
      <w:pPr>
        <w:spacing w:after="160" w:line="276"/>
      </w:pPr>
      <w:r>
        <w:rPr>
          <w:sz w:val="21"/>
          <w:szCs w:val="21"/>
        </w:rPr>
        <w:t xml:space="preserve">Recommended next step: treat Section 7 (Compliance) and Risks R-1, R-2, R-3, and R-6 as blocking items for Phase 0–1, and fold the remainder into the Phase 2–3 backlog alongside the recurring security-testing cadence recommended in R-7.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Purpose, Scope &amp; Methodology</w:t>
      </w:r>
    </w:p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2.1 Purpose</w:t>
      </w:r>
    </w:p>
    <w:p>
      <w:pPr>
        <w:spacing w:after="160" w:line="276"/>
      </w:pPr>
      <w:r>
        <w:rPr>
          <w:sz w:val="21"/>
          <w:szCs w:val="21"/>
        </w:rPr>
        <w:t xml:space="preserve">This assessment evaluates the security, privacy, and abuse-resistance of the Vigil Eye architecture as specified in the PRD and TRD, and identifies gaps that should be closed before implementation and before public launch.</w:t>
      </w:r>
    </w:p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2.2 Scope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In scope: architecture and data flow as described in TRD §3–§11; the pairing/authentication design (TRD §5); the data model and API surface (TRD §6–7); stated security controls (TRD §8); and the legal/ethical requirements in PRD §7.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Out of scope: source code review, infrastructure configuration review, and penetration testing — none exist yet, since this is a design-stage assessment. Detailed jurisdiction-by-jurisdiction legal analysis is also out of scope and remains the responsibility of Legal, as PRD §7 already anticipates.</w:t>
      </w:r>
    </w:p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2.3 Methodology</w:t>
      </w:r>
    </w:p>
    <w:p>
      <w:pPr>
        <w:spacing w:after="160" w:line="276"/>
      </w:pPr>
      <w:r>
        <w:rPr>
          <w:sz w:val="21"/>
          <w:szCs w:val="21"/>
        </w:rPr>
        <w:t xml:space="preserve">This review used a threat-modeling approach informed by STRIDE (spoofing, tampering, repudiation, information disclosure, denial of service, elevation of privilege), adapted for this product's specific abuse case: the risk that the tool itself is misused as covert surveillance against a non-consenting party. Findings were cross-checked against the design decisions already documented in the TRD, so this assessment credits controls that are already specified rather than re-deriving them from scratch.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System &amp; Data Overview</w:t>
      </w:r>
    </w:p>
    <w:p>
      <w:pPr>
        <w:spacing w:after="160" w:line="276"/>
      </w:pPr>
      <w:r>
        <w:rPr>
          <w:sz w:val="21"/>
          <w:szCs w:val="21"/>
        </w:rPr>
        <w:t xml:space="preserve">Three components carry security-relevant responsibility: the Companion App (Android/iOS) collecting call, location, app-usage, SMS-metadata, and web-history signals; a cloud backend that is the system of record and rule engine; and the Windows Parent Dashboard used by guardians to view and configure. The most sensitive data classes are: precise historical location, call/contact metadata, message metadata (and, if implemented, content), browsing history, and device-tamper signals — all of it about a minor, which raises the baseline sensitivity and regulatory scrutiny (COPPA-style rules, GDPR children's-data provisions) above a typical consumer app.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Threat Model</w:t>
      </w:r>
    </w:p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4.1 Threat Actors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Misusing guardian — an account holder who does not actually meet the legal-guardian/consent bar, attempting to monitor a non-consenting adult or a child outside their custody (the primary reputational and legal risk for this category).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The monitored minor — motivated to evade or disable monitoring; not malicious in the security sense, but a legitimate adversary of the tamper-detection controls.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External network attacker — targeting data in transit between the Companion App, backend, and dashboard, particularly on the child's device over untrusted Wi-Fi.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Attacker with physical or logical access to the child's device — e.g., malware, a second user, or the child themself with elevated privileges (rooted/jailbroken device).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Malicious or compromised backend insider — an employee or contractor with support/legal-hold access to family data.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Credential attacker — targeting guardian accounts (dashboard) or the pairing flow itself to gain unauthorized device linkage.</w:t>
      </w:r>
    </w:p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4.2 Key Trust Boundaries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Child device ↔ cloud backend (the pairing ceremony and every subsequent sync).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Guardian ↔ cloud backend (dashboard authentication and the multi-guardian sharing model).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Cloud backend internal boundary between the ingestion path and the admin/legal-hold/support tooling path.</w:t>
      </w:r>
    </w:p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4.3 Abuse-Case Analysis: Anti-Stalkerware Controls</w:t>
      </w:r>
    </w:p>
    <w:p>
      <w:pPr>
        <w:spacing w:after="160" w:line="276"/>
      </w:pPr>
      <w:r>
        <w:rPr>
          <w:sz w:val="21"/>
          <w:szCs w:val="21"/>
        </w:rPr>
        <w:t xml:space="preserve">Because the PRD explicitly names stalkerware misclassification as a top risk, this review paid particular attention to whether the technical design actually enforces the policy intent, rather than merely stating it. The findings are positive: the TRD ties the on-device indicator and the absence of a hidden-install mode to the API surface itself ("there is no endpoint to disable the indicator"), and requires an immutable, timestamped consent attestation before a pairing session can even be created. This is a materially stronger guarantee than a UI setting a determined attacker could toggle off, and it should be preserved as a hard constraint through every future release — see Risk R-6 for the one place (internal tooling) where this guarantee is not yet explicitly extended.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Control Assessment</w:t>
      </w:r>
    </w:p>
    <w:p>
      <w:pPr>
        <w:spacing w:after="160" w:line="276"/>
      </w:pPr>
      <w:r>
        <w:rPr>
          <w:sz w:val="21"/>
          <w:szCs w:val="21"/>
        </w:rPr>
        <w:t xml:space="preserve">The table below evaluates each control area against what the PRD/TRD already specify.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 Area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Design as Specified (PRD/TRD)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Transport &amp; at-rest encryption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TLS 1.2+ everywhere; AES-256 at rest with envelope encryption via cloud KMS.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Meets baseline expectations for sensitive family data. Confirm KMS key rotation policy and that data keys, not just master keys, are rotated periodically.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Device identity &amp; token security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Ed25519 keypair generated in Android Keystore / iOS Secure Enclave; private key never leaves device; refresh tokens rotated on every use and signed with the bound device key.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 design — binds the credential to hardware, which limits the blast radius of a stolen refresh token. The 1-year sliding expiry is long; recommend pairing it with anomaly-based forced re-auth (see Risk R-3).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Pairing flow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QR code + 10-minute single-use token; in-person, physical possession required; fallback 8-character alphanumeric code.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physical-possession requirement is a good structural anti-covert-install control. The fallback code needs explicit rate-limiting and lockout — not yet specified (see Risk R-1).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Anti-stalkerware / transparency controls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Persistent, non-suppressible on-device indicator; no hidden install mode anywhere in client or admin tooling; mandatory consent attestation before pairing; absence of the indicator itself triggers a tamper alert.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the single most important control set for this product category and it is well specified — enforced in code, not just policy. Recommend extending the same 'no code path exists to disable it' guarantee to any future admin/support tooling (see Risk R-6).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Authentication (guardian)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 + mandatory MFA (TOTP or push) for dashboard access.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Appropriate given the sensitivity of the data. Confirm MFA cannot be silently disabled via account-recovery flows, which are a common bypass path.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Authorization / RBAC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 vs. read-only guardian roles enforced server-side on every endpoint.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 pattern (server-side enforcement). Verify revocation of a co-parent's access is immediate and also invalidates any already-issued session/websocket connections, not just future API calls.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 minimization &amp; retention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camera/mic capture, no keystroke logging, no encrypted-chat content capture; configurable retention window, default 90 days, enforced by scheduled deletion job.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is deliberately narrow, which reduces both legal exposure and breach impact. Confirm the deletion job also purges backups/exports and time-series store partitions, not just the primary record.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data-access audit log retained separately from activity data.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Good separation of concerns. Extend this explicitly to internal/employee access (support, legal-hold tooling) as well as guardian access — see Risk R-6.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Network hardening (client)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Certificate pinning specified for the Companion App.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yet specified for the Windows dashboard or its WebSocket channel — recommend extending pinning/hardening there as well (see Risk R-4).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Secure SDLC / testing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 test and dedicated pairing/token-flow review planned before public launch; device-matrix and battery testing planned.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Appropriately prioritizes the pairing/token flow as the highest-risk logic. Recommend this become a recurring (not one-time pre-launch) cadence — see Risk R-7.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Risk Register</w:t>
      </w:r>
    </w:p>
    <w:p>
      <w:pPr>
        <w:spacing w:after="160" w:line="276"/>
      </w:pPr>
      <w:r>
        <w:rPr>
          <w:sz w:val="21"/>
          <w:szCs w:val="21"/>
        </w:rPr>
        <w:t xml:space="preserve">Risks are rated Critical / High / Medium / Low based on likelihood and impact, consistent with the abuse case and data sensitivity described above.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500"/>
        <w:gridCol w:w="1300"/>
        <w:gridCol w:w="1300"/>
        <w:gridCol w:w="14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Fallback 8-char pairing code is guessable if not rate-limited; a nearby attacker could brute-force pairing to a stranger's account within the 10-minute validity window.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/ Pairing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SMS/message "content" capture (PRD §6.1, TRD alert rules) is legally fraught: most US states and many countries require all-party consent to intercept communication content, and a minor's own consent typically cannot substitute for that.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 / Compliance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1-year sliding refresh-token expiry, silently renewed with no re-attestation, means a device compromised early in its life could remain trusted indefinitely without the parent ever re-verifying it.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/ Session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R-4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Certificate pinning is specified for the Companion App but not for the Windows dashboard or its WebSocket channel, leaving the parent-side session open to interception on hostile networks.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R-5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device attestation (Play Integrity API / DeviceCheck) at pairing time is currently planned, only listed as an open question — increases risk of pairing to emulators or rooted/jailbroken devices for abuse or evasion.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Integrity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R-6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admin / legal-hold tooling is described but its access controls are not detailed; support staff with broad access to family location and communication metadata is an insider-risk and breach-impact multiplier.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Insider Risk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R-7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testing (pen test, pairing-flow review) is scoped as a pre-launch, one-time activity rather than a recurring program; new features in Phases 2–4 (alerts, multi-guardian, exports) will ship without equivalent review.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R-8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 digest reports are delivered as PDF/email (PRD §8.1); email is not encrypted end-to-end and is a common account-takeover target, creating a secondary exposure path for sensitive child activity data.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R-9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Tamper detection covers uninstall/force-stop/permission revocation, but not more subtle evasion such as enabling battery-optimization killers, disabling background data, or using a second/hidden device — the product's core anti-evasion promise could be partially defeated.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Detection Gap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R-10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Co-parent/guardian revocation is described as server-side RBAC, but immediate invalidation of already-open dashboard sessions and WebSocket connections upon revocation is not explicitly specified.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/ Session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A8C"/>
          <w:sz w:val="24"/>
          <w:szCs w:val="24"/>
        </w:rPr>
        <w:t xml:space="preserve">Recommended mitigations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R-1 — Rate-limit and lock out the fallback pairing code after a small number of failed attempts (e.g., 5) per session and per source IP; consider shortening its validity window below 10 minutes.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R-2 — Before implementing any message-content capture, obtain jurisdiction-specific legal sign-off per PRD §7; strongly consider shipping v1 with metadata-only messaging (sender/recipient/timestamp, no content) as the TRD's own "in scope" language already allows, and gate content capture behind a separate, clearly-disclosed, later phase.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R-3 — Trigger mandatory re-attestation (a fresh pairing or an in-app guardian confirmation) on risk signals such as a new IP geography, a new device fingerprint component, or a long period of inactivity, rather than relying solely on the 1-year sliding window.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R-4 — Extend certificate pinning and transport hardening to the Windows dashboard's REST and WebSocket connections, matching the Companion App's treatment.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R-5 — Adopt device attestation (Play Integrity API / DeviceCheck) at pairing time rather than leaving it as an open question; resolve before Phase 1 exits.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R-6 — Document and enforce least-privilege, time-boxed, audit-logged access for any internal support or legal-hold tooling, with the same "no code path to bypass" standard already applied to the on-device indicator.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R-7 — Convert the pre-launch pen test into a recurring cadence (e.g., before each major phase ships, and at least annually thereafter), given the pairing/token flow's role as the sole authentication boundary for a child's device.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R-8 — For the weekly digest, prefer an in-app/in-dashboard notification with a link requiring authentication over emailing a PDF attachment with activity details; if email must be used, keep it to a summary with no raw location/contact detail.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R-9 — Extend tamper detection to cover common evasion patterns (aggressive battery-optimization settings, background-data restrictions) in addition to uninstall/force-stop, and document this as an explicit non-functional requirement.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R-10 — Specify that guardian revocation invalidates open dashboard sessions and WebSocket connections immediately, not just future API calls, and add this case to the test plan in TRD §12.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Compliance &amp; Legal Considerations</w:t>
      </w:r>
    </w:p>
    <w:p>
      <w:pPr>
        <w:spacing w:after="160" w:line="276"/>
      </w:pPr>
      <w:r>
        <w:rPr>
          <w:sz w:val="21"/>
          <w:szCs w:val="21"/>
        </w:rPr>
        <w:t xml:space="preserve">This section restates and reinforces (does not replace) the legal review already called for in PRD §7.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Wiretap / eavesdropping statutes: message-content capture, if built at all, must be checked against both federal (e.g., ECPA in the U.S.) and state-level all-party-consent laws, and equivalents in each launch market. This is the basis for Risk R-2.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Children's privacy law: COPPA-style obligations (U.S.) and GDPR children's-data provisions (EU/UK) apply to data collected about minors regardless of who holds the account; retention, minimization, and deletion tooling described in TRD §8.4 are the right technical foundation but need a named compliance owner per market.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App store policy: both Google Play and Apple App Store apply heightened scrutiny to call/SMS/location-access apps in this category; the TRD's plan for pre-submission store-policy review (TRD §12) should be run against current policy text at each release, not just once.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Data subject rights: export/deletion tooling (TRD §8.4) should be verified to reach every datastore in TRD §4.2 (PostgreSQL, time-series store, object storage) and any backups, not only the primary record.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Recommendations Summary</w:t>
      </w:r>
    </w:p>
    <w:p>
      <w:pPr>
        <w:spacing w:after="160" w:line="276"/>
      </w:pPr>
      <w:r>
        <w:rPr>
          <w:sz w:val="21"/>
          <w:szCs w:val="21"/>
        </w:rPr>
        <w:t xml:space="preserve">Priority order for Phase 0–1 (blocking):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Resolve R-2 (message-content legal exposure) before building the keyword-alert feature for content, not just metadata.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Close R-1 (pairing-code brute force) and R-6 (internal tooling access controls) before the backend's pairing and admin endpoints are built, since both are foundational rather than additive.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Decide the R-3 (refresh-token re-attestation) policy as part of the Section 5.1 pairing/session design, since it is cheaper to build in from the start than retrofit.</w:t>
      </w:r>
    </w:p>
    <w:p>
      <w:pPr>
        <w:spacing w:after="160" w:line="276"/>
      </w:pPr>
      <w:r>
        <w:rPr>
          <w:sz w:val="21"/>
          <w:szCs w:val="21"/>
        </w:rPr>
        <w:t xml:space="preserve">Priority order for Phase 2–3 (should-fix):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R-4 (dashboard transport hardening), R-5 (device attestation), R-9 (broader tamper detection), R-8 (digest delivery channel), and R-10 (session invalidation on revocation).</w:t>
      </w:r>
    </w:p>
    <w:p>
      <w:pPr>
        <w:spacing w:after="160" w:line="276"/>
      </w:pPr>
      <w:r>
        <w:rPr>
          <w:sz w:val="21"/>
          <w:szCs w:val="21"/>
        </w:rPr>
        <w:t xml:space="preserve">Ongoing: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sz w:val="21"/>
          <w:szCs w:val="21"/>
        </w:rPr>
        <w:t xml:space="preserve">R-7 — establish a recurring security testing cadence rather than a single pre-launch pass.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Conclusion</w:t>
      </w:r>
    </w:p>
    <w:p>
      <w:pPr>
        <w:spacing w:after="160" w:line="276"/>
      </w:pPr>
      <w:r>
        <w:rPr>
          <w:sz w:val="21"/>
          <w:szCs w:val="21"/>
        </w:rPr>
        <w:t xml:space="preserve">Vigil Eye's design starts from an unusually strong position for this product category: the PRD treats legal and ethical risk as a first-class requirement rather than an afterthought, and the TRD backs that up with concrete, code-level enforcement of the anti-covert-surveillance controls. The gaps identified here are normal for a design-stage review — none require re-architecting the system, and most are refinements to specifications that are already close to correct. Addressing the Critical and High items in Section 6 before Phase 1 code is written should keep the product on solid legal and security footing as it moves toward the MVP milestone in PRD §14.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2026-09-13T13:20:15.514Z</dcterms:created>
  <dcterms:modified xsi:type="dcterms:W3CDTF">2026-09-13T13:20:15.525Z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