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56"/>
          <w:szCs w:val="56"/>
        </w:rPr>
        <w:t xml:space="preserve">VIGIL EYE</w:t>
      </w:r>
    </w:p>
    <w:p>
      <w:pPr>
        <w:spacing w:after="40"/>
      </w:pPr>
      <w:r>
        <w:rPr>
          <w:color w:val="2E5395"/>
          <w:sz w:val="30"/>
          <w:szCs w:val="30"/>
        </w:rPr>
        <w:t xml:space="preserve">Engineering &amp; Security Ticket Backlog</w:t>
      </w:r>
    </w:p>
    <w:p>
      <w:pPr>
        <w:spacing w:after="400"/>
      </w:pPr>
      <w:r>
        <w:rPr>
          <w:i/>
          <w:iCs/>
          <w:color w:val="5B5B5B"/>
          <w:sz w:val="22"/>
          <w:szCs w:val="22"/>
        </w:rPr>
        <w:t xml:space="preserve">Consolidated from the PRD, TRD, and Security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Board</w:t>
            </w:r>
          </w:p>
        </w:tc>
        <w:tc>
          <w:tcPr>
            <w:tcW w:type="dxa" w:w="74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Vigil Eye — Engineering &amp; Security Backlog</w:t>
            </w:r>
          </w:p>
        </w:tc>
      </w:tr>
      <w:tr>
        <w:tc>
          <w:tcPr>
            <w:tcW w:type="dxa" w:w="26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Compiled From</w:t>
            </w:r>
          </w:p>
        </w:tc>
        <w:tc>
          <w:tcPr>
            <w:tcW w:type="dxa" w:w="74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Vigil Eye PRD v1.0 (Draft) · Vigil Eye TRD v1.0 (Draft) · Vigil Eye Security Assessment v1.0 (Draft)</w:t>
            </w:r>
          </w:p>
        </w:tc>
      </w:tr>
      <w:tr>
        <w:tc>
          <w:tcPr>
            <w:tcW w:type="dxa" w:w="26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4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Product &amp; Engineering Leadership</w:t>
            </w:r>
          </w:p>
        </w:tc>
      </w:tr>
      <w:tr>
        <w:tc>
          <w:tcPr>
            <w:tcW w:type="dxa" w:w="26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74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Draft — for planning / sprint grooming</w:t>
            </w:r>
          </w:p>
        </w:tc>
      </w:tr>
      <w:tr>
        <w:tc>
          <w:tcPr>
            <w:tcW w:type="dxa" w:w="26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Prepared</w:t>
            </w:r>
          </w:p>
        </w:tc>
        <w:tc>
          <w:tcPr>
            <w:tcW w:type="dxa" w:w="74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September 13, 2026</w:t>
            </w:r>
          </w:p>
        </w:tc>
      </w:tr>
    </w:tbl>
    <w:p>
      <w:pPr>
        <w:spacing w:after="100" w:before="300"/>
      </w:pPr>
      <w:r>
        <w:rPr>
          <w:b/>
          <w:bCs/>
          <w:color w:val="1F3864"/>
          <w:sz w:val="22"/>
          <w:szCs w:val="22"/>
        </w:rPr>
        <w:t xml:space="preserve">Priority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 / Critical / High</w:t>
            </w:r>
          </w:p>
        </w:tc>
        <w:tc>
          <w:tcPr>
            <w:tcW w:type="dxa" w:w="768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Blocking — must resolve before the phase or feature it gates can ship.</w:t>
            </w:r>
          </w:p>
        </w:tc>
      </w:tr>
      <w:tr>
        <w:tc>
          <w:tcPr>
            <w:tcW w:type="dxa" w:w="24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D35400"/>
                <w:sz w:val="19"/>
                <w:szCs w:val="19"/>
              </w:rPr>
              <w:t xml:space="preserve">P1 / High</w:t>
            </w:r>
          </w:p>
        </w:tc>
        <w:tc>
          <w:tcPr>
            <w:tcW w:type="dxa" w:w="768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Important — should land within the target phase.</w:t>
            </w:r>
          </w:p>
        </w:tc>
      </w:tr>
      <w:tr>
        <w:tc>
          <w:tcPr>
            <w:tcW w:type="dxa" w:w="24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B7950B"/>
                <w:sz w:val="19"/>
                <w:szCs w:val="19"/>
              </w:rPr>
              <w:t xml:space="preserve">P2 / Medium</w:t>
            </w:r>
          </w:p>
        </w:tc>
        <w:tc>
          <w:tcPr>
            <w:tcW w:type="dxa" w:w="768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Backlog — schedule within 1–2 phases after MVP.</w:t>
            </w:r>
          </w:p>
        </w:tc>
      </w:tr>
      <w:tr>
        <w:tc>
          <w:tcPr>
            <w:tcW w:type="dxa" w:w="24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  <w:tc>
          <w:tcPr>
            <w:tcW w:type="dxa" w:w="768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9"/>
                <w:szCs w:val="19"/>
              </w:rPr>
              <w:t xml:space="preserve">Track — low urgency, revisit at next planning cycle.</w:t>
            </w:r>
          </w:p>
        </w:tc>
      </w:tr>
    </w:tbl>
    <w:p>
      <w:pPr>
        <w:spacing w:before="300"/>
      </w:pPr>
      <w:r>
        <w:rPr>
          <w:sz w:val="21"/>
          <w:szCs w:val="21"/>
        </w:rPr>
        <w:t xml:space="preserve">This backlog turns the Vigil Eye PRD's feature scope, the TRD's technical design, and the Security Assessment's risk register (R-1…R-10) into discrete, sprint-ready tickets, organized by delivery phase. Each ticket cites its source section so engineering, product, and security can trace requirements back to the original documents.</w:t>
      </w:r>
    </w:p>
    <w:p>
      <w:pPr>
        <w:pStyle w:val="Heading1"/>
        <w:pageBreakBefore/>
        <w:spacing w:after="120"/>
      </w:pPr>
      <w:r>
        <w:rPr>
          <w:b/>
          <w:bCs/>
          <w:color w:val="2E5395"/>
        </w:rPr>
        <w:t xml:space="preserve">EPIC 0 — </w:t>
      </w:r>
      <w:r>
        <w:rPr>
          <w:b/>
          <w:bCs/>
          <w:color w:val="1F3864"/>
        </w:rPr>
        <w:t xml:space="preserve">Phase 0 — Legal, Architecture &amp; Blocking Security Fixes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Per the Security Assessment's Executive Summary, R-1, R-2, R-3, and R-6 — plus the PRD §7 legal review — are called out as blocking items before feature work in Phase 1 begins.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Jurisdictional legal review &amp; sign-off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VE-001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/ Blocking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Compliance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§7; Security Assessment §2.2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Commission legal review of wiretap/eavesdropping statutes, COPPA, GDPR children's-data provisions, and app-store monitoring-app policies before any message-content or call-metadata feature ships.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Legal sign-off obtained and documented per target launch jurisdiction.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Findings mapped to specific PRD features (call/SMS access, location tracking).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Any jurisdiction where a feature cannot ship is flagged for regional feature-gating (see VE-008).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Guardian consent attestation flow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VE-002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/ Blocking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+ Compliance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§7; Security Assessment §4.3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Build the onboarding step requiring the account holder to affirmatively attest they are the parent/legal guardian of the monitored device's user (or have obtained consent) before a pairing session can be created.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Attestation is immutable and timestamped, and is a hard prerequisite the pairing API enforces server-side — not just a UI checkbox.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Attestation record is retained and auditable.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No code path exists to create a pairing session without a completed attestation.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Ship v1 messaging as metadata-only; gate content capture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VE-003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C0392B"/>
          <w:sz w:val="18"/>
          <w:szCs w:val="18"/>
        </w:rPr>
        <w:t xml:space="preserve">Critical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/ Compliance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Risk R-2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Per the Risk Register, SMS 'content' capture under the keyword watch-list feature is legally fraught: most jurisdictions require all-party consent and a minor's consent typically cannot satisfy that. Ship v1 with sender/recipient/timestamp metadata only (as the TRD's own scope already allows), and place content capture behind a separate, later, explicitly-disclosed phase pending legal sign-off (VE-001).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v1 SMS alert rules operate on metadata fields only (sender, recipient, timestamp) — no message body is stored or evaluated.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Keyword-flag alerting is either removed from v1 scope or reworked to metadata-only signals.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 distinct, flagged backlog item exists for future content-capture work, blocked on legal sign-off.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Rate-limit and lock out the fallback pairing code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VE-004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High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Risk R-1; TRD §5.1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8-character alphanumeric fallback pairing code is currently unprotected against brute force within its 10-minute validity window. Add rate-limiting and lockout.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Fallback code is locked after 5 failed attempts, per session and per source 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Validity window is shortened below 10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Lockout and repeated-failure events are logged and alertable.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Add risk-based re-attestation to device refresh tokens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VE-005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High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Risk R-3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1-year sliding refresh-token expiry with silent renewal means a device compromised early in its life could stay trusted indefinitely without the parent re-verifying it. Add forced re-attestation triggers.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Re-attestation (fresh pairing or in-app guardian confirmation) is triggered on new IP geography, new device-fingerprint components, or prolonged inactivity.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Sliding 1-year expiry remains as a backstop, not the sole control.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Re-attestation events are visible to the guardian in the dashboard.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Specify least-privilege, audited access for internal admin/legal-hold tooling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VE-006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High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Risk R-6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Internal support and legal-hold tooling access to family location and communication metadata is currently under-specified. Extend the same 'no code path exists to bypass' standard already applied to the on-device indicator to this internal boundary.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Internal tooling access is least-privilege, time-boxed, and requires justification per access grant.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All internal/employee access to family data is captured in the audit log (see VE-034), separate from guardian access logs.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No standing/unscoped admin access to raw family data exists.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Stand up core cloud backend services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VE-007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Technical Infrastructure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TRD §4.2, §3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Provision the Auth &amp; Pairing, Ingestion, Alert-Rule Engine, Notification, and Reporting/Export services as independent containers (Docker/Kubernetes), decoupling ingestion load from dashboard latency, connected via a managed message queue (SQS/PubSub).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Each service deploys and scales independently; ingestion load does not degrade dashboard read latency.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REST/JSON over HTTPS contract is documented for client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Basic health checks and observability are in place for all five services.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Provision data model and datastores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VE-008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Technical Infrastructure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TRD §4.2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Set up PostgreSQL for accounts/devices/rules, a time-series store (TimescaleDB or DynamoDB) for location and event streams, and S3-compatible object storage for encrypted exports/backups, with envelope encryption via cloud KMS.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AES-256 at-rest encryption is applied to all three stores via envelope encryption.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KMS key rotation policy is defined and covers data keys, not only master keys.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Schema supports the retention/deletion job design in VE-033.</w:t>
      </w:r>
    </w:p>
    <w:p>
      <w:pPr>
        <w:pStyle w:val="Heading1"/>
        <w:pageBreakBefore/>
        <w:spacing w:after="120"/>
      </w:pPr>
      <w:r>
        <w:rPr>
          <w:b/>
          <w:bCs/>
          <w:color w:val="2E5395"/>
        </w:rPr>
        <w:t xml:space="preserve">EPIC 1 — </w:t>
      </w:r>
      <w:r>
        <w:rPr>
          <w:b/>
          <w:bCs/>
          <w:color w:val="1F3864"/>
        </w:rPr>
        <w:t xml:space="preserve">Phase 1 (MVP) — Android Companion App + Windows Dashboard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Weeks 4–10 per the PRD's proposed milestones: call logs, location, and app usage, delivered on Android and Windows first.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Android companion app: guided setup &amp; permission grants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VE-009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§8.2; TRD §5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Build the in-person guided install flow: guardian installs the app on the child's device, signs in with the pairing code, and the device requests required OS permissions (location, call log, usage access).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Setup completes end-to-end without leaving the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Every required permission is requested with a plain-language explanation of why it's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Setup is measured against the &gt;85% completed-within-15-minutes KPI (PRD §12).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Persistent, non-removable on-device monitoring indicator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VE-010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+ Trust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§7, §8.2; Security Assessment §4.3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Implement the always-visible status icon/notification confirming monitoring is active. There must be no hidden-install mode and no code path — in the client or in any admin tooling — capable of disabling the indicator.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Indicator is visible at all times monitoring is active, across app states and reboots.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No settings screen, admin endpoint, or support tool can suppress the indicator.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Absence of the indicator (e.g., due to tampering) itself triggers a tamper alert to the parent dashboard.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Call log collection &amp; sync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VE-011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§6.1, §8.1, §8.2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Collect incoming/outgoing/missed calls with contact name/number and duration on the child device; sync to the backend and render as a filterable, searchable list in the Windows dashboard.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Call events queue locally when offline and sync once connectivity resumes.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Dashboard call log viewer supports filter and search by contact, date, and direction.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Only call metadata is collected — no call audio.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Device pairing: QR code + protected fallback code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VE-012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+ 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TRD §5.1; Security Assessment §5 (Pairing flow)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Implement the one-time, in-person QR-code pairing ceremony exchanging a short-lived, single-use token for a permanent, silently-renewing device credential bound to hardware-backed keys (Android Keystore / iOS Secure Enclave). Fallback code inherits the R-1 protections from VE-004.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QR pairing requires physical possession and completes without recurring parent reconfiguration afterward.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Device private key is generated in hardware and never leaves the device.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Fallback code path enforces the rate-limit/lockout from VE-004.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Local encrypted queue &amp; background sync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VE-013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Technical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TRD §3.1, §4.1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Implement the SQLite + SQLCipher local queue on the companion app, with WorkManager (Android) driven periodic sync of batched events (5–15 min cycle) and near-real-time push for location/geofence events (target: within 2 minutes).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All locally queued data is encrypted at rest via SQLCipher.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Geofence events reach the dashboard within 2 minutes in normal network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Companion app battery overhead stays within the ~5% daily drain target (PRD §10).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Windows dashboard: unified activity feed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VE-014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§8.1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Build the chronological feed combining call, message, app, and location events across all of a guardian's linked children, as the dashboard's primary landing view.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Feed merges all event types in correct chronological order.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Dashboard load time is under 2 seconds for standard views (PRD §10).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Feed respects the multi-child switcher (VE-015) scoping.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Windows dashboard: multi-child switcher &amp; call log viewer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VE-015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§8.1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Let a guardian toggle between linked children/devices from one account, and view the call log viewer (VE-011) scoped to the selected child.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Switching children updates the entire dashboard view (feed, calls, location) consistently.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State (selected child, filters) persists across a session.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Guardian authentication with mandatory MFA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VE-016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§5 (Authentication)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Require password + mandatory MFA (TOTP or push) for all dashboard access, given the sensitivity of the data involved.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MFA is required at every new-device/session login, with no way to permanently opt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Account-recovery flows cannot silently bypass or disable MFA.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App usage &amp; screen time reporting (v1)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VE-017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§8.1, §8.2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Report daily/weekly time-per-app and install/uninstall events from the companion app to the dashboard's app usage report view.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Install/uninstall events appear in the dashboard within one sync cycle.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Time-per-app figures are viewable by day and by week.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Baseline tamper/uninstall alert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VE-018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P1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+ 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§8.2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Notify the parent dashboard if the companion app is disabled, uninstalled, or has required permissions revoked.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Uninstall, force-stop, and permission-revocation events each generate a distinct alert type.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Alert is delivered even if the device later reconnects, reflecting the historical tamper event.</w:t>
      </w:r>
    </w:p>
    <w:p>
      <w:pPr>
        <w:pStyle w:val="Heading1"/>
        <w:pageBreakBefore/>
        <w:spacing w:after="120"/>
      </w:pPr>
      <w:r>
        <w:rPr>
          <w:b/>
          <w:bCs/>
          <w:color w:val="2E5395"/>
        </w:rPr>
        <w:t xml:space="preserve">EPIC 2 — </w:t>
      </w:r>
      <w:r>
        <w:rPr>
          <w:b/>
          <w:bCs/>
          <w:color w:val="1F3864"/>
        </w:rPr>
        <w:t xml:space="preserve">Phase 2 — iOS App, Geofencing, Alerts Center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Weeks 11–16 per the PRD's proposed milestones, plus the Medium-severity platform-integrity and network-hardening items from the Security Assessment.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iOS companion app parity build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VE-019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TRD §4.1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Build the iOS companion app in Swift using BGTaskScheduler for background sync (subject to iOS background-execution limits) and Core Data with the iOS Data Protection API for on-disk encryption, matching Android feature parity.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Feature parity with the Android companion app for in-scope signals (calls where permitted, location, app usage).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Sync-cadence trade-offs from iOS background limits are documented and communicated in-app if relevant.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Location tracking &amp; geofencing (safe zones)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VE-020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§8.1; TRD §4.1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Implement live and historical location tracking (30-day trail) with guardian-defined safe zones and native geofencing APIs (FusedLocationProviderClient / Core Location) rather than polling.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Geofence entry/exit alerts fire within the 2-minute target.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Historical location trail covers at least the last 30 days on the dashboard map view.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Alerts center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VE-021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D35400"/>
          <w:sz w:val="18"/>
          <w:szCs w:val="18"/>
        </w:rPr>
        <w:t xml:space="preserve">P0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§8.1, §8.3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Build the configurable push/email alerts center covering geofence, new/unknown contact, new app install, low battery, and device-offline/tamper events.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Guardian can enable/disable each alert type independently.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Alert relevance is tracked toward the &lt;15% 'not useful' KPI (PRD §12).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Unknown/new contact alert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VE-022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P1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§8.3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Flag calls or messages from a contact not previously seen for the linked child.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Alert fires on first contact from a new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Guardian can mark a contact as known to suppress future alerts for it.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New app install alert with age-inappropriate flagging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VE-023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P1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§8.3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Alert the guardian on new app installs, with an option to flag installs in age-inappropriate app categories.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Install alert includes app name, category, and install timestamp.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Age-inappropriate category flagging is configurable per child profile.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Extend certificate pinning to the Windows dashboard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VE-024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Medium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Risk R-4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Certificate pinning is currently specified only for the Companion App. Extend equivalent pinning/transport hardening to the Windows dashboard's REST and WebSocket connections.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Dashboard REST calls and the persistent WebSocket both enforce certificate pinning.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Pin rotation process is documented to avoid bricking the dashboard on certificate renewal.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Device attestation at pairing time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VE-025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Medium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Risk R-5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Adopt Play Integrity API (Android) / DeviceCheck (iOS) at pairing time, resolving what is currently an open question, to reduce the risk of pairing to emulators or rooted/jailbroken devices.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Pairing flow calls the platform attestation API and records the result.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Policy is defined for how a failed/low-integrity attestation affects pairing (block vs. flag).</w:t>
      </w:r>
    </w:p>
    <w:p>
      <w:pPr>
        <w:pStyle w:val="Heading1"/>
        <w:pageBreakBefore/>
        <w:spacing w:after="120"/>
      </w:pPr>
      <w:r>
        <w:rPr>
          <w:b/>
          <w:bCs/>
          <w:color w:val="2E5395"/>
        </w:rPr>
        <w:t xml:space="preserve">EPIC 3 — </w:t>
      </w:r>
      <w:r>
        <w:rPr>
          <w:b/>
          <w:bCs/>
          <w:color w:val="1F3864"/>
        </w:rPr>
        <w:t xml:space="preserve">Phase 3 — Web History, Screen Time Controls, Multi-Guardian, Exports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Weeks 17–20 per the PRD's proposed milestones.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Web browsing history viewer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VE-026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P1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§8.1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Surface browsing history from supported/managed browsers in the dashboard.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History is scoped to explicitly supported/managed browsers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Viewer supports search and date filtering.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Screen time limits &amp; bedtime schedules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VE-027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P1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§8.1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Let a guardian view usage and optionally set daily time limits or bedtime schedules per child.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Limits/schedules are configurable per child and take effect on the companion app without requiring reinstall.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Guardian sees confirmation when a limit is applied on-device.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Multi-guardian invite &amp; role-based access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VE-028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P1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+ 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§8.1; Security Assessment §5 (Authorization/RBAC)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Allow inviting a co-parent/guardian with owner or read-only shared access, enforced server-side on every endpoint.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Read-only role cannot perform any write/configuration action, verified server-side, not just hidden in the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Invite flow requires acceptance by the invited guardian before access is granted.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Immediate session/WebSocket invalidation on guardian revocation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VE-029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1E8449"/>
          <w:sz w:val="18"/>
          <w:szCs w:val="18"/>
        </w:rPr>
        <w:t xml:space="preserve">Low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Risk R-10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When a co-parent/guardian's access is revoked, immediately invalidate any already-open dashboard sessions and WebSocket connections, not just future API calls.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Revoking access terminates an active WebSocket connection within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 revoked guardian's existing session token is rejected on next use.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Weekly digest export, hardened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VE-030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1E8449"/>
          <w:sz w:val="18"/>
          <w:szCs w:val="18"/>
        </w:rPr>
        <w:t xml:space="preserve">P2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Feature + 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§8.1; Security Assessment Risk R-8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Deliver the weekly summary digest. Per R-8, prefer an in-app/in-dashboard notification with an authenticated link over emailing a PDF with activity detail; if email is used, keep it to a summary with no raw location/contact detail.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Default delivery is an authenticated in-dashboard notification, not a PDF email attachment.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If email is retained as an option, it contains no raw location or contact detail.</w:t>
      </w:r>
    </w:p>
    <w:p>
      <w:pPr>
        <w:pStyle w:val="Heading1"/>
        <w:pageBreakBefore/>
        <w:spacing w:after="120"/>
      </w:pPr>
      <w:r>
        <w:rPr>
          <w:b/>
          <w:bCs/>
          <w:color w:val="2E5395"/>
        </w:rPr>
        <w:t xml:space="preserve">EPIC 4 — </w:t>
      </w:r>
      <w:r>
        <w:rPr>
          <w:b/>
          <w:bCs/>
          <w:color w:val="1F3864"/>
        </w:rPr>
        <w:t xml:space="preserve">Ongoing — Security Process, Data Handling &amp; Audit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Cross-cutting items from the Security Assessment that should run continuously rather than as one-time, pre-launch tasks.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Convert pre-launch pen test into a recurring cadence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VE-031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Medium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Process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Risk R-7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Security testing is currently scoped as a one-time, pre-launch activity. Establish a recurring cadence — before each major phase ships, and at least annually thereafter — given the pairing/token flow's role as the sole authentication boundary for a child's device.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Pen test / pairing-flow review is scheduled before each major phase release.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An annual review is calendared regardless of release cadence.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Expand tamper-detection evasion coverage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VE-032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Medium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Risk R-9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Current tamper detection covers uninstall/force-stop/permission revocation but not subtler evasion such as background-data restriction, battery-optimization killers, or a second/hidden device.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Detection is extended to background-data restriction and OS-level battery-optimization opt-outs for the companion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Evasion-pattern coverage is documented and reviewed each time a new OS version changes background-execution behavior.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Retention &amp; deletion job covering backups and time-series partitions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VE-033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P1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Compliance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PRD §10; Security Assessment §5 (Data minimization &amp; retention)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Enforce the configurable retention window (default 90 days) via a scheduled deletion job that purges backups/exports and time-series store partitions, not just the primary record.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Deletion job removes data from the primary store, backups/exports, and the time-series store within the same retention cycle.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Retention window is configurable per account within policy limits.</w:t>
      </w:r>
    </w:p>
    <w:p>
      <w:pPr>
        <w:pBdr>
          <w:bottom w:val="single" w:color="C9D6EA" w:sz="4"/>
        </w:pBdr>
        <w:spacing w:after="60" w:before="260"/>
      </w:pPr>
      <w:r>
        <w:rPr>
          <w:b/>
          <w:bCs/>
          <w:color w:val="1B1B1B"/>
          <w:sz w:val="24"/>
          <w:szCs w:val="24"/>
        </w:rPr>
        <w:t xml:space="preserve">Audit logging for guardian and internal/employee access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VE-034  </w:t>
      </w:r>
      <w:r>
        <w:rPr>
          <w:b/>
          <w:bCs/>
          <w:color w:val="5B5B5B"/>
          <w:sz w:val="18"/>
          <w:szCs w:val="18"/>
        </w:rPr>
        <w:t xml:space="preserve">  Priority: </w:t>
      </w:r>
      <w:r>
        <w:rPr>
          <w:b/>
          <w:bCs/>
          <w:color w:val="B7950B"/>
          <w:sz w:val="18"/>
          <w:szCs w:val="18"/>
        </w:rPr>
        <w:t xml:space="preserve">P1   </w:t>
      </w:r>
      <w:r>
        <w:rPr>
          <w:b/>
          <w:bCs/>
          <w:color w:val="5B5B5B"/>
          <w:sz w:val="18"/>
          <w:szCs w:val="18"/>
        </w:rPr>
        <w:t xml:space="preserve">  Type: </w:t>
      </w:r>
      <w:r>
        <w:rPr>
          <w:color w:val="222222"/>
          <w:sz w:val="18"/>
          <w:szCs w:val="18"/>
        </w:rPr>
        <w:t xml:space="preserve">Security + Compliance   </w:t>
      </w:r>
      <w:r>
        <w:rPr>
          <w:b/>
          <w:bCs/>
          <w:color w:val="5B5B5B"/>
          <w:sz w:val="18"/>
          <w:szCs w:val="18"/>
        </w:rPr>
        <w:t xml:space="preserve">  Source: </w:t>
      </w:r>
      <w:r>
        <w:rPr>
          <w:i/>
          <w:iCs/>
          <w:color w:val="222222"/>
          <w:sz w:val="18"/>
          <w:szCs w:val="18"/>
        </w:rPr>
        <w:t xml:space="preserve">Security Assessment §5 (Audit logging); Risk R-6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Maintain a dashboard data-access audit log retained separately from activity data, and extend it explicitly to internal/employee access via support or legal-hold tooling (see VE-006).</w:t>
      </w:r>
    </w:p>
    <w:p>
      <w:pPr>
        <w:spacing w:after="40"/>
      </w:pPr>
      <w:r>
        <w:rPr>
          <w:b/>
          <w:bCs/>
          <w:color w:val="2E5395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Every guardian data access and every internal/employee data access is logged with actor, timestamp, and record accessed.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A2A"/>
          <w:sz w:val="20"/>
          <w:szCs w:val="20"/>
        </w:rPr>
        <w:t xml:space="preserve">Audit log is stored separately from the activity data it describes and is tamper-evident.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2026-09-13T13:24:19.307Z</dcterms:created>
  <dcterms:modified xsi:type="dcterms:W3CDTF">2026-09-13T13:24:19.317Z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