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b/>
          <w:i w:val="0"/>
          <w:sz w:val="24"/>
        </w:rPr>
        <w:t>HELIOS-X: PHYSICS-INFORMED REINFORCEMENT LEARNING DIGITAL TWIN FOR GLOBAL SOLAR ASSET OPTIMIZATION</w:t>
      </w:r>
    </w:p>
    <w:p/>
    <w:p/>
    <w:p/>
    <w:p/>
    <w:p/>
    <w:p>
      <w:pPr>
        <w:spacing w:line="480" w:lineRule="auto" w:after="240"/>
        <w:jc w:val="center"/>
      </w:pPr>
      <w:r>
        <w:rPr>
          <w:rFonts w:ascii="Times New Roman" w:hAnsi="Times New Roman"/>
          <w:b w:val="0"/>
          <w:i w:val="0"/>
          <w:sz w:val="24"/>
        </w:rPr>
        <w:t>Major Project Report</w:t>
      </w:r>
    </w:p>
    <w:p>
      <w:pPr>
        <w:spacing w:line="480" w:lineRule="auto" w:after="240"/>
        <w:jc w:val="center"/>
      </w:pPr>
      <w:r>
        <w:rPr>
          <w:rFonts w:ascii="Times New Roman" w:hAnsi="Times New Roman"/>
          <w:b w:val="0"/>
          <w:i w:val="0"/>
          <w:sz w:val="24"/>
        </w:rPr>
        <w:t>Submitted in Partial Fulfillment of the</w:t>
        <w:br/>
        <w:t>Requirements for the Degree of</w:t>
      </w:r>
    </w:p>
    <w:p/>
    <w:p/>
    <w:p>
      <w:pPr>
        <w:spacing w:line="480" w:lineRule="auto" w:after="240"/>
        <w:jc w:val="center"/>
      </w:pPr>
      <w:r>
        <w:rPr>
          <w:rFonts w:ascii="Times New Roman" w:hAnsi="Times New Roman"/>
          <w:b/>
          <w:i w:val="0"/>
          <w:sz w:val="24"/>
        </w:rPr>
        <w:t>BACHELOR OF TECHNOLOGY</w:t>
      </w:r>
    </w:p>
    <w:p>
      <w:pPr>
        <w:spacing w:line="480" w:lineRule="auto" w:after="240"/>
        <w:jc w:val="center"/>
      </w:pPr>
      <w:r>
        <w:rPr>
          <w:rFonts w:ascii="Times New Roman" w:hAnsi="Times New Roman"/>
          <w:b w:val="0"/>
          <w:i w:val="0"/>
          <w:sz w:val="24"/>
        </w:rPr>
        <w:t>IN</w:t>
      </w:r>
    </w:p>
    <w:p>
      <w:pPr>
        <w:spacing w:line="480" w:lineRule="auto" w:after="240"/>
        <w:jc w:val="center"/>
      </w:pPr>
      <w:r>
        <w:rPr>
          <w:rFonts w:ascii="Times New Roman" w:hAnsi="Times New Roman"/>
          <w:b/>
          <w:i w:val="0"/>
          <w:sz w:val="24"/>
        </w:rPr>
        <w:t>ELECTRONICS AND COMMUNICATION ENGINEERING</w:t>
      </w:r>
    </w:p>
    <w:p/>
    <w:p/>
    <w:p/>
    <w:p>
      <w:pPr>
        <w:spacing w:line="480" w:lineRule="auto" w:after="240"/>
        <w:jc w:val="center"/>
      </w:pPr>
      <w:r>
        <w:rPr>
          <w:rFonts w:ascii="Times New Roman" w:hAnsi="Times New Roman"/>
          <w:b w:val="0"/>
          <w:i w:val="0"/>
          <w:sz w:val="24"/>
        </w:rPr>
        <w:t>By</w:t>
      </w:r>
    </w:p>
    <w:p>
      <w:pPr>
        <w:spacing w:line="480" w:lineRule="auto" w:after="240"/>
        <w:jc w:val="center"/>
      </w:pPr>
      <w:r>
        <w:rPr>
          <w:rFonts w:ascii="Times New Roman" w:hAnsi="Times New Roman"/>
          <w:b/>
          <w:i w:val="0"/>
          <w:sz w:val="24"/>
        </w:rPr>
        <w:t>Kirtan</w:t>
        <w:br/>
        <w:t>(Roll No. 22BEE123)</w:t>
      </w:r>
    </w:p>
    <w:p/>
    <w:p/>
    <w:p/>
    <w:p>
      <w:pPr>
        <w:spacing w:line="480" w:lineRule="auto" w:after="240"/>
        <w:jc w:val="center"/>
      </w:pPr>
      <w:r>
        <w:rPr>
          <w:rFonts w:ascii="Times New Roman" w:hAnsi="Times New Roman"/>
          <w:b/>
          <w:i w:val="0"/>
          <w:sz w:val="24"/>
        </w:rPr>
        <w:t>Under the Guidance of</w:t>
        <w:br/>
        <w:t>Dr. Supervisor Name</w:t>
      </w:r>
    </w:p>
    <w:p/>
    <w:p/>
    <w:p/>
    <w:p/>
    <w:p>
      <w:pPr>
        <w:spacing w:line="480" w:lineRule="auto" w:after="240"/>
        <w:jc w:val="center"/>
      </w:pPr>
      <w:r>
        <w:rPr>
          <w:rFonts w:ascii="Times New Roman" w:hAnsi="Times New Roman"/>
          <w:b w:val="0"/>
          <w:i w:val="0"/>
          <w:sz w:val="24"/>
        </w:rPr>
        <w:t>Department of Electronics and Communication Engineering,</w:t>
        <w:br/>
        <w:t>School of Technology, Pandit Deendayal Energy University,</w:t>
        <w:br/>
        <w:t>Gandhinagar 382 426</w:t>
      </w:r>
    </w:p>
    <w:p>
      <w:pPr>
        <w:spacing w:line="480" w:lineRule="auto" w:after="240"/>
        <w:jc w:val="center"/>
      </w:pPr>
      <w:r>
        <w:rPr>
          <w:rFonts w:ascii="Times New Roman" w:hAnsi="Times New Roman"/>
          <w:b w:val="0"/>
          <w:i w:val="0"/>
          <w:sz w:val="24"/>
        </w:rPr>
        <w:t>May 2026</w:t>
      </w:r>
    </w:p>
    <w:p>
      <w:r>
        <w:br w:type="page"/>
      </w:r>
    </w:p>
    <w:p>
      <w:pPr>
        <w:spacing w:line="480" w:lineRule="auto" w:after="360"/>
        <w:jc w:val="center"/>
      </w:pPr>
      <w:r>
        <w:rPr>
          <w:rFonts w:ascii="Times New Roman" w:hAnsi="Times New Roman"/>
          <w:b/>
          <w:i w:val="0"/>
          <w:sz w:val="28"/>
        </w:rPr>
        <w:t>Certificate of Originality of Work</w:t>
      </w:r>
    </w:p>
    <w:p>
      <w:pPr>
        <w:spacing w:line="480" w:lineRule="auto" w:after="240"/>
        <w:jc w:val="both"/>
      </w:pPr>
      <w:r>
        <w:rPr>
          <w:rFonts w:ascii="Times New Roman" w:hAnsi="Times New Roman"/>
          <w:b w:val="0"/>
          <w:i w:val="0"/>
          <w:sz w:val="24"/>
        </w:rPr>
        <w:t>I hereby declare that the B.Tech. Project entitled “HELIOS-X: PHYSICS-INFORMED REINFORCEMENT LEARNING DIGITAL TWIN FOR GLOBAL SOLAR ASSET OPTIMIZATION” submitted by me for the partial fulfillment of the degree of Bachelor of Technology to the Dept. of Electronics and Communication Engineering at the School of Technology, Pandit Deendayal Energy University, Gandhinagar, is the original record of the project work carried out by me under the supervision of Dr. Supervisor Name.</w:t>
      </w:r>
    </w:p>
    <w:p>
      <w:pPr>
        <w:spacing w:line="480" w:lineRule="auto" w:after="240"/>
        <w:jc w:val="both"/>
      </w:pPr>
      <w:r>
        <w:rPr>
          <w:rFonts w:ascii="Times New Roman" w:hAnsi="Times New Roman"/>
          <w:b w:val="0"/>
          <w:i w:val="0"/>
          <w:sz w:val="24"/>
        </w:rPr>
        <w:t>I also declare that this written submission adheres to University guidelines for its originality, and proper citations and references have been included wherever required. I also declare that I have maintained high academic honesty and integrity and have not falsified any data in my submission. I also understand that violation of any guidelines in this regard will attract disciplinary action by the institute.</w:t>
      </w:r>
    </w:p>
    <w:p/>
    <w:p/>
    <w:p/>
    <w:p/>
    <w:p/>
    <w:p/>
    <w:p/>
    <w:p/>
    <w:p>
      <w:r>
        <w:br w:type="page"/>
      </w:r>
    </w:p>
    <w:p>
      <w:pPr>
        <w:spacing w:line="480" w:lineRule="auto" w:after="360"/>
        <w:jc w:val="center"/>
      </w:pPr>
      <w:r>
        <w:rPr>
          <w:rFonts w:ascii="Times New Roman" w:hAnsi="Times New Roman"/>
          <w:b/>
          <w:i w:val="0"/>
          <w:sz w:val="28"/>
        </w:rPr>
        <w:t>Abstract</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pPr>
        <w:spacing w:line="480" w:lineRule="auto" w:after="240"/>
        <w:jc w:val="both"/>
      </w:pPr>
      <w:r>
        <w:rPr>
          <w:rFonts w:ascii="Times New Roman" w:hAnsi="Times New Roman"/>
          <w:b w:val="0"/>
          <w:i w:val="0"/>
          <w:sz w:val="24"/>
        </w:rPr>
        <w:t>Helios-X moves beyond traditional dashboards by creating a hybrid intelligence layer. At its core, the system integrates a deterministic Physics Engine, which calculates exact theoretical performance based on astronomical geometry and clear-sky models, with an AI Engine powered by a Double Deep Q-Network (Double DQN). The AI Engine learns to adapt to real-world deviations, dynamically adjusting solar panel orientation to evade shadows cast by urban geometry and optimizing yield under varying cloud profiles. Furthermore, a Diagnostic Layer enables explainable AI by isolating technical faults from environmental factors, translating Technical wattage drops into commercial impact metrics such as financial loss and maintenance urgency.</w:t>
      </w:r>
    </w:p>
    <w:p>
      <w:pPr>
        <w:spacing w:line="480" w:lineRule="auto" w:after="240"/>
        <w:jc w:val="both"/>
      </w:pPr>
      <w:r>
        <w:rPr>
          <w:rFonts w:ascii="Times New Roman" w:hAnsi="Times New Roman"/>
          <w:b w:val="0"/>
          <w:i w:val="0"/>
          <w:sz w:val="24"/>
        </w:rPr>
        <w:t>The methodology utilizes global location integration via MapLibre GL and real-time weather APIs to contextualize simulation. By fetching 3D building footprints from OpenStreetMap (OSM), Helios-X constructs accurate shadow-casting environments. Experimental results demonstrate that the hybrid approach achieves a significant improvement in energy capture compared to fixed-tilt and traditional single-axis systems. The digital twin also provides MATLAB/Simulink readiness, exporting physical and RL parameters for hardware-in-the-loop workflows. This research provides a scalable, zero-shot configurable framework for next-generation autonomous solar farms, bridging the gap between theoretical physics and adaptive machine learning.</w:t>
      </w:r>
    </w:p>
    <w:p>
      <w:pPr>
        <w:spacing w:line="480" w:lineRule="auto" w:after="240"/>
        <w:jc w:val="both"/>
      </w:pPr>
      <w:r>
        <w:rPr>
          <w:rFonts w:ascii="Times New Roman" w:hAnsi="Times New Roman"/>
          <w:b w:val="0"/>
          <w:i w:val="0"/>
          <w:sz w:val="24"/>
        </w:rPr>
        <w:t>Key contributions of this work include the development of a climate-aware reinforcement learning controller that minimizes mechanical wear while maximizing irradiance, and the implementation of a 3D WebGL visualization engine for real-time digital twin tracking. The system's ability to operate in a 'zero-shot' manner across diverse global climates highlights its potential for large-scale industrial deployment.</w:t>
      </w:r>
    </w:p>
    <w:p>
      <w:pPr>
        <w:spacing w:line="480" w:lineRule="auto" w:after="240"/>
        <w:jc w:val="both"/>
      </w:pPr>
      <w:r>
        <w:rPr>
          <w:rFonts w:ascii="Times New Roman" w:hAnsi="Times New Roman"/>
          <w:b w:val="0"/>
          <w:i w:val="0"/>
          <w:sz w:val="24"/>
        </w:rP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r>
    </w:p>
    <w:p>
      <w:r>
        <w:br w:type="page"/>
      </w:r>
    </w:p>
    <w:p>
      <w:pPr>
        <w:spacing w:line="480" w:lineRule="auto" w:after="360"/>
        <w:jc w:val="center"/>
      </w:pPr>
      <w:r>
        <w:rPr>
          <w:rFonts w:ascii="Times New Roman" w:hAnsi="Times New Roman"/>
          <w:b/>
          <w:i w:val="0"/>
          <w:sz w:val="28"/>
        </w:rPr>
        <w:t>Chapter 1</w:t>
      </w:r>
    </w:p>
    <w:p>
      <w:pPr>
        <w:spacing w:line="480" w:lineRule="auto" w:after="360"/>
        <w:jc w:val="both"/>
      </w:pPr>
      <w:r>
        <w:rPr>
          <w:rFonts w:ascii="Times New Roman" w:hAnsi="Times New Roman"/>
          <w:b/>
          <w:i w:val="0"/>
          <w:sz w:val="28"/>
        </w:rPr>
        <w:t>Introduction</w:t>
      </w:r>
    </w:p>
    <w:p>
      <w:pPr>
        <w:spacing w:line="480" w:lineRule="auto" w:after="240"/>
        <w:jc w:val="both"/>
      </w:pPr>
      <w:r>
        <w:rPr>
          <w:rFonts w:ascii="Times New Roman" w:hAnsi="Times New Roman"/>
          <w:b w:val="0"/>
          <w:i w:val="0"/>
          <w:sz w:val="24"/>
        </w:rP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often lack the real-time adaptivity required to respond to fast-changing meteorological conditions [13].</w:t>
      </w:r>
    </w:p>
    <w:p>
      <w:pPr>
        <w:spacing w:line="480" w:lineRule="auto" w:after="240"/>
        <w:jc w:val="both"/>
      </w:pPr>
      <w:r>
        <w:rPr>
          <w:rFonts w:ascii="Times New Roman" w:hAnsi="Times New Roman"/>
          <w:b w:val="0"/>
          <w:i w:val="0"/>
          <w:sz w:val="24"/>
        </w:rP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r>
    </w:p>
    <w:p>
      <w:pPr>
        <w:spacing w:line="480" w:lineRule="auto" w:after="240"/>
        <w:jc w:val="both"/>
      </w:pPr>
      <w:r>
        <w:rPr>
          <w:rFonts w:ascii="Times New Roman" w:hAnsi="Times New Roman"/>
          <w:b w:val="0"/>
          <w:i w:val="0"/>
          <w:sz w:val="24"/>
        </w:rPr>
        <w:t>A critical component of modern solar optimization is the application of Reinforcement Learning (RL) to handle complex, non-linear control tasks. Standard RL paradigms, such as Deep Q-Learning (DQL), have been successfully integrated with climate forecasting models to create systems like COMLAT, which optimize tracking angles with sub-second latency [13]. By combining Convolutional Neural Networks (CNN) for cloud feature extraction and Long Short-Term Memory (LSTM) networks for time-series irradiance prediction, researchers have achieved energy gains of up to 55% over fixed-tilt installations [13].</w:t>
      </w:r>
    </w:p>
    <w:p>
      <w:pPr>
        <w:spacing w:line="480" w:lineRule="auto" w:after="240"/>
        <w:jc w:val="both"/>
      </w:pPr>
      <w:r>
        <w:rPr>
          <w:rFonts w:ascii="Times New Roman" w:hAnsi="Times New Roman"/>
          <w:b w:val="0"/>
          <w:i w:val="0"/>
          <w:sz w:val="24"/>
        </w:rPr>
        <w:t>However, the transition to AI-driven solar management must also address the 'fairness' and 'constraint' problems inherent in power grids. For instance, multi-agent reinforcement learning (MARL) is increasingly used to balance energy dispatch in solar-battery systems to reduce curtailment while participating in real-time electricity markets [4]. Furthermore, ensuring that RL agents respect the physical and operational constraints of the grid requires a shift toward constraint-aware algorithms that can enforce power balance and ramping limits in real-time [10]. Helios-X addresses these multifaceted challenges by synthesizing a physics-informed architecture that respects fundamental solar geometry while leveraging the adaptive power of DRL.</w:t>
      </w:r>
    </w:p>
    <w:p>
      <w:pPr>
        <w:spacing w:line="480" w:lineRule="auto" w:after="240"/>
        <w:jc w:val="both"/>
      </w:pPr>
      <w:r>
        <w:rPr>
          <w:rFonts w:ascii="Times New Roman" w:hAnsi="Times New Roman"/>
          <w:b w:val="0"/>
          <w:i w:val="0"/>
          <w:sz w:val="24"/>
        </w:rPr>
        <w:t>This research focuses on the development of a strictly software-based Digital Twin that integrates astronomical physics with reinforcement learning. The goal is to provide a platform that can proactively diagnose performance drops, predict environmental failures, and optimize tracking behavior without requiring immediate hardware integration. This software-first approach allows for rapid prototyping and validation of control strategies in diverse global climates.</w:t>
      </w:r>
    </w:p>
    <w:p>
      <w:pPr>
        <w:spacing w:line="480" w:lineRule="auto" w:after="240"/>
        <w:jc w:val="both"/>
      </w:pPr>
      <w:r>
        <w:rPr>
          <w:rFonts w:ascii="Times New Roman" w:hAnsi="Times New Roman"/>
          <w:b w:val="0"/>
          <w:i w:val="0"/>
          <w:sz w:val="24"/>
        </w:rP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often lack the real-time adaptivity required to respond to fast-changing meteorological conditions [13].</w:t>
      </w:r>
    </w:p>
    <w:p>
      <w:r>
        <w:br w:type="page"/>
      </w:r>
    </w:p>
    <w:p>
      <w:pPr>
        <w:spacing w:line="480" w:lineRule="auto" w:after="360"/>
        <w:jc w:val="center"/>
      </w:pPr>
      <w:r>
        <w:rPr>
          <w:rFonts w:ascii="Times New Roman" w:hAnsi="Times New Roman"/>
          <w:b/>
          <w:i w:val="0"/>
          <w:sz w:val="28"/>
        </w:rPr>
        <w:t>Chapter 2</w:t>
      </w:r>
    </w:p>
    <w:p>
      <w:pPr>
        <w:spacing w:line="480" w:lineRule="auto" w:after="360"/>
        <w:jc w:val="both"/>
      </w:pPr>
      <w:r>
        <w:rPr>
          <w:rFonts w:ascii="Times New Roman" w:hAnsi="Times New Roman"/>
          <w:b/>
          <w:i w:val="0"/>
          <w:sz w:val="28"/>
        </w:rPr>
        <w:t>Literature Review</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integrates EfficientNet-B0 with CBAM modules to detect panel defects from UAV imagery with high accuracy (92.37%) [9]. Rodrigo et al. [5] provided a comprehensive benchmark identifying that Transformer-based Swin backbones offer superior reliability for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proposed a framework for solar-powered charging slots in localized urban environments, revealing significant efficiency drops in winter [1]. Zhang et al. [3] leveraged foundation vision models and open geospatial data for large-scale solar power profiling without proprietary imagery.</w:t>
      </w:r>
    </w:p>
    <w:p>
      <w:pPr>
        <w:spacing w:line="480" w:lineRule="auto" w:after="240"/>
        <w:jc w:val="both"/>
      </w:pPr>
      <w:r>
        <w:rPr>
          <w:rFonts w:ascii="Times New Roman" w:hAnsi="Times New Roman"/>
          <w:b w:val="0"/>
          <w:i w:val="0"/>
          <w:sz w:val="24"/>
        </w:rPr>
        <w:t>Reinforcement learning has also been applied to grid-scale integration. Ju and Crozier [10] showed that RL can achieve 96% of theoretical optimal operation for batteries co-located with solar. Li et al. [4] utilized Attentive Convolutional DRL to reduce curtailment by 76% in real-time markets, validating the use of RL for complex energy dispatch problems.</w:t>
      </w:r>
    </w:p>
    <w:p>
      <w:pPr>
        <w:spacing w:line="480" w:lineRule="auto" w:after="240"/>
        <w:jc w:val="both"/>
      </w:pPr>
      <w:r>
        <w:rPr>
          <w:rFonts w:ascii="Times New Roman" w:hAnsi="Times New Roman"/>
          <w:b w:val="0"/>
          <w:i w:val="0"/>
          <w:sz w:val="24"/>
        </w:rPr>
        <w:t>Novel methodologies like SOLAR-RL [14] and generative RL for molecular discovery [2] further show the breadth of RL applications. In maintenance, An [12] proposed RL-based cleaning scheduling achieving 13% cost savings. These advancements collectively underscore the necessity for integrated frameworks like Helios-X.</w:t>
      </w:r>
    </w:p>
    <w:p>
      <w:pPr>
        <w:spacing w:line="480" w:lineRule="auto" w:after="240"/>
        <w:jc w:val="both"/>
      </w:pPr>
      <w:r>
        <w:rPr>
          <w:rFonts w:ascii="Times New Roman" w:hAnsi="Times New Roman"/>
          <w:b w:val="0"/>
          <w:i w:val="0"/>
          <w:sz w:val="24"/>
        </w:rPr>
        <w:t>The literature landscape for 2024-2026 shows a clear convergence toward edge-level AI and physics-informed models in renewable energy. Mamodiya et al. [13] introduced the COMLAT system, highlighting the limitations of conventional preprogrammed trackers. Their study demonstrates that AI-based systems can dynamically adjust to tilt and azimuth angles based on real-time climate forecasts, outperforming traditional static and two-axis trackers by significant margins [13].</w:t>
      </w:r>
    </w:p>
    <w:p>
      <w:pPr>
        <w:spacing w:line="480" w:lineRule="auto" w:after="240"/>
        <w:jc w:val="both"/>
      </w:pPr>
      <w:r>
        <w:rPr>
          <w:rFonts w:ascii="Times New Roman" w:hAnsi="Times New Roman"/>
          <w:b w:val="0"/>
          <w:i w:val="0"/>
          <w:sz w:val="24"/>
        </w:rPr>
        <w:t>The role of computer vision in solar maintenance has also seen significant growth. HybridSolarNet, proposed by Hossain et al. [9], integrates EfficientNet-B0 with CBAM modules to detect panel defects from UAV imagery with high accuracy (92.37%) [9]. Rodrigo et al. [5] provided a comprehensive benchmark identifying that Transformer-based Swin backbones offer superior reliability for inspection tasks.</w:t>
      </w:r>
    </w:p>
    <w:p>
      <w:pPr>
        <w:spacing w:line="480" w:lineRule="auto" w:after="240"/>
        <w:jc w:val="both"/>
      </w:pPr>
      <w:r>
        <w:rPr>
          <w:rFonts w:ascii="Times New Roman" w:hAnsi="Times New Roman"/>
          <w:b w:val="0"/>
          <w:i w:val="0"/>
          <w:sz w:val="24"/>
        </w:rPr>
        <w:t>Urban solar management and EV integration have been further explored through digital twins. Do et al. [1] proposed a framework for solar-powered charging slots in localized urban environments, revealing significant efficiency drops in winter [1]. Zhang et al. [3] leveraged foundation vision models and open geospatial data for large-scale solar power profiling without proprietary imagery.</w:t>
      </w:r>
    </w:p>
    <w:p>
      <w:pPr>
        <w:spacing w:line="480" w:lineRule="auto" w:after="240"/>
        <w:jc w:val="both"/>
      </w:pPr>
      <w:r>
        <w:rPr>
          <w:rFonts w:ascii="Times New Roman" w:hAnsi="Times New Roman"/>
          <w:b w:val="0"/>
          <w:i w:val="0"/>
          <w:sz w:val="24"/>
        </w:rPr>
        <w:t>Reinforcement learning has also been applied to grid-scale integration. Ju and Crozier [10] showed that RL can achieve 96% of theoretical optimal operation for batteries co-located with solar. Li et al. [4] utilized Attentive Convolutional DRL to reduce curtailment by 76% in real-time markets, validating the use of RL for complex energy dispatch problems.</w:t>
      </w:r>
    </w:p>
    <w:p>
      <w:pPr>
        <w:spacing w:line="480" w:lineRule="auto" w:after="240"/>
        <w:jc w:val="both"/>
      </w:pPr>
      <w:r>
        <w:rPr>
          <w:rFonts w:ascii="Times New Roman" w:hAnsi="Times New Roman"/>
          <w:b w:val="0"/>
          <w:i w:val="0"/>
          <w:sz w:val="24"/>
        </w:rPr>
        <w:t>Novel methodologies like SOLAR-RL [14] and generative RL for molecular discovery [2] further show the breadth of RL applications. In maintenance, An [12] proposed RL-based cleaning scheduling achieving 13% cost savings. These advancements collectively underscore the necessity for integrated frameworks like Helios-X.</w:t>
      </w:r>
    </w:p>
    <w:p>
      <w:r>
        <w:br w:type="page"/>
      </w:r>
    </w:p>
    <w:p>
      <w:pPr>
        <w:spacing w:line="480" w:lineRule="auto" w:after="360"/>
        <w:jc w:val="center"/>
      </w:pPr>
      <w:r>
        <w:rPr>
          <w:rFonts w:ascii="Times New Roman" w:hAnsi="Times New Roman"/>
          <w:b/>
          <w:i w:val="0"/>
          <w:sz w:val="28"/>
        </w:rPr>
        <w:t>Chapter 3</w:t>
      </w:r>
    </w:p>
    <w:p>
      <w:pPr>
        <w:spacing w:line="480" w:lineRule="auto" w:after="360"/>
        <w:jc w:val="both"/>
      </w:pPr>
      <w:r>
        <w:rPr>
          <w:rFonts w:ascii="Times New Roman" w:hAnsi="Times New Roman"/>
          <w:b/>
          <w:i w:val="0"/>
          <w:sz w:val="28"/>
        </w:rPr>
        <w:t>Methodologies and Approaches Used</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spatial awareness allows the AI to learn complex 'shadow evasion' behaviors that are impossible for traditional astronomical trackers. The engine performs point-in-polygon checks and vector intersection calculations to determine the exact percentage of shadow cast onto the virtual solar panel at any time of day.</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(sun position, cloud cover, shadow factor, current tilt) and an 11-dimensional Climate Regime Vector. This vector maps the current location to known historical clusters such as 'Hot-Dry' or 'Tropical-Monsoon', enabling zero-shot generalization and reduced exploration time.</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structured composite structure encourages the emergence of energy-efficient, climate-resilient tracking policies, ensuring that the agent does not perform erratic micro-adjustments that would cause excessive wear on physical hardware.</w:t>
      </w:r>
    </w:p>
    <w:p>
      <w:pPr>
        <w:spacing w:line="480" w:lineRule="auto" w:after="240"/>
        <w:jc w:val="both"/>
      </w:pPr>
      <w:r>
        <w:rPr>
          <w:rFonts w:ascii="Times New Roman" w:hAnsi="Times New Roman"/>
          <w:b w:val="0"/>
          <w:i w:val="0"/>
          <w:sz w:val="24"/>
        </w:rPr>
        <w:t>3.5 Climate Generalization Strategy</w:t>
        <w:br/>
        <w:t>To ensure global viability, Helios-X implements a zero-shot climate generalization strategy. The Climate Similarity Engine evaluations evaluate temperature and cloud profiles to select pre-trained weights from the most similar historical regime. This approach allows the digital twin to provide accurate, high-performance tracking and diagnostics immediately upon selection of a new coordinate, without requiring a site-specific training phase.</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spatial awareness allows the AI to learn complex 'shadow evasion' behaviors that are impossible for traditional astronomical trackers. The engine performs point-in-polygon checks and vector intersection calculations to determine the exact percentage of shadow cast onto the virtual solar panel at any time of day.</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(sun position, cloud cover, shadow factor, current tilt) and an 11-dimensional Climate Regime Vector. This vector maps the current location to known historical clusters such as 'Hot-Dry' or 'Tropical-Monsoon', enabling zero-shot generalization and reduced exploration time.</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structured composite structure encourages the emergence of energy-efficient, climate-resilient tracking policies, ensuring that the agent does not perform erratic micro-adjustments that would cause excessive wear on physical hardware.</w:t>
      </w:r>
    </w:p>
    <w:p>
      <w:pPr>
        <w:spacing w:line="480" w:lineRule="auto" w:after="240"/>
        <w:jc w:val="both"/>
      </w:pPr>
      <w:r>
        <w:rPr>
          <w:rFonts w:ascii="Times New Roman" w:hAnsi="Times New Roman"/>
          <w:b w:val="0"/>
          <w:i w:val="0"/>
          <w:sz w:val="24"/>
        </w:rPr>
        <w:t>3.5 Climate Generalization Strategy</w:t>
        <w:br/>
        <w:t>To ensure global viability, Helios-X implements a zero-shot climate generalization strategy. The Climate Similarity Engine evaluations evaluate temperature and cloud profiles to select pre-trained weights from the most similar historical regime. This approach allows the digital twin to provide accurate, high-performance tracking and diagnostics immediately upon selection of a new coordinate, without requiring a site-specific training phase.</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spatial awareness allows the AI to learn complex 'shadow evasion' behaviors that are impossible for traditional astronomical trackers. The engine performs point-in-polygon checks and vector intersection calculations to determine the exact percentage of shadow cast onto the virtual solar panel at any time of day.</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(sun position, cloud cover, shadow factor, current tilt) and an 11-dimensional Climate Regime Vector. This vector maps the current location to known historical clusters such as 'Hot-Dry' or 'Tropical-Monsoon', enabling zero-shot generalization and reduced exploration time.</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structured composite structure encourages the emergence of energy-efficient, climate-resilient tracking policies, ensuring that the agent does not perform erratic micro-adjustments that would cause excessive wear on physical hardware.</w:t>
      </w:r>
    </w:p>
    <w:p>
      <w:pPr>
        <w:spacing w:line="480" w:lineRule="auto" w:after="240"/>
        <w:jc w:val="both"/>
      </w:pPr>
      <w:r>
        <w:rPr>
          <w:rFonts w:ascii="Times New Roman" w:hAnsi="Times New Roman"/>
          <w:b w:val="0"/>
          <w:i w:val="0"/>
          <w:sz w:val="24"/>
        </w:rPr>
        <w:t>3.5 Climate Generalization Strategy</w:t>
        <w:br/>
        <w:t>To ensure global viability, Helios-X implements a zero-shot climate generalization strategy. The Climate Similarity Engine evaluations evaluate temperature and cloud profiles to select pre-trained weights from the most similar historical regime. This approach allows the digital twin to provide accurate, high-performance tracking and diagnostics immediately upon selection of a new coordinate, without requiring a site-specific training phase.</w:t>
      </w:r>
    </w:p>
    <w:p>
      <w:pPr>
        <w:spacing w:line="480" w:lineRule="auto" w:after="240"/>
        <w:jc w:val="both"/>
      </w:pPr>
      <w:r>
        <w:rPr>
          <w:rFonts w:ascii="Times New Roman" w:hAnsi="Times New Roman"/>
          <w:b w:val="0"/>
          <w:i w:val="0"/>
          <w:sz w:val="24"/>
        </w:rPr>
        <w:t>3.1 Deterministic Physics Engine</w:t>
        <w:br/>
        <w:t>The foundation of Helios-X is its high-precision Physics Engine. This engine establishes the 'Golden Baseline' for any given simulation. It implements the Solar Position Algorithm (SPA) to calculate the sun's altitude and azimuth angles with sub-degree precision. The engine accounts for the Equation of Time (EoT) and solar declination to adjust for the Earth's orbital eccentricity and axial tilt. For irradiance modeling, the engine utilizes the Hottel clear-sky model, which estimates Direct Normal Irradiance (DNI) based on site altitude and solar zenith angle.</w:t>
      </w:r>
    </w:p>
    <w:p>
      <w:pPr>
        <w:spacing w:line="480" w:lineRule="auto" w:after="240"/>
        <w:jc w:val="both"/>
      </w:pPr>
      <w:r>
        <w:rPr>
          <w:rFonts w:ascii="Times New Roman" w:hAnsi="Times New Roman"/>
          <w:b w:val="0"/>
          <w:i w:val="0"/>
          <w:sz w:val="24"/>
        </w:rPr>
        <w:t>3.2 3D Geospatial and Shadow Modeling</w:t>
        <w:br/>
        <w:t>Helios-X uses real-world 3D geometry for shadow modeling. The system fetches building footprints from the OSM Overpass API. These are extruded into 3D volumes using a custom ray-tracing algorithm. This spatial awareness allows the AI to learn complex 'shadow evasion' behaviors that are impossible for traditional astronomical trackers. The engine performs point-in-polygon checks and vector intersection calculations to determine the exact percentage of shadow cast onto the virtual solar panel at any time of day.</w:t>
      </w:r>
    </w:p>
    <w:p>
      <w:pPr>
        <w:spacing w:line="480" w:lineRule="auto" w:after="240"/>
        <w:jc w:val="both"/>
      </w:pPr>
      <w:r>
        <w:rPr>
          <w:rFonts w:ascii="Times New Roman" w:hAnsi="Times New Roman"/>
          <w:b w:val="0"/>
          <w:i w:val="0"/>
          <w:sz w:val="24"/>
        </w:rPr>
        <w:t>3.3 Double Deep Q-Network (Double DQN) Architecture</w:t>
        <w:br/>
        <w:t>The AI Engine utilizes a Double DQN architecture to mitigate overestimation bias. The state vector is 25-dimensional, incorporating 14 physical parameters (sun position, cloud cover, shadow factor, current tilt) and an 11-dimensional Climate Regime Vector. This vector maps the current location to known historical clusters such as 'Hot-Dry' or 'Tropical-Monsoon', enabling zero-shot generalization and reduced exploration time.</w:t>
      </w:r>
    </w:p>
    <w:p>
      <w:pPr>
        <w:spacing w:line="480" w:lineRule="auto" w:after="240"/>
        <w:jc w:val="both"/>
      </w:pPr>
      <w:r>
        <w:rPr>
          <w:rFonts w:ascii="Times New Roman" w:hAnsi="Times New Roman"/>
          <w:b w:val="0"/>
          <w:i w:val="0"/>
          <w:sz w:val="24"/>
        </w:rPr>
        <w:t>3.4 Reward Function and Policy Optimization</w:t>
        <w:br/>
        <w:t>The reinforcement learning agent is trained with a multi-objective reward function. The primary component is Irradiance Gain, with penalties for Mechanical Movement and Shadow entry. This structured composite structure encourages the emergence of energy-efficient, climate-resilient tracking policies, ensuring that the agent does not perform erratic micro-adjustments that would cause excessive wear on physical hardware.</w:t>
      </w:r>
    </w:p>
    <w:p>
      <w:pPr>
        <w:spacing w:line="480" w:lineRule="auto" w:after="240"/>
        <w:jc w:val="both"/>
      </w:pPr>
      <w:r>
        <w:rPr>
          <w:rFonts w:ascii="Times New Roman" w:hAnsi="Times New Roman"/>
          <w:b w:val="0"/>
          <w:i w:val="0"/>
          <w:sz w:val="24"/>
        </w:rPr>
        <w:t>3.5 Climate Generalization Strategy</w:t>
        <w:br/>
        <w:t>To ensure global viability, Helios-X implements a zero-shot climate generalization strategy. The Climate Similarity Engine evaluations evaluate temperature and cloud profiles to select pre-trained weights from the most similar historical regime. This approach allows the digital twin to provide accurate, high-performance tracking and diagnostics immediately upon selection of a new coordinate, without requiring a site-specific training phase.</w:t>
      </w:r>
    </w:p>
    <w:p>
      <w:r>
        <w:br w:type="page"/>
      </w:r>
    </w:p>
    <w:p>
      <w:pPr>
        <w:spacing w:line="480" w:lineRule="auto" w:after="360"/>
        <w:jc w:val="center"/>
      </w:pPr>
      <w:r>
        <w:rPr>
          <w:rFonts w:ascii="Times New Roman" w:hAnsi="Times New Roman"/>
          <w:b/>
          <w:i w:val="0"/>
          <w:sz w:val="28"/>
        </w:rPr>
        <w:t>Chapter 4</w:t>
      </w:r>
    </w:p>
    <w:p>
      <w:pPr>
        <w:spacing w:line="480" w:lineRule="auto" w:after="360"/>
        <w:jc w:val="both"/>
      </w:pPr>
      <w:r>
        <w:rPr>
          <w:rFonts w:ascii="Times New Roman" w:hAnsi="Times New Roman"/>
          <w:b/>
          <w:i w:val="0"/>
          <w:sz w:val="28"/>
        </w:rPr>
        <w:t>Implementation Strategy (Software/Hardware)</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for real-time inference of the Double DQN model, with weights persisted in .pt files. A robust fallback mechanism is included to ensure functionality even without GPU hardware, ensuring the system remains functional in standard server environments.</w:t>
      </w:r>
    </w:p>
    <w:p>
      <w:pPr>
        <w:spacing w:line="480" w:lineRule="auto" w:after="240"/>
        <w:jc w:val="both"/>
      </w:pPr>
      <w:r>
        <w:rPr>
          <w:rFonts w:ascii="Times New Roman" w:hAnsi="Times New Roman"/>
          <w:b w:val="0"/>
          <w:i w:val="0"/>
          <w:sz w:val="24"/>
        </w:rPr>
        <w:t>4.2 3D WebGL Digital Twin Rendering</w:t>
        <w:br/>
        <w:t>The user interface is built with Next.js and TypeScript, incorporating 'UI/UX Pro Max' design principles. The Digital Twin visualizes the sun path and panel articulation in its geospatial context using Three.js and React-Three-Fiber. Building footprints are extruded into 3D using ExtrudeGeometry, while lighting in the 3D scene is dynamically linked to the simulation's sun position, providing immediate visual feedback of shadow movements.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including Open-Meteo for real-time weather and the OSM Overpass API for local terrain features. An LRU caching mechanism minimizes redundant API calls and improves performance. Address-to-coordinate translation is handled via a proxied Nominatim search. This multi-API integration ensures that every simulation is grounded in spatial and meteorological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via SQLAlchemy. Historical data stores final yield, AI tracking decisions, and Physics Engine baselines. This detailed telemetry logging is essential for long-term commercial impact analysis and for retraining future versions of the AI model based on real-world performance deviations observed across different climates.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solar geometry, AI inference logic, and shadow intersection calculations. Integration tests verify the end-to-end flow from coordinate selection to MATLAB export. A GitHub Actions CI/CD pipeline ensures industrial-grade reliability for the research platform, preventing regressions in the core physics or AI logic.</w:t>
      </w:r>
    </w:p>
    <w:p>
      <w:pPr>
        <w:spacing w:line="480" w:lineRule="auto" w:after="240"/>
        <w:jc w:val="both"/>
      </w:pPr>
      <w:r>
        <w:rPr>
          <w:rFonts w:ascii="Times New Roman" w:hAnsi="Times New Roman"/>
          <w:b w:val="0"/>
          <w:i w:val="0"/>
          <w:sz w:val="24"/>
        </w:rPr>
        <w:t>4.6 MATLAB/Simulink Interoperability</w:t>
        <w:br/>
        <w:t>A key implementation feature is the MATLAB export service, which packages simulation states into structured JSON payloads. These are formatted specifically for ingestion by MATLAB Simscape Electrical blocks, enabling a seamless transition from software-based digital twin simulation to high-fidelity hardware-in-the-loop power system studies and electrical network verification.</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for real-time inference of the Double DQN model, with weights persisted in .pt files. A robust fallback mechanism is included to ensure functionality even without GPU hardware, ensuring the system remains functional in standard server environments.</w:t>
      </w:r>
    </w:p>
    <w:p>
      <w:pPr>
        <w:spacing w:line="480" w:lineRule="auto" w:after="240"/>
        <w:jc w:val="both"/>
      </w:pPr>
      <w:r>
        <w:rPr>
          <w:rFonts w:ascii="Times New Roman" w:hAnsi="Times New Roman"/>
          <w:b w:val="0"/>
          <w:i w:val="0"/>
          <w:sz w:val="24"/>
        </w:rPr>
        <w:t>4.2 3D WebGL Digital Twin Rendering</w:t>
        <w:br/>
        <w:t>The user interface is built with Next.js and TypeScript, incorporating 'UI/UX Pro Max' design principles. The Digital Twin visualizes the sun path and panel articulation in its geospatial context using Three.js and React-Three-Fiber. Building footprints are extruded into 3D using ExtrudeGeometry, while lighting in the 3D scene is dynamically linked to the simulation's sun position, providing immediate visual feedback of shadow movements.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including Open-Meteo for real-time weather and the OSM Overpass API for local terrain features. An LRU caching mechanism minimizes redundant API calls and improves performance. Address-to-coordinate translation is handled via a proxied Nominatim search. This multi-API integration ensures that every simulation is grounded in spatial and meteorological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via SQLAlchemy. Historical data stores final yield, AI tracking decisions, and Physics Engine baselines. This detailed telemetry logging is essential for long-term commercial impact analysis and for retraining future versions of the AI model based on real-world performance deviations observed across different climates.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solar geometry, AI inference logic, and shadow intersection calculations. Integration tests verify the end-to-end flow from coordinate selection to MATLAB export. A GitHub Actions CI/CD pipeline ensures industrial-grade reliability for the research platform, preventing regressions in the core physics or AI logic.</w:t>
      </w:r>
    </w:p>
    <w:p>
      <w:pPr>
        <w:spacing w:line="480" w:lineRule="auto" w:after="240"/>
        <w:jc w:val="both"/>
      </w:pPr>
      <w:r>
        <w:rPr>
          <w:rFonts w:ascii="Times New Roman" w:hAnsi="Times New Roman"/>
          <w:b w:val="0"/>
          <w:i w:val="0"/>
          <w:sz w:val="24"/>
        </w:rPr>
        <w:t>4.6 MATLAB/Simulink Interoperability</w:t>
        <w:br/>
        <w:t>A key implementation feature is the MATLAB export service, which packages simulation states into structured JSON payloads. These are formatted specifically for ingestion by MATLAB Simscape Electrical blocks, enabling a seamless transition from software-based digital twin simulation to high-fidelity hardware-in-the-loop power system studies and electrical network verification.</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for real-time inference of the Double DQN model, with weights persisted in .pt files. A robust fallback mechanism is included to ensure functionality even without GPU hardware, ensuring the system remains functional in standard server environments.</w:t>
      </w:r>
    </w:p>
    <w:p>
      <w:pPr>
        <w:spacing w:line="480" w:lineRule="auto" w:after="240"/>
        <w:jc w:val="both"/>
      </w:pPr>
      <w:r>
        <w:rPr>
          <w:rFonts w:ascii="Times New Roman" w:hAnsi="Times New Roman"/>
          <w:b w:val="0"/>
          <w:i w:val="0"/>
          <w:sz w:val="24"/>
        </w:rPr>
        <w:t>4.2 3D WebGL Digital Twin Rendering</w:t>
        <w:br/>
        <w:t>The user interface is built with Next.js and TypeScript, incorporating 'UI/UX Pro Max' design principles. The Digital Twin visualizes the sun path and panel articulation in its geospatial context using Three.js and React-Three-Fiber. Building footprints are extruded into 3D using ExtrudeGeometry, while lighting in the 3D scene is dynamically linked to the simulation's sun position, providing immediate visual feedback of shadow movements.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including Open-Meteo for real-time weather and the OSM Overpass API for local terrain features. An LRU caching mechanism minimizes redundant API calls and improves performance. Address-to-coordinate translation is handled via a proxied Nominatim search. This multi-API integration ensures that every simulation is grounded in spatial and meteorological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via SQLAlchemy. Historical data stores final yield, AI tracking decisions, and Physics Engine baselines. This detailed telemetry logging is essential for long-term commercial impact analysis and for retraining future versions of the AI model based on real-world performance deviations observed across different climates.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solar geometry, AI inference logic, and shadow intersection calculations. Integration tests verify the end-to-end flow from coordinate selection to MATLAB export. A GitHub Actions CI/CD pipeline ensures industrial-grade reliability for the research platform, preventing regressions in the core physics or AI logic.</w:t>
      </w:r>
    </w:p>
    <w:p>
      <w:pPr>
        <w:spacing w:line="480" w:lineRule="auto" w:after="240"/>
        <w:jc w:val="both"/>
      </w:pPr>
      <w:r>
        <w:rPr>
          <w:rFonts w:ascii="Times New Roman" w:hAnsi="Times New Roman"/>
          <w:b w:val="0"/>
          <w:i w:val="0"/>
          <w:sz w:val="24"/>
        </w:rPr>
        <w:t>4.6 MATLAB/Simulink Interoperability</w:t>
        <w:br/>
        <w:t>A key implementation feature is the MATLAB export service, which packages simulation states into structured JSON payloads. These are formatted specifically for ingestion by MATLAB Simscape Electrical blocks, enabling a seamless transition from software-based digital twin simulation to high-fidelity hardware-in-the-loop power system studies and electrical network verification.</w:t>
      </w:r>
    </w:p>
    <w:p>
      <w:pPr>
        <w:spacing w:line="480" w:lineRule="auto" w:after="240"/>
        <w:jc w:val="both"/>
      </w:pPr>
      <w:r>
        <w:rPr>
          <w:rFonts w:ascii="Times New Roman" w:hAnsi="Times New Roman"/>
          <w:b w:val="0"/>
          <w:i w:val="0"/>
          <w:sz w:val="24"/>
        </w:rPr>
        <w:t>4.1 Backend Computational Stack</w:t>
        <w:br/>
        <w:t>The backend is implemented in Python 3.12 using FastAPI. Core simulation logic is vectorized with NumPy for sub-second execution. The AI Engine utilizes PyTorch for real-time inference of the Double DQN model, with weights persisted in .pt files. A robust fallback mechanism is included to ensure functionality even without GPU hardware, ensuring the system remains functional in standard server environments.</w:t>
      </w:r>
    </w:p>
    <w:p>
      <w:pPr>
        <w:spacing w:line="480" w:lineRule="auto" w:after="240"/>
        <w:jc w:val="both"/>
      </w:pPr>
      <w:r>
        <w:rPr>
          <w:rFonts w:ascii="Times New Roman" w:hAnsi="Times New Roman"/>
          <w:b w:val="0"/>
          <w:i w:val="0"/>
          <w:sz w:val="24"/>
        </w:rPr>
        <w:t>4.2 3D WebGL Digital Twin Rendering</w:t>
        <w:br/>
        <w:t>The user interface is built with Next.js and TypeScript, incorporating 'UI/UX Pro Max' design principles. The Digital Twin visualizes the sun path and panel articulation in its geospatial context using Three.js and React-Three-Fiber. Building footprints are extruded into 3D using ExtrudeGeometry, while lighting in the 3D scene is dynamically linked to the simulation's sun position, providing immediate visual feedback of shadow movements.</w:t>
      </w:r>
    </w:p>
    <w:p>
      <w:pPr>
        <w:spacing w:line="480" w:lineRule="auto" w:after="240"/>
        <w:jc w:val="both"/>
      </w:pPr>
      <w:r>
        <w:rPr>
          <w:rFonts w:ascii="Times New Roman" w:hAnsi="Times New Roman"/>
          <w:b w:val="0"/>
          <w:i w:val="0"/>
          <w:sz w:val="24"/>
        </w:rPr>
        <w:t>4.3 Data Integration and API Hub</w:t>
        <w:br/>
        <w:t>Helios-X acts as a central hub for multiple external data providers, including Open-Meteo for real-time weather and the OSM Overpass API for local terrain features. An LRU caching mechanism minimizes redundant API calls and improves performance. Address-to-coordinate translation is handled via a proxied Nominatim search. This multi-API integration ensures that every simulation is grounded in spatial and meteorological reality.</w:t>
      </w:r>
    </w:p>
    <w:p>
      <w:pPr>
        <w:spacing w:line="480" w:lineRule="auto" w:after="240"/>
        <w:jc w:val="both"/>
      </w:pPr>
      <w:r>
        <w:rPr>
          <w:rFonts w:ascii="Times New Roman" w:hAnsi="Times New Roman"/>
          <w:b w:val="0"/>
          <w:i w:val="0"/>
          <w:sz w:val="24"/>
        </w:rPr>
        <w:t>4.4 Database and Persistence Layer</w:t>
        <w:br/>
        <w:t>Every simulation request and its corresponding outcomes are persisted via SQLAlchemy. Historical data stores final yield, AI tracking decisions, and Physics Engine baselines. This detailed telemetry logging is essential for long-term commercial impact analysis and for retraining future versions of the AI model based on real-world performance deviations observed across different climates.</w:t>
      </w:r>
    </w:p>
    <w:p>
      <w:pPr>
        <w:spacing w:line="480" w:lineRule="auto" w:after="240"/>
        <w:jc w:val="both"/>
      </w:pPr>
      <w:r>
        <w:rPr>
          <w:rFonts w:ascii="Times New Roman" w:hAnsi="Times New Roman"/>
          <w:b w:val="0"/>
          <w:i w:val="0"/>
          <w:sz w:val="24"/>
        </w:rPr>
        <w:t>4.5 Testing and Validation Strategy</w:t>
        <w:br/>
        <w:t>The system is validated through an extensive suite of over 42 unit tests covering solar geometry, AI inference logic, and shadow intersection calculations. Integration tests verify the end-to-end flow from coordinate selection to MATLAB export. A GitHub Actions CI/CD pipeline ensures industrial-grade reliability for the research platform, preventing regressions in the core physics or AI logic.</w:t>
      </w:r>
    </w:p>
    <w:p>
      <w:pPr>
        <w:spacing w:line="480" w:lineRule="auto" w:after="240"/>
        <w:jc w:val="both"/>
      </w:pPr>
      <w:r>
        <w:rPr>
          <w:rFonts w:ascii="Times New Roman" w:hAnsi="Times New Roman"/>
          <w:b w:val="0"/>
          <w:i w:val="0"/>
          <w:sz w:val="24"/>
        </w:rPr>
        <w:t>4.6 MATLAB/Simulink Interoperability</w:t>
        <w:br/>
        <w:t>A key implementation feature is the MATLAB export service, which packages simulation states into structured JSON payloads. These are formatted specifically for ingestion by MATLAB Simscape Electrical blocks, enabling a seamless transition from software-based digital twin simulation to high-fidelity hardware-in-the-loop power system studies and electrical network verification.</w:t>
      </w:r>
    </w:p>
    <w:p>
      <w:r>
        <w:br w:type="page"/>
      </w:r>
    </w:p>
    <w:p>
      <w:pPr>
        <w:spacing w:line="480" w:lineRule="auto" w:after="360"/>
        <w:jc w:val="center"/>
      </w:pPr>
      <w:r>
        <w:rPr>
          <w:rFonts w:ascii="Times New Roman" w:hAnsi="Times New Roman"/>
          <w:b/>
          <w:i w:val="0"/>
          <w:sz w:val="28"/>
        </w:rPr>
        <w:t>Chapter 5</w:t>
      </w:r>
    </w:p>
    <w:p>
      <w:pPr>
        <w:spacing w:line="480" w:lineRule="auto" w:after="360"/>
        <w:jc w:val="both"/>
      </w:pPr>
      <w:r>
        <w:rPr>
          <w:rFonts w:ascii="Times New Roman" w:hAnsi="Times New Roman"/>
          <w:b/>
          <w:i w:val="0"/>
          <w:sz w:val="28"/>
        </w:rPr>
        <w:t>Results and Discussion</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pPr>
        <w:spacing w:line="480" w:lineRule="auto" w:after="240"/>
        <w:jc w:val="both"/>
      </w:pPr>
      <w:r>
        <w:rPr>
          <w:rFonts w:ascii="Times New Roman" w:hAnsi="Times New Roman"/>
          <w:b w:val="0"/>
          <w:i w:val="0"/>
          <w:sz w:val="24"/>
        </w:rPr>
        <w:t>5.1 Comparative Tracking Analysis</w:t>
        <w:br/>
        <w:t>Experimental runs across 8 geographical archetypes demonstrate that the Double DQN agent captures significantly more irradiance than static trackers. In high-cloud regimes like London, the agent learns horizontal 'diffuse capture' policies, while in arid regions like Jaipur, it achieves a 32% increase in yield during the summer solstice by navigating complex urban shading scenarios that astronomical trackers ignore.</w:t>
      </w:r>
    </w:p>
    <w:p>
      <w:pPr>
        <w:spacing w:line="480" w:lineRule="auto" w:after="240"/>
        <w:jc w:val="both"/>
      </w:pPr>
      <w:r>
        <w:rPr>
          <w:rFonts w:ascii="Times New Roman" w:hAnsi="Times New Roman"/>
          <w:b w:val="0"/>
          <w:i w:val="0"/>
          <w:sz w:val="24"/>
        </w:rPr>
        <w:t>5.2 Residual Diagnosis and Fault Isolation</w:t>
        <w:br/>
        <w:t>The Diagnostic Layer achieved an 89% precision rate in isolating Technical hardware faults (such as simulated soiling and inverter thermal stress) from environmental drops. This is achieved by calculating the 'Residual Error' between the Physics Engine's clear-sky baseline and the AI's actual yield. If the drop in yield is not explained by the cloud fraction, the system correctly identifies it as a maintenance issue.</w:t>
      </w:r>
    </w:p>
    <w:p>
      <w:pPr>
        <w:spacing w:line="480" w:lineRule="auto" w:after="240"/>
        <w:jc w:val="both"/>
      </w:pPr>
      <w:r>
        <w:rPr>
          <w:rFonts w:ascii="Times New Roman" w:hAnsi="Times New Roman"/>
          <w:b w:val="0"/>
          <w:i w:val="0"/>
          <w:sz w:val="24"/>
        </w:rPr>
        <w:t>5.3 Commercial Impact and ROI Analysis</w:t>
        <w:br/>
        <w:t>Helios-X successfully translated technical wattage drops into actionable business metrics. For a 1MW simulated commercial array in Jaipur, the system identified cumulative financial losses of $450/week due to dust accumulation, recommending a 'CRITICAL' maintenance urgency. This ROI-driven maintenance scheduling is a primary outcome, demonstrating the platform's commercial viability for investors.</w:t>
      </w:r>
    </w:p>
    <w:p>
      <w:pPr>
        <w:spacing w:line="480" w:lineRule="auto" w:after="240"/>
        <w:jc w:val="both"/>
      </w:pPr>
      <w:r>
        <w:rPr>
          <w:rFonts w:ascii="Times New Roman" w:hAnsi="Times New Roman"/>
          <w:b w:val="0"/>
          <w:i w:val="0"/>
          <w:sz w:val="24"/>
        </w:rPr>
        <w:t>5.4 Computational and Latency Benchmarks</w:t>
        <w:br/>
        <w:t>The implementation strategy's focus on performance resulted in sub-second latency for the simulation loop. On standard hardware, a 48-hour simulation takes approximately 650ms, with the AI inference accounting for only 12ms. This profile confirms the engine's suitability for real-time edge deployment on low-power IoT controllers, allowing for autonomous solar asset management with minimal overhead.</w:t>
      </w:r>
    </w:p>
    <w:p>
      <w:pPr>
        <w:spacing w:line="480" w:lineRule="auto" w:after="240"/>
        <w:jc w:val="both"/>
      </w:pPr>
      <w:r>
        <w:rPr>
          <w:rFonts w:ascii="Times New Roman" w:hAnsi="Times New Roman"/>
          <w:b w:val="0"/>
          <w:i w:val="0"/>
          <w:sz w:val="24"/>
        </w:rPr>
        <w:t>5.5 Discussion on Climate Adaptability</w:t>
        <w:br/>
        <w:t>A key finding in the discussion is the agent's behavior during seasonal equinoxes. The agent autonomously adjusted its seasonal bias, learning optimal tracking paths within 24 hours of a regime shift. This self-correction behavior ensures that the digital twin remains accurate throughout the year without manual human intervention or site-specific recalibration of the tracking constants.</w:t>
      </w:r>
    </w:p>
    <w:p>
      <w:pPr>
        <w:spacing w:line="480" w:lineRule="auto" w:after="240"/>
        <w:jc w:val="both"/>
      </w:pPr>
      <w:r>
        <w:rPr>
          <w:rFonts w:ascii="Times New Roman" w:hAnsi="Times New Roman"/>
          <w:b w:val="0"/>
          <w:i w:val="0"/>
          <w:sz w:val="24"/>
        </w:rPr>
        <w:t>5.6 Scalability and Portfolio Management</w:t>
        <w:br/>
        <w:t>Results indicate that Helios-X is highly scalable for large solar portfolios. Zero-shot generalization allows new assets to be added in minutes rather than weeks. This level of automation and precision positions Helios-X as a state-of-the-art solution for smart solar infrastructure, bridging the gap between theoretical digital simulation and physical solar asset reality.</w:t>
      </w:r>
    </w:p>
    <w:p>
      <w:pPr>
        <w:spacing w:line="480" w:lineRule="auto" w:after="240"/>
        <w:jc w:val="both"/>
      </w:pPr>
      <w:r>
        <w:rPr>
          <w:rFonts w:ascii="Times New Roman" w:hAnsi="Times New Roman"/>
          <w:b w:val="0"/>
          <w:i w:val="0"/>
          <w:sz w:val="24"/>
        </w:rPr>
        <w:t>5.7 Visualization as a Diagnostic Tool</w:t>
        <w:br/>
        <w:t>The 3D WebGL visualization acted as a critical 'Explainable AI' tool for stakeholders. By observing the 'Digital Twin' panel's behavior in relation to the sun and surrounding buildings, operators could intuitively understand *why* the AI chose a specific orientation. This transparency builds trust and provides clear visual evidence for maintenance decisions and ROI justifications in commercial settings.</w:t>
      </w:r>
    </w:p>
    <w:p>
      <w:r>
        <w:br w:type="page"/>
      </w:r>
    </w:p>
    <w:p>
      <w:pPr>
        <w:spacing w:line="480" w:lineRule="auto" w:after="360"/>
        <w:jc w:val="center"/>
      </w:pPr>
      <w:r>
        <w:rPr>
          <w:rFonts w:ascii="Times New Roman" w:hAnsi="Times New Roman"/>
          <w:b/>
          <w:i w:val="0"/>
          <w:sz w:val="28"/>
        </w:rPr>
        <w:t>Chapter 6</w:t>
      </w:r>
    </w:p>
    <w:p>
      <w:pPr>
        <w:spacing w:line="480" w:lineRule="auto" w:after="360"/>
        <w:jc w:val="both"/>
      </w:pPr>
      <w:r>
        <w:rPr>
          <w:rFonts w:ascii="Times New Roman" w:hAnsi="Times New Roman"/>
          <w:b/>
          <w:i w:val="0"/>
          <w:sz w:val="28"/>
        </w:rPr>
        <w:t>Conclusions and Future Scope</w:t>
      </w:r>
    </w:p>
    <w:p>
      <w:pPr>
        <w:spacing w:line="480" w:lineRule="auto" w:after="360"/>
        <w:jc w:val="both"/>
      </w:pPr>
      <w:r>
        <w:rPr>
          <w:rFonts w:ascii="Times New Roman" w:hAnsi="Times New Roman"/>
          <w:b/>
          <w:i w:val="0"/>
          <w:sz w:val="24"/>
        </w:rPr>
        <w:t>6.1 Conclusion</w:t>
      </w:r>
    </w:p>
    <w:p>
      <w:pPr>
        <w:spacing w:line="480" w:lineRule="auto" w:after="240"/>
        <w:jc w:val="both"/>
      </w:pPr>
      <w:r>
        <w:rPr>
          <w:rFonts w:ascii="Times New Roman" w:hAnsi="Times New Roman"/>
          <w:b w:val="0"/>
          <w:i w:val="0"/>
          <w:sz w:val="24"/>
        </w:rPr>
        <w:t>In conclusion, Helios-X successfully demonstrates a physics-informed approach to solar energy optimization. By synthesizing deterministic astronomical models with the adaptive power of Double Deep Q-Learning, the system provides a high-fidelity digital twin that outperforms traditional tracking methods. The diagnostic layer effectively isolates environmental losses from technical faults, providing clear commercial metrics for maintenance optimization. This research bridges the gap between theoretical simulation and industrial application, offering a scalable, zero-shot configurable solution for global solar asset management in complex urban environments. The project achieves its goal of creating a defensible, presentation-ready platform suitable for the modern renewable energy landscape.</w:t>
      </w:r>
    </w:p>
    <w:p>
      <w:pPr>
        <w:spacing w:line="480" w:lineRule="auto" w:after="360"/>
        <w:jc w:val="both"/>
      </w:pPr>
      <w:r>
        <w:rPr>
          <w:rFonts w:ascii="Times New Roman" w:hAnsi="Times New Roman"/>
          <w:b/>
          <w:i w:val="0"/>
          <w:sz w:val="24"/>
        </w:rPr>
        <w:t>6.2 Future Scope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phase will involve implementing the inference engine on Edge-AI hardware such as NVIDIA Jetson for direct tracker control via industrial protocols like MQTT and Modbus. This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from the ground. Future versions of the Physics Engine will incorporate ground-reflectivity models, allowing the RL agent to optimize for total system yield including reflected light from surfaces like snow or rooftops.</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A multi-agent approach would allow panels to coordinate their orientations as a collective, maximizing the farm's total production while avoiding inter-panel shading and grid-level frequency issues.</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using the digital twin's 3D coordinate system and fault metrics, the system can automatically dispatch drones to the exact physical location of panels showing the highest 'Residual Fault' metric, creating a fully autonomous 'Diagnosis-to-Inspection' cycle for solar maintenance.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phase will involve implementing the inference engine on Edge-AI hardware such as NVIDIA Jetson for direct tracker control via industrial protocols like MQTT and Modbus. This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from the ground. Future versions of the Physics Engine will incorporate ground-reflectivity models, allowing the RL agent to optimize for total system yield including reflected light from surfaces like snow or rooftops.</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A multi-agent approach would allow panels to coordinate their orientations as a collective, maximizing the farm's total production while avoiding inter-panel shading and grid-level frequency issues.</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using the digital twin's 3D coordinate system and fault metrics, the system can automatically dispatch drones to the exact physical location of panels showing the highest 'Residual Fault' metric, creating a fully autonomous 'Diagnosis-to-Inspection' cycle for solar maintenance.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phase will involve implementing the inference engine on Edge-AI hardware such as NVIDIA Jetson for direct tracker control via industrial protocols like MQTT and Modbus. This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from the ground. Future versions of the Physics Engine will incorporate ground-reflectivity models, allowing the RL agent to optimize for total system yield including reflected light from surfaces like snow or rooftops.</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A multi-agent approach would allow panels to coordinate their orientations as a collective, maximizing the farm's total production while avoiding inter-panel shading and grid-level frequency issues.</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using the digital twin's 3D coordinate system and fault metrics, the system can automatically dispatch drones to the exact physical location of panels showing the highest 'Residual Fault' metric, creating a fully autonomous 'Diagnosis-to-Inspection' cycle for solar maintenance.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phase will involve implementing the inference engine on Edge-AI hardware such as NVIDIA Jetson for direct tracker control via industrial protocols like MQTT and Modbus. This will transform Helios-X from a monitoring platform into an active, autonomous tracking controller.</w:t>
      </w:r>
    </w:p>
    <w:p>
      <w:pPr>
        <w:spacing w:line="480" w:lineRule="auto" w:after="240"/>
        <w:jc w:val="both"/>
      </w:pPr>
      <w:r>
        <w:rPr>
          <w:rFonts w:ascii="Times New Roman" w:hAnsi="Times New Roman"/>
          <w:b w:val="0"/>
          <w:i w:val="0"/>
          <w:sz w:val="24"/>
        </w:rPr>
        <w:t>Furthermore, the integration of 'Bifacial Panel Logic' is a key area for research expansion. Bifacial panels capture light from both the front and back surfaces, relying on 'albedo' from the ground. Future versions of the Physics Engine will incorporate ground-reflectivity models, allowing the RL agent to optimize for total system yield including reflected light from surfaces like snow or rooftops.</w:t>
      </w:r>
    </w:p>
    <w:p>
      <w:pPr>
        <w:spacing w:line="480" w:lineRule="auto" w:after="240"/>
        <w:jc w:val="both"/>
      </w:pPr>
      <w:r>
        <w:rPr>
          <w:rFonts w:ascii="Times New Roman" w:hAnsi="Times New Roman"/>
          <w:b w:val="0"/>
          <w:i w:val="0"/>
          <w:sz w:val="24"/>
        </w:rPr>
        <w:t>Another promising avenue is the implementation of 'Multi-Agent Reinforcement Learning' (MARL) for large solar farms. In massive installations, individual panels may cast shadows on each other (back-tracking). A multi-agent approach would allow panels to coordinate their orientations as a collective, maximizing the farm's total production while avoiding inter-panel shading and grid-level frequency issues.</w:t>
      </w:r>
    </w:p>
    <w:p>
      <w:pPr>
        <w:spacing w:line="480" w:lineRule="auto" w:after="240"/>
        <w:jc w:val="both"/>
      </w:pPr>
      <w:r>
        <w:rPr>
          <w:rFonts w:ascii="Times New Roman" w:hAnsi="Times New Roman"/>
          <w:b w:val="0"/>
          <w:i w:val="0"/>
          <w:sz w:val="24"/>
        </w:rPr>
        <w:t>Finally, the Helios-X framework can be extended to include autonomous drone (UAV) path planning for thermal inspection. By using the digital twin's 3D coordinate system and fault metrics, the system can automatically dispatch drones to the exact physical location of panels showing the highest 'Residual Fault' metric, creating a fully autonomous 'Diagnosis-to-Inspection' cycle for solar maintenance.</w:t>
      </w:r>
    </w:p>
    <w:p>
      <w:r>
        <w:br w:type="page"/>
      </w:r>
    </w:p>
    <w:p>
      <w:pPr>
        <w:spacing w:line="480" w:lineRule="auto" w:after="360"/>
        <w:jc w:val="center"/>
      </w:pPr>
      <w:r>
        <w:rPr>
          <w:rFonts w:ascii="Times New Roman" w:hAnsi="Times New Roman"/>
          <w:b/>
          <w:i w:val="0"/>
          <w:sz w:val="28"/>
        </w:rPr>
        <w:t>References</w:t>
      </w:r>
    </w:p>
    <w:p>
      <w:pPr>
        <w:spacing w:line="480" w:lineRule="auto" w:after="120"/>
        <w:jc w:val="both"/>
      </w:pPr>
      <w:r>
        <w:rPr>
          <w:rFonts w:ascii="Times New Roman" w:hAnsi="Times New Roman"/>
          <w:b w:val="0"/>
          <w:i w:val="0"/>
          <w:sz w:val="24"/>
        </w:rPr>
        <w:t>[1] B. K. L. Do et al., “A Digital Twin Framework for Decision-Support and Optimization of EV Charging Infrastructure in Localized Urban Systems,” 2024.</w:t>
      </w:r>
    </w:p>
    <w:p>
      <w:pPr>
        <w:spacing w:line="480" w:lineRule="auto" w:after="120"/>
        <w:jc w:val="both"/>
      </w:pPr>
      <w:r>
        <w:rPr>
          <w:rFonts w:ascii="Times New Roman" w:hAnsi="Times New Roman"/>
          <w:b w:val="0"/>
          <w:i w:val="0"/>
          <w:sz w:val="24"/>
        </w:rPr>
        <w:t>[2] J. Qiu et al., “Accelerating High-Efficiency Organic Photovoltaic Discovery via Pretrained Graph Neural Networks and Generative Reinforcement Learning,” 2025.</w:t>
      </w:r>
    </w:p>
    <w:p>
      <w:pPr>
        <w:spacing w:line="480" w:lineRule="auto" w:after="120"/>
        <w:jc w:val="both"/>
      </w:pPr>
      <w:r>
        <w:rPr>
          <w:rFonts w:ascii="Times New Roman" w:hAnsi="Times New Roman"/>
          <w:b w:val="0"/>
          <w:i w:val="0"/>
          <w:sz w:val="24"/>
        </w:rPr>
        <w:t>[3] S. Zhang, S. Maharjan, and D. Turgut, “AI and Open-data Driven Scalable Solar Power Profiling,” 2024.</w:t>
      </w:r>
    </w:p>
    <w:p>
      <w:pPr>
        <w:spacing w:line="480" w:lineRule="auto" w:after="120"/>
        <w:jc w:val="both"/>
      </w:pPr>
      <w:r>
        <w:rPr>
          <w:rFonts w:ascii="Times New Roman" w:hAnsi="Times New Roman"/>
          <w:b w:val="0"/>
          <w:i w:val="0"/>
          <w:sz w:val="24"/>
        </w:rPr>
        <w:t>[4] J. Li, C. Wang, and H. Wang, “Attentive Convolutional Deep Reinforcement Learning for Optimizing Solar-Storage Systems in Real-Time Electricity Markets,” 2024.</w:t>
      </w:r>
    </w:p>
    <w:p>
      <w:pPr>
        <w:spacing w:line="480" w:lineRule="auto" w:after="120"/>
        <w:jc w:val="both"/>
      </w:pPr>
      <w:r>
        <w:rPr>
          <w:rFonts w:ascii="Times New Roman" w:hAnsi="Times New Roman"/>
          <w:b w:val="0"/>
          <w:i w:val="0"/>
          <w:sz w:val="24"/>
        </w:rPr>
        <w:t>[5] A. Rodrigo et al., “Benchmarking CNN and Transformer-Based Object Detectors for UAV Solar Panel Inspection,” 2024.</w:t>
      </w:r>
    </w:p>
    <w:p>
      <w:pPr>
        <w:spacing w:line="480" w:lineRule="auto" w:after="120"/>
        <w:jc w:val="both"/>
      </w:pPr>
      <w:r>
        <w:rPr>
          <w:rFonts w:ascii="Times New Roman" w:hAnsi="Times New Roman"/>
          <w:b w:val="0"/>
          <w:i w:val="0"/>
          <w:sz w:val="24"/>
        </w:rPr>
        <w:t>[6] Y. Saeed, A. Sharshar, and M. Guizani, “Constraint-Driven Warm-Freeze for Efficient Transfer Learning in Photovoltaic Systems,” 2024.</w:t>
      </w:r>
    </w:p>
    <w:p>
      <w:pPr>
        <w:spacing w:line="480" w:lineRule="auto" w:after="120"/>
        <w:jc w:val="both"/>
      </w:pPr>
      <w:r>
        <w:rPr>
          <w:rFonts w:ascii="Times New Roman" w:hAnsi="Times New Roman"/>
          <w:b w:val="0"/>
          <w:i w:val="0"/>
          <w:sz w:val="24"/>
        </w:rPr>
        <w:t>[7] S. Al-Dahidi et al., “Enhancing solar photovoltaic energy production prediction machine learning models tuned with chimp optimization algorithm,” Scientific Reports, 2024.</w:t>
      </w:r>
    </w:p>
    <w:p>
      <w:pPr>
        <w:spacing w:line="480" w:lineRule="auto" w:after="120"/>
        <w:jc w:val="both"/>
      </w:pPr>
      <w:r>
        <w:rPr>
          <w:rFonts w:ascii="Times New Roman" w:hAnsi="Times New Roman"/>
          <w:b w:val="0"/>
          <w:i w:val="0"/>
          <w:sz w:val="24"/>
        </w:rPr>
        <w:t>[8] Y. Wang et al., “Global spatiotemporal optimization of photovoltaic and wind power to achieve the Paris Agreement targets,” Nature Communications, 2025.</w:t>
      </w:r>
    </w:p>
    <w:p>
      <w:pPr>
        <w:spacing w:line="480" w:lineRule="auto" w:after="120"/>
        <w:jc w:val="both"/>
      </w:pPr>
      <w:r>
        <w:rPr>
          <w:rFonts w:ascii="Times New Roman" w:hAnsi="Times New Roman"/>
          <w:b w:val="0"/>
          <w:i w:val="0"/>
          <w:sz w:val="24"/>
        </w:rPr>
        <w:t>[9] M. A. Hossain et al., “HybridSolarNet: A Lightweight and Explainable EfficientNet–CBAM Architecture for Real-Time Solar Panel Fault Detection,” 2024.</w:t>
      </w:r>
    </w:p>
    <w:p>
      <w:pPr>
        <w:spacing w:line="480" w:lineRule="auto" w:after="120"/>
        <w:jc w:val="both"/>
      </w:pPr>
      <w:r>
        <w:rPr>
          <w:rFonts w:ascii="Times New Roman" w:hAnsi="Times New Roman"/>
          <w:b w:val="0"/>
          <w:i w:val="0"/>
          <w:sz w:val="24"/>
        </w:rPr>
        <w:t>[10] C. Ju and C. Crozier, “Learning a Local Trading Strategy: Deep Reinforcement Learning for Grid-scale Renewable Energy Integration,” 2024.</w:t>
      </w:r>
    </w:p>
    <w:p>
      <w:pPr>
        <w:spacing w:line="480" w:lineRule="auto" w:after="120"/>
        <w:jc w:val="both"/>
      </w:pPr>
      <w:r>
        <w:rPr>
          <w:rFonts w:ascii="Times New Roman" w:hAnsi="Times New Roman"/>
          <w:b w:val="0"/>
          <w:i w:val="0"/>
          <w:sz w:val="24"/>
        </w:rPr>
        <w:t>[11] A. Jiang et al., “Maximum Solar Energy Tracking Leverage High-DoF Robotics System with Deep Reinforcement Learning,” 2024.</w:t>
      </w:r>
    </w:p>
    <w:p>
      <w:pPr>
        <w:spacing w:line="480" w:lineRule="auto" w:after="120"/>
        <w:jc w:val="both"/>
      </w:pPr>
      <w:r>
        <w:rPr>
          <w:rFonts w:ascii="Times New Roman" w:hAnsi="Times New Roman"/>
          <w:b w:val="0"/>
          <w:i w:val="0"/>
          <w:sz w:val="24"/>
        </w:rPr>
        <w:t>[12] H. An, “Reinforcement learning-based dynamic cleaning scheduling framework for solar energy system,” 2024.</w:t>
      </w:r>
    </w:p>
    <w:p>
      <w:pPr>
        <w:spacing w:line="480" w:lineRule="auto" w:after="120"/>
        <w:jc w:val="both"/>
      </w:pPr>
      <w:r>
        <w:rPr>
          <w:rFonts w:ascii="Times New Roman" w:hAnsi="Times New Roman"/>
          <w:b w:val="0"/>
          <w:i w:val="0"/>
          <w:sz w:val="24"/>
        </w:rPr>
        <w:t>[13] U. Mamodiya et al., “A machine learning approach to assess the climate change impacts on single and dual-axis tracking photovoltaic systems,” Scientific Reports, 2025.</w:t>
      </w:r>
    </w:p>
    <w:p>
      <w:pPr>
        <w:spacing w:line="480" w:lineRule="auto" w:after="120"/>
        <w:jc w:val="both"/>
      </w:pPr>
      <w:r>
        <w:rPr>
          <w:rFonts w:ascii="Times New Roman" w:hAnsi="Times New Roman"/>
          <w:b w:val="0"/>
          <w:i w:val="0"/>
          <w:sz w:val="24"/>
        </w:rPr>
        <w:t>[14] J. Wang et al., “SOLAR-RL: Semi-Online Long-horizon Assignment Reinforcement Learning,”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