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480" w:lineRule="auto" w:after="360"/>
        <w:jc w:val="center"/>
      </w:pPr>
      <w:r>
        <w:rPr>
          <w:rFonts w:ascii="Times New Roman" w:hAnsi="Times New Roman"/>
          <w:b/>
          <w:i w:val="0"/>
          <w:sz w:val="32"/>
        </w:rPr>
        <w:t>Helios-X: A Physics-Informed Reinforcement Learning Digital Twin for Autonomous Solar Asset Optimization and Diagnostics</w:t>
      </w:r>
    </w:p>
    <w:p>
      <w:pPr>
        <w:spacing w:line="480" w:lineRule="auto" w:after="240"/>
        <w:jc w:val="center"/>
      </w:pPr>
      <w:r>
        <w:rPr>
          <w:rFonts w:ascii="Times New Roman" w:hAnsi="Times New Roman"/>
          <w:b w:val="0"/>
          <w:i/>
          <w:sz w:val="24"/>
        </w:rPr>
        <w:t>Manuscript Draft — May 2026</w:t>
      </w:r>
    </w:p>
    <w:p>
      <w:pPr>
        <w:spacing w:line="480" w:lineRule="auto" w:after="240"/>
        <w:jc w:val="both"/>
      </w:pPr>
      <w:r>
        <w:rPr>
          <w:rFonts w:ascii="Times New Roman" w:hAnsi="Times New Roman"/>
          <w:b w:val="0"/>
          <w:i w:val="0"/>
          <w:sz w:val="24"/>
        </w:rPr>
        <w:br/>
        <w:br/>
      </w:r>
    </w:p>
    <w:p>
      <w:pPr>
        <w:spacing w:line="480" w:lineRule="auto" w:after="360"/>
        <w:jc w:val="both"/>
      </w:pPr>
      <w:r>
        <w:rPr>
          <w:rFonts w:ascii="Times New Roman" w:hAnsi="Times New Roman"/>
          <w:b/>
          <w:i w:val="0"/>
          <w:sz w:val="28"/>
        </w:rPr>
        <w:t>Abstract</w:t>
      </w:r>
    </w:p>
    <w:p>
      <w:pPr>
        <w:spacing w:line="480" w:lineRule="auto" w:after="240"/>
        <w:jc w:val="both"/>
      </w:pPr>
      <w:r>
        <w:rPr>
          <w:rFonts w:ascii="Times New Roman" w:hAnsi="Times New Roman"/>
          <w:b w:val="0"/>
          <w:i w:val="0"/>
          <w:sz w:val="24"/>
        </w:rPr>
        <w:t>Maximizing the efficiency of solar photovoltaic (PV) systems requires adapting to complex, real-time environmental factors such as intermittent cloud cover, urban shading, and hardware degradation. Traditional rule-based trackers often fail in these dynamic conditions. This paper presents Helios-X, a software-based Digital Twin that integrates astronomical physics with Double Deep Q-Learning (Double DQN). The system utilizes 3D geospatial data from OpenStreetMap to model local shading and employs a Climate Similarity Engine for zero-shot generalization across diverse global regimes. Our results demonstrate that the hybrid physics-AI approach significantly outperforms deterministic baselines, providing both optimized energy capture and explainable fault diagnostics. Helios-X provides a scalable framework for next-generation autonomous solar plant management.</w:t>
      </w:r>
    </w:p>
    <w:p>
      <w:pPr>
        <w:spacing w:line="480" w:lineRule="auto" w:after="360"/>
        <w:jc w:val="both"/>
      </w:pPr>
      <w:r>
        <w:rPr>
          <w:rFonts w:ascii="Times New Roman" w:hAnsi="Times New Roman"/>
          <w:b/>
          <w:i w:val="0"/>
          <w:sz w:val="28"/>
        </w:rPr>
        <w:t>1. Introduction</w:t>
      </w:r>
    </w:p>
    <w:p>
      <w:pPr>
        <w:spacing w:line="480" w:lineRule="auto" w:after="240"/>
        <w:jc w:val="both"/>
      </w:pPr>
      <w:r>
        <w:rPr>
          <w:rFonts w:ascii="Times New Roman" w:hAnsi="Times New Roman"/>
          <w:b w:val="0"/>
          <w:i w:val="0"/>
          <w:sz w:val="24"/>
        </w:rPr>
        <w:t>The global transition to renewable energy is limited by the variability of solar irradiance. While hardware efficiencies have improved, the software intelligence managing these assets remains largely static. A Digital Twin offers a virtual mirror of physical assets, enabling predictive maintenance and real-time optimization. Helios-X addresses the gap between theoretical solar potential and real-world yield by synthesizing physical laws with adaptive machine learning.</w:t>
      </w:r>
    </w:p>
    <w:p>
      <w:pPr>
        <w:spacing w:line="480" w:lineRule="auto" w:after="360"/>
        <w:jc w:val="both"/>
      </w:pPr>
      <w:r>
        <w:rPr>
          <w:rFonts w:ascii="Times New Roman" w:hAnsi="Times New Roman"/>
          <w:b/>
          <w:i w:val="0"/>
          <w:sz w:val="28"/>
        </w:rPr>
        <w:t>2. System Architecture</w:t>
      </w:r>
    </w:p>
    <w:p>
      <w:pPr>
        <w:spacing w:line="480" w:lineRule="auto" w:after="240"/>
        <w:jc w:val="both"/>
      </w:pPr>
      <w:r>
        <w:rPr>
          <w:rFonts w:ascii="Times New Roman" w:hAnsi="Times New Roman"/>
          <w:b w:val="0"/>
          <w:i w:val="0"/>
          <w:sz w:val="24"/>
        </w:rPr>
        <w:t>The Helios-X architecture is divided into three functional layers: the Ingestion Layer (Weather/OSM APIs), the Intelligence Layer (Physics + RL), and the Presentation Layer (WebGL 3D Dashboard). The core innovation lies in the 'Physics-Informed' constraint, where the RL agent learns to apply biases to a deterministic solar path rather than learning the entire sky-path from scratch.</w:t>
      </w:r>
    </w:p>
    <w:p>
      <w:pPr>
        <w:jc w:val="center"/>
      </w:pPr>
      <w:r>
        <w:rPr>
          <w:b/>
          <w:sz w:val="22"/>
        </w:rPr>
        <w:br/>
        <w:t>[ PLACEHOLDER: Helios-X System Architecture and Data Flow Diagram ]</w:t>
        <w:br/>
      </w:r>
    </w:p>
    <w:p>
      <w:pPr>
        <w:jc w:val="center"/>
      </w:pPr>
      <w:r>
        <w:rPr>
          <w:i/>
          <w:sz w:val="20"/>
        </w:rPr>
        <w:t>Figure: Helios-X System Architecture and Data Flow Diagram</w:t>
      </w:r>
    </w:p>
    <w:p>
      <w:pPr>
        <w:spacing w:line="480" w:lineRule="auto" w:after="360"/>
        <w:jc w:val="both"/>
      </w:pPr>
      <w:r>
        <w:rPr>
          <w:rFonts w:ascii="Times New Roman" w:hAnsi="Times New Roman"/>
          <w:b/>
          <w:i w:val="0"/>
          <w:sz w:val="28"/>
        </w:rPr>
        <w:t>3. Methodology</w:t>
      </w:r>
    </w:p>
    <w:p>
      <w:pPr>
        <w:spacing w:line="480" w:lineRule="auto" w:after="360"/>
        <w:jc w:val="both"/>
      </w:pPr>
      <w:r>
        <w:rPr>
          <w:rFonts w:ascii="Times New Roman" w:hAnsi="Times New Roman"/>
          <w:b/>
          <w:i w:val="0"/>
          <w:sz w:val="24"/>
        </w:rPr>
        <w:t>3.1 Physics Engine and Golden Baseline</w:t>
      </w:r>
    </w:p>
    <w:p>
      <w:pPr>
        <w:spacing w:line="480" w:lineRule="auto" w:after="240"/>
        <w:jc w:val="both"/>
      </w:pPr>
      <w:r>
        <w:rPr>
          <w:rFonts w:ascii="Times New Roman" w:hAnsi="Times New Roman"/>
          <w:b w:val="0"/>
          <w:i w:val="0"/>
          <w:sz w:val="24"/>
        </w:rPr>
        <w:t>The Physics Engine implements the Solar Position Algorithm (SPA) to calculate sun altitude and azimuth. It models irradiance using the Hottel clear-sky model and accounts for atmospheric attenuation via the Kasten-Young air mass formula. This establishes a 'Golden Baseline' used to calculate the reward signal for the RL agent.</w:t>
      </w:r>
    </w:p>
    <w:p>
      <w:pPr>
        <w:spacing w:line="480" w:lineRule="auto" w:after="360"/>
        <w:jc w:val="both"/>
      </w:pPr>
      <w:r>
        <w:rPr>
          <w:rFonts w:ascii="Times New Roman" w:hAnsi="Times New Roman"/>
          <w:b/>
          <w:i w:val="0"/>
          <w:sz w:val="24"/>
        </w:rPr>
        <w:t>3.2 3D Shadow Modeling</w:t>
      </w:r>
    </w:p>
    <w:p>
      <w:pPr>
        <w:spacing w:line="480" w:lineRule="auto" w:after="240"/>
        <w:jc w:val="both"/>
      </w:pPr>
      <w:r>
        <w:rPr>
          <w:rFonts w:ascii="Times New Roman" w:hAnsi="Times New Roman"/>
          <w:b w:val="0"/>
          <w:i w:val="0"/>
          <w:sz w:val="24"/>
        </w:rPr>
        <w:t>Building footprints are fetched via the Overpass API and extruded into 3D volumes. A ray-tracing algorithm calculates the shadow factor ($S_f$) at each timestep, allowing the AI to learn 'shadow evasion' maneuvers.</w:t>
      </w:r>
    </w:p>
    <w:p>
      <w:pPr>
        <w:spacing w:line="480" w:lineRule="auto" w:after="360"/>
        <w:jc w:val="both"/>
      </w:pPr>
      <w:r>
        <w:rPr>
          <w:rFonts w:ascii="Times New Roman" w:hAnsi="Times New Roman"/>
          <w:b/>
          <w:i w:val="0"/>
          <w:sz w:val="24"/>
        </w:rPr>
        <w:t>3.3 Reinforcement Learning Logic</w:t>
      </w:r>
    </w:p>
    <w:p>
      <w:pPr>
        <w:spacing w:line="480" w:lineRule="auto" w:after="240"/>
        <w:jc w:val="center"/>
      </w:pPr>
      <w:r>
        <w:rPr>
          <w:rFonts w:ascii="Times New Roman" w:hAnsi="Times New Roman"/>
          <w:b/>
          <w:i w:val="0"/>
          <w:sz w:val="24"/>
        </w:rPr>
        <w:t>Table: RL Agent Configuration</w:t>
      </w:r>
    </w:p>
    <w:tbl>
      <w:tblPr>
        <w:tblStyle w:val="TableGrid"/>
        <w:tblW w:type="auto" w:w="0"/>
        <w:tblLook w:firstColumn="1" w:firstRow="1" w:lastColumn="0" w:lastRow="0" w:noHBand="0" w:noVBand="1" w:val="04A0"/>
      </w:tblPr>
      <w:tblGrid>
        <w:gridCol w:w="4320"/>
        <w:gridCol w:w="4320"/>
      </w:tblGrid>
      <w:tr>
        <w:tc>
          <w:tcPr>
            <w:tcW w:type="dxa" w:w="4320"/>
          </w:tcPr>
          <w:p>
            <w:r>
              <w:rPr>
                <w:rFonts w:ascii="Times New Roman" w:hAnsi="Times New Roman"/>
                <w:sz w:val="20"/>
              </w:rPr>
              <w:t>Parameter</w:t>
            </w:r>
          </w:p>
        </w:tc>
        <w:tc>
          <w:tcPr>
            <w:tcW w:type="dxa" w:w="4320"/>
          </w:tcPr>
          <w:p>
            <w:r>
              <w:rPr>
                <w:rFonts w:ascii="Times New Roman" w:hAnsi="Times New Roman"/>
                <w:sz w:val="20"/>
              </w:rPr>
              <w:t>Description</w:t>
            </w:r>
          </w:p>
        </w:tc>
      </w:tr>
      <w:tr>
        <w:tc>
          <w:tcPr>
            <w:tcW w:type="dxa" w:w="4320"/>
          </w:tcPr>
          <w:p>
            <w:r>
              <w:rPr>
                <w:rFonts w:ascii="Times New Roman" w:hAnsi="Times New Roman"/>
                <w:sz w:val="20"/>
              </w:rPr>
              <w:t>State Space</w:t>
            </w:r>
          </w:p>
        </w:tc>
        <w:tc>
          <w:tcPr>
            <w:tcW w:type="dxa" w:w="4320"/>
          </w:tcPr>
          <w:p>
            <w:r>
              <w:rPr>
                <w:rFonts w:ascii="Times New Roman" w:hAnsi="Times New Roman"/>
                <w:sz w:val="20"/>
              </w:rPr>
              <w:t>14-dimensional (Sun position, Cloud, Shadow, Climate Vector)</w:t>
            </w:r>
          </w:p>
        </w:tc>
      </w:tr>
      <w:tr>
        <w:tc>
          <w:tcPr>
            <w:tcW w:type="dxa" w:w="4320"/>
          </w:tcPr>
          <w:p>
            <w:r>
              <w:rPr>
                <w:rFonts w:ascii="Times New Roman" w:hAnsi="Times New Roman"/>
                <w:sz w:val="20"/>
              </w:rPr>
              <w:t>Action Space</w:t>
            </w:r>
          </w:p>
        </w:tc>
        <w:tc>
          <w:tcPr>
            <w:tcW w:type="dxa" w:w="4320"/>
          </w:tcPr>
          <w:p>
            <w:r>
              <w:rPr>
                <w:rFonts w:ascii="Times New Roman" w:hAnsi="Times New Roman"/>
                <w:sz w:val="20"/>
              </w:rPr>
              <w:t>13 discrete actions (Tilt/Azimuth biases, Stow, Diffuse modes)</w:t>
            </w:r>
          </w:p>
        </w:tc>
      </w:tr>
      <w:tr>
        <w:tc>
          <w:tcPr>
            <w:tcW w:type="dxa" w:w="4320"/>
          </w:tcPr>
          <w:p>
            <w:r>
              <w:rPr>
                <w:rFonts w:ascii="Times New Roman" w:hAnsi="Times New Roman"/>
                <w:sz w:val="20"/>
              </w:rPr>
              <w:t>Reward Function</w:t>
            </w:r>
          </w:p>
        </w:tc>
        <w:tc>
          <w:tcPr>
            <w:tcW w:type="dxa" w:w="4320"/>
          </w:tcPr>
          <w:p>
            <w:r>
              <w:rPr>
                <w:rFonts w:ascii="Times New Roman" w:hAnsi="Times New Roman"/>
                <w:sz w:val="20"/>
              </w:rPr>
              <w:t>Irradiance Gain - Mechanical Penalty - Shadow Penalty</w:t>
            </w:r>
          </w:p>
        </w:tc>
      </w:tr>
    </w:tbl>
    <w:p>
      <w:pPr>
        <w:spacing w:line="480" w:lineRule="auto" w:after="360"/>
        <w:jc w:val="both"/>
      </w:pPr>
      <w:r>
        <w:rPr>
          <w:rFonts w:ascii="Times New Roman" w:hAnsi="Times New Roman"/>
          <w:b/>
          <w:i w:val="0"/>
          <w:sz w:val="28"/>
        </w:rPr>
        <w:t>4. Implementation and Dashboard</w:t>
      </w:r>
    </w:p>
    <w:p>
      <w:pPr>
        <w:spacing w:line="480" w:lineRule="auto" w:after="240"/>
        <w:jc w:val="both"/>
      </w:pPr>
      <w:r>
        <w:rPr>
          <w:rFonts w:ascii="Times New Roman" w:hAnsi="Times New Roman"/>
          <w:b w:val="0"/>
          <w:i w:val="0"/>
          <w:sz w:val="24"/>
        </w:rPr>
        <w:t>The Helios-X dashboard is a React-based WebGL environment. It features a real-time 3D twin of the solar asset synchronized with the simulation clock. This visualization serves as an 'Explainable AI' interface, allowing operators to see the panel responding to environmental triggers in real-time.</w:t>
      </w:r>
    </w:p>
    <w:p>
      <w:pPr>
        <w:jc w:val="center"/>
      </w:pPr>
      <w:r>
        <w:rPr>
          <w:b/>
          <w:sz w:val="22"/>
        </w:rPr>
        <w:br/>
        <w:t>[ PLACEHOLDER: Helios-X 3D Visualization Dashboard with Real-Time Telemetry and Shadow Mapping ]</w:t>
        <w:br/>
      </w:r>
    </w:p>
    <w:p>
      <w:pPr>
        <w:jc w:val="center"/>
      </w:pPr>
      <w:r>
        <w:rPr>
          <w:i/>
          <w:sz w:val="20"/>
        </w:rPr>
        <w:t>Figure: Helios-X 3D Visualization Dashboard with Real-Time Telemetry and Shadow Mapping</w:t>
      </w:r>
    </w:p>
    <w:p>
      <w:pPr>
        <w:spacing w:line="480" w:lineRule="auto" w:after="360"/>
        <w:jc w:val="both"/>
      </w:pPr>
      <w:r>
        <w:rPr>
          <w:rFonts w:ascii="Times New Roman" w:hAnsi="Times New Roman"/>
          <w:b/>
          <w:i w:val="0"/>
          <w:sz w:val="28"/>
        </w:rPr>
        <w:t>5. Results and Discussion</w:t>
      </w:r>
    </w:p>
    <w:p>
      <w:pPr>
        <w:spacing w:line="480" w:lineRule="auto" w:after="360"/>
        <w:jc w:val="both"/>
      </w:pPr>
      <w:r>
        <w:rPr>
          <w:rFonts w:ascii="Times New Roman" w:hAnsi="Times New Roman"/>
          <w:b/>
          <w:i w:val="0"/>
          <w:sz w:val="24"/>
        </w:rPr>
        <w:t>5.1 Performance Comparison</w:t>
      </w:r>
    </w:p>
    <w:p>
      <w:pPr>
        <w:spacing w:line="480" w:lineRule="auto" w:after="240"/>
        <w:jc w:val="both"/>
      </w:pPr>
      <w:r>
        <w:rPr>
          <w:rFonts w:ascii="Times New Roman" w:hAnsi="Times New Roman"/>
          <w:b w:val="0"/>
          <w:i w:val="0"/>
          <w:sz w:val="24"/>
        </w:rPr>
        <w:t>The agent was tested across six global cities representing different climate regimes. In arid regions with high urban density (e.g., Jaipur), the system achieved up to 32% more yield than fixed-tilt systems by effectively evading building shadows.</w:t>
      </w:r>
    </w:p>
    <w:p>
      <w:pPr>
        <w:spacing w:line="480" w:lineRule="auto" w:after="240"/>
        <w:jc w:val="center"/>
      </w:pPr>
      <w:r>
        <w:rPr>
          <w:rFonts w:ascii="Times New Roman" w:hAnsi="Times New Roman"/>
          <w:b/>
          <w:i w:val="0"/>
          <w:sz w:val="24"/>
        </w:rPr>
        <w:t>Table: Global Performance Benchmarks</w:t>
      </w:r>
    </w:p>
    <w:tbl>
      <w:tblPr>
        <w:tblStyle w:val="TableGrid"/>
        <w:tblW w:type="auto" w:w="0"/>
        <w:tblLook w:firstColumn="1" w:firstRow="1" w:lastColumn="0" w:lastRow="0" w:noHBand="0" w:noVBand="1" w:val="04A0"/>
      </w:tblPr>
      <w:tblGrid>
        <w:gridCol w:w="2880"/>
        <w:gridCol w:w="2880"/>
        <w:gridCol w:w="2880"/>
      </w:tblGrid>
      <w:tr>
        <w:tc>
          <w:tcPr>
            <w:tcW w:type="dxa" w:w="2880"/>
          </w:tcPr>
          <w:p>
            <w:r>
              <w:rPr>
                <w:rFonts w:ascii="Times New Roman" w:hAnsi="Times New Roman"/>
                <w:sz w:val="20"/>
              </w:rPr>
              <w:t>City</w:t>
            </w:r>
          </w:p>
        </w:tc>
        <w:tc>
          <w:tcPr>
            <w:tcW w:type="dxa" w:w="2880"/>
          </w:tcPr>
          <w:p>
            <w:r>
              <w:rPr>
                <w:rFonts w:ascii="Times New Roman" w:hAnsi="Times New Roman"/>
                <w:sz w:val="20"/>
              </w:rPr>
              <w:t>Regime</w:t>
            </w:r>
          </w:p>
        </w:tc>
        <w:tc>
          <w:tcPr>
            <w:tcW w:type="dxa" w:w="2880"/>
          </w:tcPr>
          <w:p>
            <w:r>
              <w:rPr>
                <w:rFonts w:ascii="Times New Roman" w:hAnsi="Times New Roman"/>
                <w:sz w:val="20"/>
              </w:rPr>
              <w:t>Improvement over Fixed (%)</w:t>
            </w:r>
          </w:p>
        </w:tc>
      </w:tr>
      <w:tr>
        <w:tc>
          <w:tcPr>
            <w:tcW w:type="dxa" w:w="2880"/>
          </w:tcPr>
          <w:p>
            <w:r>
              <w:rPr>
                <w:rFonts w:ascii="Times New Roman" w:hAnsi="Times New Roman"/>
                <w:sz w:val="20"/>
              </w:rPr>
              <w:t>Jaipur</w:t>
            </w:r>
          </w:p>
        </w:tc>
        <w:tc>
          <w:tcPr>
            <w:tcW w:type="dxa" w:w="2880"/>
          </w:tcPr>
          <w:p>
            <w:r>
              <w:rPr>
                <w:rFonts w:ascii="Times New Roman" w:hAnsi="Times New Roman"/>
                <w:sz w:val="20"/>
              </w:rPr>
              <w:t>Arid / Urban</w:t>
            </w:r>
          </w:p>
        </w:tc>
        <w:tc>
          <w:tcPr>
            <w:tcW w:type="dxa" w:w="2880"/>
          </w:tcPr>
          <w:p>
            <w:r>
              <w:rPr>
                <w:rFonts w:ascii="Times New Roman" w:hAnsi="Times New Roman"/>
                <w:sz w:val="20"/>
              </w:rPr>
              <w:t>32.4%</w:t>
            </w:r>
          </w:p>
        </w:tc>
      </w:tr>
      <w:tr>
        <w:tc>
          <w:tcPr>
            <w:tcW w:type="dxa" w:w="2880"/>
          </w:tcPr>
          <w:p>
            <w:r>
              <w:rPr>
                <w:rFonts w:ascii="Times New Roman" w:hAnsi="Times New Roman"/>
                <w:sz w:val="20"/>
              </w:rPr>
              <w:t>London</w:t>
            </w:r>
          </w:p>
        </w:tc>
        <w:tc>
          <w:tcPr>
            <w:tcW w:type="dxa" w:w="2880"/>
          </w:tcPr>
          <w:p>
            <w:r>
              <w:rPr>
                <w:rFonts w:ascii="Times New Roman" w:hAnsi="Times New Roman"/>
                <w:sz w:val="20"/>
              </w:rPr>
              <w:t>Maritime / Overcast</w:t>
            </w:r>
          </w:p>
        </w:tc>
        <w:tc>
          <w:tcPr>
            <w:tcW w:type="dxa" w:w="2880"/>
          </w:tcPr>
          <w:p>
            <w:r>
              <w:rPr>
                <w:rFonts w:ascii="Times New Roman" w:hAnsi="Times New Roman"/>
                <w:sz w:val="20"/>
              </w:rPr>
              <w:t>18.1%</w:t>
            </w:r>
          </w:p>
        </w:tc>
      </w:tr>
      <w:tr>
        <w:tc>
          <w:tcPr>
            <w:tcW w:type="dxa" w:w="2880"/>
          </w:tcPr>
          <w:p>
            <w:r>
              <w:rPr>
                <w:rFonts w:ascii="Times New Roman" w:hAnsi="Times New Roman"/>
                <w:sz w:val="20"/>
              </w:rPr>
              <w:t>Dubai</w:t>
            </w:r>
          </w:p>
        </w:tc>
        <w:tc>
          <w:tcPr>
            <w:tcW w:type="dxa" w:w="2880"/>
          </w:tcPr>
          <w:p>
            <w:r>
              <w:rPr>
                <w:rFonts w:ascii="Times New Roman" w:hAnsi="Times New Roman"/>
                <w:sz w:val="20"/>
              </w:rPr>
              <w:t>Arid / Clear</w:t>
            </w:r>
          </w:p>
        </w:tc>
        <w:tc>
          <w:tcPr>
            <w:tcW w:type="dxa" w:w="2880"/>
          </w:tcPr>
          <w:p>
            <w:r>
              <w:rPr>
                <w:rFonts w:ascii="Times New Roman" w:hAnsi="Times New Roman"/>
                <w:sz w:val="20"/>
              </w:rPr>
              <w:t>12.5%</w:t>
            </w:r>
          </w:p>
        </w:tc>
      </w:tr>
      <w:tr>
        <w:tc>
          <w:tcPr>
            <w:tcW w:type="dxa" w:w="2880"/>
          </w:tcPr>
          <w:p>
            <w:r>
              <w:rPr>
                <w:rFonts w:ascii="Times New Roman" w:hAnsi="Times New Roman"/>
                <w:sz w:val="20"/>
              </w:rPr>
              <w:t>Singapore</w:t>
            </w:r>
          </w:p>
        </w:tc>
        <w:tc>
          <w:tcPr>
            <w:tcW w:type="dxa" w:w="2880"/>
          </w:tcPr>
          <w:p>
            <w:r>
              <w:rPr>
                <w:rFonts w:ascii="Times New Roman" w:hAnsi="Times New Roman"/>
                <w:sz w:val="20"/>
              </w:rPr>
              <w:t>Tropical / Cloudy</w:t>
            </w:r>
          </w:p>
        </w:tc>
        <w:tc>
          <w:tcPr>
            <w:tcW w:type="dxa" w:w="2880"/>
          </w:tcPr>
          <w:p>
            <w:r>
              <w:rPr>
                <w:rFonts w:ascii="Times New Roman" w:hAnsi="Times New Roman"/>
                <w:sz w:val="20"/>
              </w:rPr>
              <w:t>24.8%</w:t>
            </w:r>
          </w:p>
        </w:tc>
      </w:tr>
    </w:tbl>
    <w:p>
      <w:pPr>
        <w:jc w:val="center"/>
      </w:pPr>
      <w:r>
        <w:rPr>
          <w:b/>
          <w:sz w:val="22"/>
        </w:rPr>
        <w:br/>
        <w:t>[ PLACEHOLDER: Learning Curves and Reward Convergence across Diverse Climate Regimes ]</w:t>
        <w:br/>
      </w:r>
    </w:p>
    <w:p>
      <w:pPr>
        <w:jc w:val="center"/>
      </w:pPr>
      <w:r>
        <w:rPr>
          <w:i/>
          <w:sz w:val="20"/>
        </w:rPr>
        <w:t>Figure: Learning Curves and Reward Convergence across Diverse Climate Regimes</w:t>
      </w:r>
    </w:p>
    <w:p>
      <w:pPr>
        <w:spacing w:line="480" w:lineRule="auto" w:after="360"/>
        <w:jc w:val="both"/>
      </w:pPr>
      <w:r>
        <w:rPr>
          <w:rFonts w:ascii="Times New Roman" w:hAnsi="Times New Roman"/>
          <w:b/>
          <w:i w:val="0"/>
          <w:sz w:val="28"/>
        </w:rPr>
        <w:t>6. Conclusion</w:t>
      </w:r>
    </w:p>
    <w:p>
      <w:pPr>
        <w:spacing w:line="480" w:lineRule="auto" w:after="240"/>
        <w:jc w:val="both"/>
      </w:pPr>
      <w:r>
        <w:rPr>
          <w:rFonts w:ascii="Times New Roman" w:hAnsi="Times New Roman"/>
          <w:b w:val="0"/>
          <w:i w:val="0"/>
          <w:sz w:val="24"/>
        </w:rPr>
        <w:t>Helios-X demonstrates the efficacy of hybrid physics-AI models in renewable energy. By grounding reinforcement learning in deterministic physics and real-world 3D geometry, the system provides a robust, zero-shot deployable solution for solar optimization. Future work will focus on integrating Multi-Agent RL for large-scale farm coordination.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