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766E"/>
          <w:sz w:val="32"/>
        </w:rPr>
        <w:t>ITM SLS BU</w:t>
        <w:br/>
      </w:r>
      <w:r>
        <w:rPr>
          <w:rFonts w:ascii="Arial" w:hAnsi="Arial"/>
          <w:b/>
          <w:color w:val="334155"/>
          <w:sz w:val="24"/>
        </w:rPr>
        <w:t>School of Computer Science, Engineering &amp; Technology, Vadodara</w:t>
        <w:br/>
      </w:r>
      <w:r>
        <w:rPr>
          <w:rFonts w:ascii="Arial" w:hAnsi="Arial"/>
          <w:color w:val="64748B"/>
          <w:sz w:val="22"/>
        </w:rPr>
        <w:t>B.Tech Semester-5 | Academic Year 2026-2027, Winter-2026</w:t>
        <w:br/>
      </w:r>
      <w:r>
        <w:rPr>
          <w:rFonts w:ascii="Arial" w:hAnsi="Arial"/>
          <w:b/>
          <w:color w:val="0F766E"/>
          <w:sz w:val="24"/>
        </w:rPr>
        <w:t>Advanced Web Development (AWD) — Regular Final Viva-Voce Submission</w:t>
        <w:br/>
      </w:r>
    </w:p>
    <w:p>
      <w:pPr>
        <w:spacing w:after="160"/>
      </w:pPr>
    </w:p>
    <w:p>
      <w:pPr>
        <w:jc w:val="center"/>
      </w:pPr>
      <w:r>
        <w:rPr>
          <w:rFonts w:ascii="Arial" w:hAnsi="Arial"/>
          <w:b/>
          <w:color w:val="111827"/>
          <w:sz w:val="36"/>
        </w:rPr>
        <w:t>TASK-1: COMPARATIVE TECHNOLOGY STUDY</w:t>
        <w:br/>
      </w:r>
      <w:r>
        <w:rPr>
          <w:rFonts w:ascii="Arial" w:hAnsi="Arial"/>
          <w:i/>
          <w:color w:val="4B5563"/>
          <w:sz w:val="26"/>
        </w:rPr>
        <w:t>CareSync — Full-Stack Healthcare Appointment System (HAS)</w:t>
      </w:r>
    </w:p>
    <w:p>
      <w:pPr>
        <w:spacing w:after="240"/>
      </w:pPr>
    </w:p>
    <w:p>
      <w:pPr>
        <w:pStyle w:val="Heading1"/>
      </w:pPr>
      <w:r>
        <w:rPr>
          <w:rFonts w:ascii="Arial" w:hAnsi="Arial"/>
          <w:color w:val="0F766E"/>
        </w:rPr>
        <w:t>1. Executive Overview &amp; Scope</w:t>
      </w:r>
    </w:p>
    <w:p>
      <w:pPr>
        <w:spacing w:line="276" w:lineRule="auto" w:after="160"/>
      </w:pPr>
      <w:r>
        <w:t>As part of the Advanced Web Development (AWD) PBL coursework evaluation, this report delivers an exhaustive comparative analysis of four pivotal technology domains implemented in the CareSync Healthcare Appointment System. Each study evaluates fundamental concepts, a structured difference matrix, relative advantages, limitations, suitable industry use cases, and an empirical justification for why the selected technology was adopted in this project.</w:t>
      </w:r>
    </w:p>
    <w:p>
      <w:pPr>
        <w:pStyle w:val="Heading1"/>
      </w:pPr>
      <w:r>
        <w:rPr>
          <w:rFonts w:ascii="Arial" w:hAnsi="Arial"/>
          <w:color w:val="0F766E"/>
        </w:rPr>
        <w:t>2. Comparative Study 1: REST API vs. GraphQL</w:t>
      </w:r>
    </w:p>
    <w:p>
      <w:r>
        <w:rPr>
          <w:b/>
        </w:rPr>
        <w:t>2.1 Introduction to Technologies</w:t>
        <w:br/>
      </w:r>
      <w:r>
        <w:t>• REST (Representational State Transfer): An established architectural style communicating via standard HTTP methods (GET, POST, PUT, PATCH, DELETE) across explicit resource endpoints (e.g., /api/appointments, /api/doctors). It relies on native HTTP status codes (200, 201, 400, 403, 409) and standard cache headers.</w:t>
        <w:br/>
        <w:t>• GraphQL: A data query language and server runtime developed by Meta that exposes a single endpoint (POST /graphql). Clients formulate queries declaring exact payload fields, eliminating over-fetching and under-fetching.</w:t>
      </w:r>
    </w:p>
    <w:p>
      <w:r>
        <w:rPr>
          <w:b/>
        </w:rPr>
        <w:t>2.2 Key Features &amp; Comparative Difference Matrix</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766E"/>
            <w:tcMar>
              <w:top w:w="140" w:type="dxa"/>
              <w:bottom w:w="140" w:type="dxa"/>
              <w:left w:w="160" w:type="dxa"/>
              <w:right w:w="160" w:type="dxa"/>
            </w:tcMar>
          </w:tcPr>
          <w:p>
            <w:pPr>
              <w:jc w:val="center"/>
            </w:pPr>
            <w:r>
              <w:rPr>
                <w:rFonts w:ascii="Arial" w:hAnsi="Arial"/>
                <w:b/>
                <w:color w:val="FFFFFF"/>
                <w:sz w:val="19"/>
              </w:rPr>
              <w:t>Evaluation Criteria</w:t>
            </w:r>
          </w:p>
        </w:tc>
        <w:tc>
          <w:tcPr>
            <w:tcW w:type="dxa" w:w="3120"/>
            <w:shd w:fill="0F766E"/>
            <w:tcMar>
              <w:top w:w="140" w:type="dxa"/>
              <w:bottom w:w="140" w:type="dxa"/>
              <w:left w:w="160" w:type="dxa"/>
              <w:right w:w="160" w:type="dxa"/>
            </w:tcMar>
          </w:tcPr>
          <w:p>
            <w:pPr>
              <w:jc w:val="center"/>
            </w:pPr>
            <w:r>
              <w:rPr>
                <w:rFonts w:ascii="Arial" w:hAnsi="Arial"/>
                <w:b/>
                <w:color w:val="FFFFFF"/>
                <w:sz w:val="19"/>
              </w:rPr>
              <w:t>RESTful API (Express.js)</w:t>
            </w:r>
          </w:p>
        </w:tc>
        <w:tc>
          <w:tcPr>
            <w:tcW w:type="dxa" w:w="3120"/>
            <w:shd w:fill="0F766E"/>
            <w:tcMar>
              <w:top w:w="140" w:type="dxa"/>
              <w:bottom w:w="140" w:type="dxa"/>
              <w:left w:w="160" w:type="dxa"/>
              <w:right w:w="160" w:type="dxa"/>
            </w:tcMar>
          </w:tcPr>
          <w:p>
            <w:pPr>
              <w:jc w:val="center"/>
            </w:pPr>
            <w:r>
              <w:rPr>
                <w:rFonts w:ascii="Arial" w:hAnsi="Arial"/>
                <w:b/>
                <w:color w:val="FFFFFF"/>
                <w:sz w:val="19"/>
              </w:rPr>
              <w:t>GraphQL (Apollo Server)</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Endpoint Topology</w:t>
            </w:r>
          </w:p>
        </w:tc>
        <w:tc>
          <w:tcPr>
            <w:tcW w:type="dxa" w:w="3120"/>
            <w:shd w:fill="FFFFFF"/>
            <w:tcMar>
              <w:top w:w="100" w:type="dxa"/>
              <w:bottom w:w="100" w:type="dxa"/>
              <w:left w:w="140" w:type="dxa"/>
              <w:right w:w="140" w:type="dxa"/>
            </w:tcMar>
          </w:tcPr>
          <w:p>
            <w:pPr>
              <w:jc w:val="left"/>
            </w:pPr>
            <w:r>
              <w:rPr>
                <w:rFonts w:ascii="Arial" w:hAnsi="Arial"/>
                <w:color w:val="334155"/>
                <w:sz w:val="18"/>
              </w:rPr>
              <w:t>Multiple distinct resource endpoints (/api/slots, /api/auth)</w:t>
            </w:r>
          </w:p>
        </w:tc>
        <w:tc>
          <w:tcPr>
            <w:tcW w:type="dxa" w:w="3120"/>
            <w:shd w:fill="FFFFFF"/>
            <w:tcMar>
              <w:top w:w="100" w:type="dxa"/>
              <w:bottom w:w="100" w:type="dxa"/>
              <w:left w:w="140" w:type="dxa"/>
              <w:right w:w="140" w:type="dxa"/>
            </w:tcMar>
          </w:tcPr>
          <w:p>
            <w:pPr>
              <w:jc w:val="left"/>
            </w:pPr>
            <w:r>
              <w:rPr>
                <w:rFonts w:ascii="Arial" w:hAnsi="Arial"/>
                <w:color w:val="334155"/>
                <w:sz w:val="18"/>
              </w:rPr>
              <w:t>Single unified endpoint (POST /graphql)</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Data Fetching Precision</w:t>
            </w:r>
          </w:p>
        </w:tc>
        <w:tc>
          <w:tcPr>
            <w:tcW w:type="dxa" w:w="3120"/>
            <w:shd w:fill="F8FAFC"/>
            <w:tcMar>
              <w:top w:w="100" w:type="dxa"/>
              <w:bottom w:w="100" w:type="dxa"/>
              <w:left w:w="140" w:type="dxa"/>
              <w:right w:w="140" w:type="dxa"/>
            </w:tcMar>
          </w:tcPr>
          <w:p>
            <w:pPr>
              <w:jc w:val="left"/>
            </w:pPr>
            <w:r>
              <w:rPr>
                <w:rFonts w:ascii="Arial" w:hAnsi="Arial"/>
                <w:color w:val="334155"/>
                <w:sz w:val="18"/>
              </w:rPr>
              <w:t>Fixed server payload; can suffer from over-fetching</w:t>
            </w:r>
          </w:p>
        </w:tc>
        <w:tc>
          <w:tcPr>
            <w:tcW w:type="dxa" w:w="3120"/>
            <w:shd w:fill="F8FAFC"/>
            <w:tcMar>
              <w:top w:w="100" w:type="dxa"/>
              <w:bottom w:w="100" w:type="dxa"/>
              <w:left w:w="140" w:type="dxa"/>
              <w:right w:w="140" w:type="dxa"/>
            </w:tcMar>
          </w:tcPr>
          <w:p>
            <w:pPr>
              <w:jc w:val="left"/>
            </w:pPr>
            <w:r>
              <w:rPr>
                <w:rFonts w:ascii="Arial" w:hAnsi="Arial"/>
                <w:color w:val="334155"/>
                <w:sz w:val="18"/>
              </w:rPr>
              <w:t>Client requests exact fields; zero over-fetching</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Network Caching</w:t>
            </w:r>
          </w:p>
        </w:tc>
        <w:tc>
          <w:tcPr>
            <w:tcW w:type="dxa" w:w="3120"/>
            <w:shd w:fill="FFFFFF"/>
            <w:tcMar>
              <w:top w:w="100" w:type="dxa"/>
              <w:bottom w:w="100" w:type="dxa"/>
              <w:left w:w="140" w:type="dxa"/>
              <w:right w:w="140" w:type="dxa"/>
            </w:tcMar>
          </w:tcPr>
          <w:p>
            <w:pPr>
              <w:jc w:val="left"/>
            </w:pPr>
            <w:r>
              <w:rPr>
                <w:rFonts w:ascii="Arial" w:hAnsi="Arial"/>
                <w:color w:val="334155"/>
                <w:sz w:val="18"/>
              </w:rPr>
              <w:t>Native HTTP caching via ETags, Cache-Control, and CDN proxies</w:t>
            </w:r>
          </w:p>
        </w:tc>
        <w:tc>
          <w:tcPr>
            <w:tcW w:type="dxa" w:w="3120"/>
            <w:shd w:fill="FFFFFF"/>
            <w:tcMar>
              <w:top w:w="100" w:type="dxa"/>
              <w:bottom w:w="100" w:type="dxa"/>
              <w:left w:w="140" w:type="dxa"/>
              <w:right w:w="140" w:type="dxa"/>
            </w:tcMar>
          </w:tcPr>
          <w:p>
            <w:pPr>
              <w:jc w:val="left"/>
            </w:pPr>
            <w:r>
              <w:rPr>
                <w:rFonts w:ascii="Arial" w:hAnsi="Arial"/>
                <w:color w:val="334155"/>
                <w:sz w:val="18"/>
              </w:rPr>
              <w:t>Complex; relies on client-side normalized memory cache</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Error &amp; Status Semantics</w:t>
            </w:r>
          </w:p>
        </w:tc>
        <w:tc>
          <w:tcPr>
            <w:tcW w:type="dxa" w:w="3120"/>
            <w:shd w:fill="F8FAFC"/>
            <w:tcMar>
              <w:top w:w="100" w:type="dxa"/>
              <w:bottom w:w="100" w:type="dxa"/>
              <w:left w:w="140" w:type="dxa"/>
              <w:right w:w="140" w:type="dxa"/>
            </w:tcMar>
          </w:tcPr>
          <w:p>
            <w:pPr>
              <w:jc w:val="left"/>
            </w:pPr>
            <w:r>
              <w:rPr>
                <w:rFonts w:ascii="Arial" w:hAnsi="Arial"/>
                <w:color w:val="334155"/>
                <w:sz w:val="18"/>
              </w:rPr>
              <w:t>Rich HTTP status codes (200, 201, 400, 403, 409, 429)</w:t>
            </w:r>
          </w:p>
        </w:tc>
        <w:tc>
          <w:tcPr>
            <w:tcW w:type="dxa" w:w="3120"/>
            <w:shd w:fill="F8FAFC"/>
            <w:tcMar>
              <w:top w:w="100" w:type="dxa"/>
              <w:bottom w:w="100" w:type="dxa"/>
              <w:left w:w="140" w:type="dxa"/>
              <w:right w:w="140" w:type="dxa"/>
            </w:tcMar>
          </w:tcPr>
          <w:p>
            <w:pPr>
              <w:jc w:val="left"/>
            </w:pPr>
            <w:r>
              <w:rPr>
                <w:rFonts w:ascii="Arial" w:hAnsi="Arial"/>
                <w:color w:val="334155"/>
                <w:sz w:val="18"/>
              </w:rPr>
              <w:t>Returns 200 OK for most requests; errors wrapped in JSON array</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Concurrency &amp; Idempotency</w:t>
            </w:r>
          </w:p>
        </w:tc>
        <w:tc>
          <w:tcPr>
            <w:tcW w:type="dxa" w:w="3120"/>
            <w:shd w:fill="FFFFFF"/>
            <w:tcMar>
              <w:top w:w="100" w:type="dxa"/>
              <w:bottom w:w="100" w:type="dxa"/>
              <w:left w:w="140" w:type="dxa"/>
              <w:right w:w="140" w:type="dxa"/>
            </w:tcMar>
          </w:tcPr>
          <w:p>
            <w:pPr>
              <w:jc w:val="left"/>
            </w:pPr>
            <w:r>
              <w:rPr>
                <w:rFonts w:ascii="Arial" w:hAnsi="Arial"/>
                <w:color w:val="334155"/>
                <w:sz w:val="18"/>
              </w:rPr>
              <w:t>Standard HTTP verbs, Idempotency-Keys, and 409 Conflict</w:t>
            </w:r>
          </w:p>
        </w:tc>
        <w:tc>
          <w:tcPr>
            <w:tcW w:type="dxa" w:w="3120"/>
            <w:shd w:fill="FFFFFF"/>
            <w:tcMar>
              <w:top w:w="100" w:type="dxa"/>
              <w:bottom w:w="100" w:type="dxa"/>
              <w:left w:w="140" w:type="dxa"/>
              <w:right w:w="140" w:type="dxa"/>
            </w:tcMar>
          </w:tcPr>
          <w:p>
            <w:pPr>
              <w:jc w:val="left"/>
            </w:pPr>
            <w:r>
              <w:rPr>
                <w:rFonts w:ascii="Arial" w:hAnsi="Arial"/>
                <w:color w:val="334155"/>
                <w:sz w:val="18"/>
              </w:rPr>
              <w:t>Requires custom mutation locks and bespoke conflict resolvers</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Rate Limiting &amp; Security</w:t>
            </w:r>
          </w:p>
        </w:tc>
        <w:tc>
          <w:tcPr>
            <w:tcW w:type="dxa" w:w="3120"/>
            <w:shd w:fill="F8FAFC"/>
            <w:tcMar>
              <w:top w:w="100" w:type="dxa"/>
              <w:bottom w:w="100" w:type="dxa"/>
              <w:left w:w="140" w:type="dxa"/>
              <w:right w:w="140" w:type="dxa"/>
            </w:tcMar>
          </w:tcPr>
          <w:p>
            <w:pPr>
              <w:jc w:val="left"/>
            </w:pPr>
            <w:r>
              <w:rPr>
                <w:rFonts w:ascii="Arial" w:hAnsi="Arial"/>
                <w:color w:val="334155"/>
                <w:sz w:val="18"/>
              </w:rPr>
              <w:t>Route-level rate limiting (express-rate-limit), WAF inspection</w:t>
            </w:r>
          </w:p>
        </w:tc>
        <w:tc>
          <w:tcPr>
            <w:tcW w:type="dxa" w:w="3120"/>
            <w:shd w:fill="F8FAFC"/>
            <w:tcMar>
              <w:top w:w="100" w:type="dxa"/>
              <w:bottom w:w="100" w:type="dxa"/>
              <w:left w:w="140" w:type="dxa"/>
              <w:right w:w="140" w:type="dxa"/>
            </w:tcMar>
          </w:tcPr>
          <w:p>
            <w:pPr>
              <w:jc w:val="left"/>
            </w:pPr>
            <w:r>
              <w:rPr>
                <w:rFonts w:ascii="Arial" w:hAnsi="Arial"/>
                <w:color w:val="334155"/>
                <w:sz w:val="18"/>
              </w:rPr>
              <w:t>Requires AST query depth and complexity cost analysis</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File Uploads &amp; Streaming</w:t>
            </w:r>
          </w:p>
        </w:tc>
        <w:tc>
          <w:tcPr>
            <w:tcW w:type="dxa" w:w="3120"/>
            <w:shd w:fill="FFFFFF"/>
            <w:tcMar>
              <w:top w:w="100" w:type="dxa"/>
              <w:bottom w:w="100" w:type="dxa"/>
              <w:left w:w="140" w:type="dxa"/>
              <w:right w:w="140" w:type="dxa"/>
            </w:tcMar>
          </w:tcPr>
          <w:p>
            <w:pPr>
              <w:jc w:val="left"/>
            </w:pPr>
            <w:r>
              <w:rPr>
                <w:rFonts w:ascii="Arial" w:hAnsi="Arial"/>
                <w:color w:val="334155"/>
                <w:sz w:val="18"/>
              </w:rPr>
              <w:t>Standard multipart/form-data supported natively</w:t>
            </w:r>
          </w:p>
        </w:tc>
        <w:tc>
          <w:tcPr>
            <w:tcW w:type="dxa" w:w="3120"/>
            <w:shd w:fill="FFFFFF"/>
            <w:tcMar>
              <w:top w:w="100" w:type="dxa"/>
              <w:bottom w:w="100" w:type="dxa"/>
              <w:left w:w="140" w:type="dxa"/>
              <w:right w:w="140" w:type="dxa"/>
            </w:tcMar>
          </w:tcPr>
          <w:p>
            <w:pPr>
              <w:jc w:val="left"/>
            </w:pPr>
            <w:r>
              <w:rPr>
                <w:rFonts w:ascii="Arial" w:hAnsi="Arial"/>
                <w:color w:val="334155"/>
                <w:sz w:val="18"/>
              </w:rPr>
              <w:t>Requires schema mutations or multipart spec extensions</w:t>
            </w:r>
          </w:p>
        </w:tc>
      </w:tr>
    </w:tbl>
    <w:p>
      <w:pPr>
        <w:spacing w:after="160"/>
      </w:pPr>
    </w:p>
    <w:p>
      <w:r>
        <w:rPr>
          <w:b/>
        </w:rPr>
        <w:t>2.3 Advantages &amp; Limitations</w:t>
      </w:r>
    </w:p>
    <w:p>
      <w:r>
        <w:t>• REST Advantages: Standardized HTTP semantics, granular route-level middleware for RBAC, native HTTP proxy/CDN caching, and predictable error handling.</w:t>
        <w:br/>
        <w:t>• REST Limitations: Fixed response schemas can lead to over-fetching or multiple round-trip requests for deeply nested views.</w:t>
        <w:br/>
        <w:t>• GraphQL Advantages: Single-request relational fetching, strongly typed schemas, and automatic client code generation.</w:t>
        <w:br/>
        <w:t>• GraphQL Limitations: Vulnerable to nested recursive DoS queries; lacks native HTTP status codes; complex server caching.</w:t>
      </w:r>
    </w:p>
    <w:p>
      <w:r>
        <w:rPr>
          <w:b/>
        </w:rPr>
        <w:t>2.4 Suitable Use Cases</w:t>
      </w:r>
    </w:p>
    <w:p>
      <w:r>
        <w:t>• REST API: High-concurrency transactional booking engines, healthcare platforms, microservices, and public enterprise APIs.</w:t>
        <w:br/>
        <w:t>• GraphQL: Dynamic social feeds, mobile aggregators with variable bandwidth, and complex multi-source dashboards.</w:t>
      </w:r>
    </w:p>
    <w:p>
      <w:r>
        <w:rPr>
          <w:b/>
        </w:rPr>
        <w:t>2.5 Justified Conclusion for CareSync Project</w:t>
      </w:r>
    </w:p>
    <w:p>
      <w:pPr>
        <w:spacing w:line="276" w:lineRule="auto"/>
      </w:pPr>
      <w:r>
        <w:t>In CareSync, REST was selected because appointment booking requires strict concurrency control under high contention. When two patients contend for a single slot, REST responds immediately with standard HTTP 409 Conflict. Furthermore, granular route middleware enforces RBAC (403 Forbidden) and global rate limiting (429 Too Many Requests) cleanly without the operational complexity and DoS vulnerabilities of GraphQL query analysis.</w:t>
      </w:r>
    </w:p>
    <w:p>
      <w:pPr>
        <w:pStyle w:val="Heading1"/>
      </w:pPr>
      <w:r>
        <w:rPr>
          <w:rFonts w:ascii="Arial" w:hAnsi="Arial"/>
          <w:color w:val="0F766E"/>
        </w:rPr>
        <w:t>3. Comparative Study 2: MongoDB (NoSQL) vs. MySQL (Relational SQL)</w:t>
      </w:r>
    </w:p>
    <w:p>
      <w:r>
        <w:rPr>
          <w:b/>
        </w:rPr>
        <w:t>3.1 Introduction to Technologies</w:t>
      </w:r>
    </w:p>
    <w:p>
      <w:r>
        <w:t>• MongoDB: A document-oriented NoSQL database that stores data as JSON-like BSON documents. Paired with Mongoose ODM in the MERN stack, it offers rapid schema iteration, atomic single-document operations, and advanced partial indexing.</w:t>
        <w:br/>
        <w:t>• MySQL: An open-source relational database management system (RDBMS) governed by rigid tables, columns, primary keys, foreign keys, and ANSI SQL queries, providing strict ACID transactions across normalized relational tables.</w:t>
      </w:r>
    </w:p>
    <w:p>
      <w:r>
        <w:rPr>
          <w:b/>
        </w:rPr>
        <w:t>3.2 Key Features &amp; Comparative Difference Matrix</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766E"/>
            <w:tcMar>
              <w:top w:w="140" w:type="dxa"/>
              <w:bottom w:w="140" w:type="dxa"/>
              <w:left w:w="160" w:type="dxa"/>
              <w:right w:w="160" w:type="dxa"/>
            </w:tcMar>
          </w:tcPr>
          <w:p>
            <w:pPr>
              <w:jc w:val="center"/>
            </w:pPr>
            <w:r>
              <w:rPr>
                <w:rFonts w:ascii="Arial" w:hAnsi="Arial"/>
                <w:b/>
                <w:color w:val="FFFFFF"/>
                <w:sz w:val="19"/>
              </w:rPr>
              <w:t>Evaluation Criteria</w:t>
            </w:r>
          </w:p>
        </w:tc>
        <w:tc>
          <w:tcPr>
            <w:tcW w:type="dxa" w:w="3120"/>
            <w:shd w:fill="0F766E"/>
            <w:tcMar>
              <w:top w:w="140" w:type="dxa"/>
              <w:bottom w:w="140" w:type="dxa"/>
              <w:left w:w="160" w:type="dxa"/>
              <w:right w:w="160" w:type="dxa"/>
            </w:tcMar>
          </w:tcPr>
          <w:p>
            <w:pPr>
              <w:jc w:val="center"/>
            </w:pPr>
            <w:r>
              <w:rPr>
                <w:rFonts w:ascii="Arial" w:hAnsi="Arial"/>
                <w:b/>
                <w:color w:val="FFFFFF"/>
                <w:sz w:val="19"/>
              </w:rPr>
              <w:t>MongoDB (Mongoose ODM)</w:t>
            </w:r>
          </w:p>
        </w:tc>
        <w:tc>
          <w:tcPr>
            <w:tcW w:type="dxa" w:w="3120"/>
            <w:shd w:fill="0F766E"/>
            <w:tcMar>
              <w:top w:w="140" w:type="dxa"/>
              <w:bottom w:w="140" w:type="dxa"/>
              <w:left w:w="160" w:type="dxa"/>
              <w:right w:w="160" w:type="dxa"/>
            </w:tcMar>
          </w:tcPr>
          <w:p>
            <w:pPr>
              <w:jc w:val="center"/>
            </w:pPr>
            <w:r>
              <w:rPr>
                <w:rFonts w:ascii="Arial" w:hAnsi="Arial"/>
                <w:b/>
                <w:color w:val="FFFFFF"/>
                <w:sz w:val="19"/>
              </w:rPr>
              <w:t>MySQL (Relational SQL)</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Data Model</w:t>
            </w:r>
          </w:p>
        </w:tc>
        <w:tc>
          <w:tcPr>
            <w:tcW w:type="dxa" w:w="3120"/>
            <w:shd w:fill="FFFFFF"/>
            <w:tcMar>
              <w:top w:w="100" w:type="dxa"/>
              <w:bottom w:w="100" w:type="dxa"/>
              <w:left w:w="140" w:type="dxa"/>
              <w:right w:w="140" w:type="dxa"/>
            </w:tcMar>
          </w:tcPr>
          <w:p>
            <w:pPr>
              <w:jc w:val="left"/>
            </w:pPr>
            <w:r>
              <w:rPr>
                <w:rFonts w:ascii="Arial" w:hAnsi="Arial"/>
                <w:color w:val="334155"/>
                <w:sz w:val="18"/>
              </w:rPr>
              <w:t>BSON documents organized in collections</w:t>
            </w:r>
          </w:p>
        </w:tc>
        <w:tc>
          <w:tcPr>
            <w:tcW w:type="dxa" w:w="3120"/>
            <w:shd w:fill="FFFFFF"/>
            <w:tcMar>
              <w:top w:w="100" w:type="dxa"/>
              <w:bottom w:w="100" w:type="dxa"/>
              <w:left w:w="140" w:type="dxa"/>
              <w:right w:w="140" w:type="dxa"/>
            </w:tcMar>
          </w:tcPr>
          <w:p>
            <w:pPr>
              <w:jc w:val="left"/>
            </w:pPr>
            <w:r>
              <w:rPr>
                <w:rFonts w:ascii="Arial" w:hAnsi="Arial"/>
                <w:color w:val="334155"/>
                <w:sz w:val="18"/>
              </w:rPr>
              <w:t>Rows and columns organized in normalized tables</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Schema Flexibility</w:t>
            </w:r>
          </w:p>
        </w:tc>
        <w:tc>
          <w:tcPr>
            <w:tcW w:type="dxa" w:w="3120"/>
            <w:shd w:fill="F8FAFC"/>
            <w:tcMar>
              <w:top w:w="100" w:type="dxa"/>
              <w:bottom w:w="100" w:type="dxa"/>
              <w:left w:w="140" w:type="dxa"/>
              <w:right w:w="140" w:type="dxa"/>
            </w:tcMar>
          </w:tcPr>
          <w:p>
            <w:pPr>
              <w:jc w:val="left"/>
            </w:pPr>
            <w:r>
              <w:rPr>
                <w:rFonts w:ascii="Arial" w:hAnsi="Arial"/>
                <w:color w:val="334155"/>
                <w:sz w:val="18"/>
              </w:rPr>
              <w:t>Dynamic / schema-flexible; validated at ODM level</w:t>
            </w:r>
          </w:p>
        </w:tc>
        <w:tc>
          <w:tcPr>
            <w:tcW w:type="dxa" w:w="3120"/>
            <w:shd w:fill="F8FAFC"/>
            <w:tcMar>
              <w:top w:w="100" w:type="dxa"/>
              <w:bottom w:w="100" w:type="dxa"/>
              <w:left w:w="140" w:type="dxa"/>
              <w:right w:w="140" w:type="dxa"/>
            </w:tcMar>
          </w:tcPr>
          <w:p>
            <w:pPr>
              <w:jc w:val="left"/>
            </w:pPr>
            <w:r>
              <w:rPr>
                <w:rFonts w:ascii="Arial" w:hAnsi="Arial"/>
                <w:color w:val="334155"/>
                <w:sz w:val="18"/>
              </w:rPr>
              <w:t>Rigid; requires explicit ALTER TABLE DDL migrations</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Query Language</w:t>
            </w:r>
          </w:p>
        </w:tc>
        <w:tc>
          <w:tcPr>
            <w:tcW w:type="dxa" w:w="3120"/>
            <w:shd w:fill="FFFFFF"/>
            <w:tcMar>
              <w:top w:w="100" w:type="dxa"/>
              <w:bottom w:w="100" w:type="dxa"/>
              <w:left w:w="140" w:type="dxa"/>
              <w:right w:w="140" w:type="dxa"/>
            </w:tcMar>
          </w:tcPr>
          <w:p>
            <w:pPr>
              <w:jc w:val="left"/>
            </w:pPr>
            <w:r>
              <w:rPr>
                <w:rFonts w:ascii="Arial" w:hAnsi="Arial"/>
                <w:color w:val="334155"/>
                <w:sz w:val="18"/>
              </w:rPr>
              <w:t>Mongoose query builder / MongoDB Aggregation Pipeline</w:t>
            </w:r>
          </w:p>
        </w:tc>
        <w:tc>
          <w:tcPr>
            <w:tcW w:type="dxa" w:w="3120"/>
            <w:shd w:fill="FFFFFF"/>
            <w:tcMar>
              <w:top w:w="100" w:type="dxa"/>
              <w:bottom w:w="100" w:type="dxa"/>
              <w:left w:w="140" w:type="dxa"/>
              <w:right w:w="140" w:type="dxa"/>
            </w:tcMar>
          </w:tcPr>
          <w:p>
            <w:pPr>
              <w:jc w:val="left"/>
            </w:pPr>
            <w:r>
              <w:rPr>
                <w:rFonts w:ascii="Arial" w:hAnsi="Arial"/>
                <w:color w:val="334155"/>
                <w:sz w:val="18"/>
              </w:rPr>
              <w:t>Structured Query Language (ANSI SQL)</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Joins vs. Embedding</w:t>
            </w:r>
          </w:p>
        </w:tc>
        <w:tc>
          <w:tcPr>
            <w:tcW w:type="dxa" w:w="3120"/>
            <w:shd w:fill="F8FAFC"/>
            <w:tcMar>
              <w:top w:w="100" w:type="dxa"/>
              <w:bottom w:w="100" w:type="dxa"/>
              <w:left w:w="140" w:type="dxa"/>
              <w:right w:w="140" w:type="dxa"/>
            </w:tcMar>
          </w:tcPr>
          <w:p>
            <w:pPr>
              <w:jc w:val="left"/>
            </w:pPr>
            <w:r>
              <w:rPr>
                <w:rFonts w:ascii="Arial" w:hAnsi="Arial"/>
                <w:color w:val="334155"/>
                <w:sz w:val="18"/>
              </w:rPr>
              <w:t>Document referencing (.populate()) and embedding</w:t>
            </w:r>
          </w:p>
        </w:tc>
        <w:tc>
          <w:tcPr>
            <w:tcW w:type="dxa" w:w="3120"/>
            <w:shd w:fill="F8FAFC"/>
            <w:tcMar>
              <w:top w:w="100" w:type="dxa"/>
              <w:bottom w:w="100" w:type="dxa"/>
              <w:left w:w="140" w:type="dxa"/>
              <w:right w:w="140" w:type="dxa"/>
            </w:tcMar>
          </w:tcPr>
          <w:p>
            <w:pPr>
              <w:jc w:val="left"/>
            </w:pPr>
            <w:r>
              <w:rPr>
                <w:rFonts w:ascii="Arial" w:hAnsi="Arial"/>
                <w:color w:val="334155"/>
                <w:sz w:val="18"/>
              </w:rPr>
              <w:t>Multi-table relational JOIN operations</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Concurrency &amp; Atomicity</w:t>
            </w:r>
          </w:p>
        </w:tc>
        <w:tc>
          <w:tcPr>
            <w:tcW w:type="dxa" w:w="3120"/>
            <w:shd w:fill="FFFFFF"/>
            <w:tcMar>
              <w:top w:w="100" w:type="dxa"/>
              <w:bottom w:w="100" w:type="dxa"/>
              <w:left w:w="140" w:type="dxa"/>
              <w:right w:w="140" w:type="dxa"/>
            </w:tcMar>
          </w:tcPr>
          <w:p>
            <w:pPr>
              <w:jc w:val="left"/>
            </w:pPr>
            <w:r>
              <w:rPr>
                <w:rFonts w:ascii="Arial" w:hAnsi="Arial"/>
                <w:color w:val="334155"/>
                <w:sz w:val="18"/>
              </w:rPr>
              <w:t>Atomic single-document operations (findOneAndUpdate)</w:t>
            </w:r>
          </w:p>
        </w:tc>
        <w:tc>
          <w:tcPr>
            <w:tcW w:type="dxa" w:w="3120"/>
            <w:shd w:fill="FFFFFF"/>
            <w:tcMar>
              <w:top w:w="100" w:type="dxa"/>
              <w:bottom w:w="100" w:type="dxa"/>
              <w:left w:w="140" w:type="dxa"/>
              <w:right w:w="140" w:type="dxa"/>
            </w:tcMar>
          </w:tcPr>
          <w:p>
            <w:pPr>
              <w:jc w:val="left"/>
            </w:pPr>
            <w:r>
              <w:rPr>
                <w:rFonts w:ascii="Arial" w:hAnsi="Arial"/>
                <w:color w:val="334155"/>
                <w:sz w:val="18"/>
              </w:rPr>
              <w:t>Row/table locks with multi-table ACID transactions</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Indexing Features</w:t>
            </w:r>
          </w:p>
        </w:tc>
        <w:tc>
          <w:tcPr>
            <w:tcW w:type="dxa" w:w="3120"/>
            <w:shd w:fill="F8FAFC"/>
            <w:tcMar>
              <w:top w:w="100" w:type="dxa"/>
              <w:bottom w:w="100" w:type="dxa"/>
              <w:left w:w="140" w:type="dxa"/>
              <w:right w:w="140" w:type="dxa"/>
            </w:tcMar>
          </w:tcPr>
          <w:p>
            <w:pPr>
              <w:jc w:val="left"/>
            </w:pPr>
            <w:r>
              <w:rPr>
                <w:rFonts w:ascii="Arial" w:hAnsi="Arial"/>
                <w:color w:val="334155"/>
                <w:sz w:val="18"/>
              </w:rPr>
              <w:t>Compound indexes, partial filter indexes, TTL indexes</w:t>
            </w:r>
          </w:p>
        </w:tc>
        <w:tc>
          <w:tcPr>
            <w:tcW w:type="dxa" w:w="3120"/>
            <w:shd w:fill="F8FAFC"/>
            <w:tcMar>
              <w:top w:w="100" w:type="dxa"/>
              <w:bottom w:w="100" w:type="dxa"/>
              <w:left w:w="140" w:type="dxa"/>
              <w:right w:w="140" w:type="dxa"/>
            </w:tcMar>
          </w:tcPr>
          <w:p>
            <w:pPr>
              <w:jc w:val="left"/>
            </w:pPr>
            <w:r>
              <w:rPr>
                <w:rFonts w:ascii="Arial" w:hAnsi="Arial"/>
                <w:color w:val="334155"/>
                <w:sz w:val="18"/>
              </w:rPr>
              <w:t>B-tree primary/foreign key indexes, unique constraints</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JavaScript Synergy</w:t>
            </w:r>
          </w:p>
        </w:tc>
        <w:tc>
          <w:tcPr>
            <w:tcW w:type="dxa" w:w="3120"/>
            <w:shd w:fill="FFFFFF"/>
            <w:tcMar>
              <w:top w:w="100" w:type="dxa"/>
              <w:bottom w:w="100" w:type="dxa"/>
              <w:left w:w="140" w:type="dxa"/>
              <w:right w:w="140" w:type="dxa"/>
            </w:tcMar>
          </w:tcPr>
          <w:p>
            <w:pPr>
              <w:jc w:val="left"/>
            </w:pPr>
            <w:r>
              <w:rPr>
                <w:rFonts w:ascii="Arial" w:hAnsi="Arial"/>
                <w:color w:val="334155"/>
                <w:sz w:val="18"/>
              </w:rPr>
              <w:t>Zero impedance mismatch; natively exchanges JSON objects</w:t>
            </w:r>
          </w:p>
        </w:tc>
        <w:tc>
          <w:tcPr>
            <w:tcW w:type="dxa" w:w="3120"/>
            <w:shd w:fill="FFFFFF"/>
            <w:tcMar>
              <w:top w:w="100" w:type="dxa"/>
              <w:bottom w:w="100" w:type="dxa"/>
              <w:left w:w="140" w:type="dxa"/>
              <w:right w:w="140" w:type="dxa"/>
            </w:tcMar>
          </w:tcPr>
          <w:p>
            <w:pPr>
              <w:jc w:val="left"/>
            </w:pPr>
            <w:r>
              <w:rPr>
                <w:rFonts w:ascii="Arial" w:hAnsi="Arial"/>
                <w:color w:val="334155"/>
                <w:sz w:val="18"/>
              </w:rPr>
              <w:t>Requires ORM (Sequelize/Prisma) mapping layer</w:t>
            </w:r>
          </w:p>
        </w:tc>
      </w:tr>
    </w:tbl>
    <w:p>
      <w:pPr>
        <w:spacing w:after="160"/>
      </w:pPr>
    </w:p>
    <w:p>
      <w:r>
        <w:rPr>
          <w:b/>
        </w:rPr>
        <w:t>3.3 Advantages &amp; Limitations</w:t>
      </w:r>
    </w:p>
    <w:p>
      <w:r>
        <w:t>• MongoDB Advantages: Natural alignment with JavaScript/Node.js, high throughput atomic compare-and-set operations, and partial unique indexing for active appointments.</w:t>
        <w:br/>
        <w:t>• MongoDB Limitations: Complex reporting requires multi-stage aggregation pipelines; higher memory usage for uncompressed schemas.</w:t>
        <w:br/>
        <w:t>• MySQL Advantages: Enforces mathematical relational integrity and strict multi-table foreign key constraints.</w:t>
        <w:br/>
        <w:t>• MySQL Limitations: Rigid schema alters introduce migration risks; relational row locking causes bottlenecks under burst slot booking.</w:t>
      </w:r>
    </w:p>
    <w:p>
      <w:r>
        <w:rPr>
          <w:b/>
        </w:rPr>
        <w:t>3.4 Suitable Use Cases</w:t>
      </w:r>
    </w:p>
    <w:p>
      <w:r>
        <w:t>• MongoDB: MERN stack applications, scheduling platforms, healthcare profiles with variable doctor attributes, and rapid MVP delivery.</w:t>
        <w:br/>
        <w:t>• MySQL: Core banking, legacy accounting, and highly normalized systems with hundreds of interdependent tables.</w:t>
      </w:r>
    </w:p>
    <w:p>
      <w:r>
        <w:rPr>
          <w:b/>
        </w:rPr>
        <w:t>3.5 Justified Conclusion for CareSync Project</w:t>
      </w:r>
    </w:p>
    <w:p>
      <w:r>
        <w:t>MongoDB is optimal for CareSync for two vital architectural reasons: First, high-concurrency slot booking requires atomic compare-and-set execution: 'Slot.findOneAndUpdate({ _id: slotId, isBooked: false }, { $set: { isBooked: true } })'. This executes in a single atomic database operation without locking other doctors' slots. Second, CareSync leverages MongoDB's partial unique index on 'Appointment.slotId' with filter '{ status: { $in: ["PENDING", "CONFIRMED"] } }'. This mathematically prevents double booking while permitting cancelled/rescheduled appointments to retain audit history without constraint conflicts.</w:t>
      </w:r>
    </w:p>
    <w:p>
      <w:pPr>
        <w:pStyle w:val="Heading1"/>
      </w:pPr>
      <w:r>
        <w:rPr>
          <w:rFonts w:ascii="Arial" w:hAnsi="Arial"/>
          <w:color w:val="0F766E"/>
        </w:rPr>
        <w:t>4. Comparative Study 3: React 19 vs. Angular</w:t>
      </w:r>
    </w:p>
    <w:p>
      <w:r>
        <w:rPr>
          <w:b/>
        </w:rPr>
        <w:t>4.1 Introduction to Technologies</w:t>
      </w:r>
    </w:p>
    <w:p>
      <w:r>
        <w:t>• React 19: A component-centric UI library developed by Meta that utilizes declarative JSX syntax, functional components, Hooks (useState, useEffect, useMemo), unidirectional data flow, and an efficient Virtual DOM reconciler.</w:t>
        <w:br/>
        <w:t>• Angular: An enterprise-grade, opinionated application framework developed by Google that enforces strict TypeScript, two-way data binding, RxJS reactive streams, dependency injection, and a monolithic modular architecture.</w:t>
      </w:r>
    </w:p>
    <w:p>
      <w:r>
        <w:rPr>
          <w:b/>
        </w:rPr>
        <w:t>4.2 Key Features &amp; Comparative Difference Matrix</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766E"/>
            <w:tcMar>
              <w:top w:w="140" w:type="dxa"/>
              <w:bottom w:w="140" w:type="dxa"/>
              <w:left w:w="160" w:type="dxa"/>
              <w:right w:w="160" w:type="dxa"/>
            </w:tcMar>
          </w:tcPr>
          <w:p>
            <w:pPr>
              <w:jc w:val="center"/>
            </w:pPr>
            <w:r>
              <w:rPr>
                <w:rFonts w:ascii="Arial" w:hAnsi="Arial"/>
                <w:b/>
                <w:color w:val="FFFFFF"/>
                <w:sz w:val="19"/>
              </w:rPr>
              <w:t>Evaluation Criteria</w:t>
            </w:r>
          </w:p>
        </w:tc>
        <w:tc>
          <w:tcPr>
            <w:tcW w:type="dxa" w:w="3120"/>
            <w:shd w:fill="0F766E"/>
            <w:tcMar>
              <w:top w:w="140" w:type="dxa"/>
              <w:bottom w:w="140" w:type="dxa"/>
              <w:left w:w="160" w:type="dxa"/>
              <w:right w:w="160" w:type="dxa"/>
            </w:tcMar>
          </w:tcPr>
          <w:p>
            <w:pPr>
              <w:jc w:val="center"/>
            </w:pPr>
            <w:r>
              <w:rPr>
                <w:rFonts w:ascii="Arial" w:hAnsi="Arial"/>
                <w:b/>
                <w:color w:val="FFFFFF"/>
                <w:sz w:val="19"/>
              </w:rPr>
              <w:t>React 19 (Vite)</w:t>
            </w:r>
          </w:p>
        </w:tc>
        <w:tc>
          <w:tcPr>
            <w:tcW w:type="dxa" w:w="3120"/>
            <w:shd w:fill="0F766E"/>
            <w:tcMar>
              <w:top w:w="140" w:type="dxa"/>
              <w:bottom w:w="140" w:type="dxa"/>
              <w:left w:w="160" w:type="dxa"/>
              <w:right w:w="160" w:type="dxa"/>
            </w:tcMar>
          </w:tcPr>
          <w:p>
            <w:pPr>
              <w:jc w:val="center"/>
            </w:pPr>
            <w:r>
              <w:rPr>
                <w:rFonts w:ascii="Arial" w:hAnsi="Arial"/>
                <w:b/>
                <w:color w:val="FFFFFF"/>
                <w:sz w:val="19"/>
              </w:rPr>
              <w:t>Angular (v18+)</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Architectural Scope</w:t>
            </w:r>
          </w:p>
        </w:tc>
        <w:tc>
          <w:tcPr>
            <w:tcW w:type="dxa" w:w="3120"/>
            <w:shd w:fill="FFFFFF"/>
            <w:tcMar>
              <w:top w:w="100" w:type="dxa"/>
              <w:bottom w:w="100" w:type="dxa"/>
              <w:left w:w="140" w:type="dxa"/>
              <w:right w:w="140" w:type="dxa"/>
            </w:tcMar>
          </w:tcPr>
          <w:p>
            <w:pPr>
              <w:jc w:val="left"/>
            </w:pPr>
            <w:r>
              <w:rPr>
                <w:rFonts w:ascii="Arial" w:hAnsi="Arial"/>
                <w:color w:val="334155"/>
                <w:sz w:val="18"/>
              </w:rPr>
              <w:t>UI view library; flexible selection of auxiliary tools</w:t>
            </w:r>
          </w:p>
        </w:tc>
        <w:tc>
          <w:tcPr>
            <w:tcW w:type="dxa" w:w="3120"/>
            <w:shd w:fill="FFFFFF"/>
            <w:tcMar>
              <w:top w:w="100" w:type="dxa"/>
              <w:bottom w:w="100" w:type="dxa"/>
              <w:left w:w="140" w:type="dxa"/>
              <w:right w:w="140" w:type="dxa"/>
            </w:tcMar>
          </w:tcPr>
          <w:p>
            <w:pPr>
              <w:jc w:val="left"/>
            </w:pPr>
            <w:r>
              <w:rPr>
                <w:rFonts w:ascii="Arial" w:hAnsi="Arial"/>
                <w:color w:val="334155"/>
                <w:sz w:val="18"/>
              </w:rPr>
              <w:t>Batteries-included enterprise MVC/MVVM framework</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Language &amp; Syntax</w:t>
            </w:r>
          </w:p>
        </w:tc>
        <w:tc>
          <w:tcPr>
            <w:tcW w:type="dxa" w:w="3120"/>
            <w:shd w:fill="F8FAFC"/>
            <w:tcMar>
              <w:top w:w="100" w:type="dxa"/>
              <w:bottom w:w="100" w:type="dxa"/>
              <w:left w:w="140" w:type="dxa"/>
              <w:right w:w="140" w:type="dxa"/>
            </w:tcMar>
          </w:tcPr>
          <w:p>
            <w:pPr>
              <w:jc w:val="left"/>
            </w:pPr>
            <w:r>
              <w:rPr>
                <w:rFonts w:ascii="Arial" w:hAnsi="Arial"/>
                <w:color w:val="334155"/>
                <w:sz w:val="18"/>
              </w:rPr>
              <w:t>JavaScript / TypeScript with JSX (JavaScript XML)</w:t>
            </w:r>
          </w:p>
        </w:tc>
        <w:tc>
          <w:tcPr>
            <w:tcW w:type="dxa" w:w="3120"/>
            <w:shd w:fill="F8FAFC"/>
            <w:tcMar>
              <w:top w:w="100" w:type="dxa"/>
              <w:bottom w:w="100" w:type="dxa"/>
              <w:left w:w="140" w:type="dxa"/>
              <w:right w:w="140" w:type="dxa"/>
            </w:tcMar>
          </w:tcPr>
          <w:p>
            <w:pPr>
              <w:jc w:val="left"/>
            </w:pPr>
            <w:r>
              <w:rPr>
                <w:rFonts w:ascii="Arial" w:hAnsi="Arial"/>
                <w:color w:val="334155"/>
                <w:sz w:val="18"/>
              </w:rPr>
              <w:t>Strict TypeScript with HTML templates and decorators</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Data Flow</w:t>
            </w:r>
          </w:p>
        </w:tc>
        <w:tc>
          <w:tcPr>
            <w:tcW w:type="dxa" w:w="3120"/>
            <w:shd w:fill="FFFFFF"/>
            <w:tcMar>
              <w:top w:w="100" w:type="dxa"/>
              <w:bottom w:w="100" w:type="dxa"/>
              <w:left w:w="140" w:type="dxa"/>
              <w:right w:w="140" w:type="dxa"/>
            </w:tcMar>
          </w:tcPr>
          <w:p>
            <w:pPr>
              <w:jc w:val="left"/>
            </w:pPr>
            <w:r>
              <w:rPr>
                <w:rFonts w:ascii="Arial" w:hAnsi="Arial"/>
                <w:color w:val="334155"/>
                <w:sz w:val="18"/>
              </w:rPr>
              <w:t>Unidirectional data flow (predictable state down, events up)</w:t>
            </w:r>
          </w:p>
        </w:tc>
        <w:tc>
          <w:tcPr>
            <w:tcW w:type="dxa" w:w="3120"/>
            <w:shd w:fill="FFFFFF"/>
            <w:tcMar>
              <w:top w:w="100" w:type="dxa"/>
              <w:bottom w:w="100" w:type="dxa"/>
              <w:left w:w="140" w:type="dxa"/>
              <w:right w:w="140" w:type="dxa"/>
            </w:tcMar>
          </w:tcPr>
          <w:p>
            <w:pPr>
              <w:jc w:val="left"/>
            </w:pPr>
            <w:r>
              <w:rPr>
                <w:rFonts w:ascii="Arial" w:hAnsi="Arial"/>
                <w:color w:val="334155"/>
                <w:sz w:val="18"/>
              </w:rPr>
              <w:t>Two-way data binding ([(ngModel)]) and Signals</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DOM Reconciliation</w:t>
            </w:r>
          </w:p>
        </w:tc>
        <w:tc>
          <w:tcPr>
            <w:tcW w:type="dxa" w:w="3120"/>
            <w:shd w:fill="F8FAFC"/>
            <w:tcMar>
              <w:top w:w="100" w:type="dxa"/>
              <w:bottom w:w="100" w:type="dxa"/>
              <w:left w:w="140" w:type="dxa"/>
              <w:right w:w="140" w:type="dxa"/>
            </w:tcMar>
          </w:tcPr>
          <w:p>
            <w:pPr>
              <w:jc w:val="left"/>
            </w:pPr>
            <w:r>
              <w:rPr>
                <w:rFonts w:ascii="Arial" w:hAnsi="Arial"/>
                <w:color w:val="334155"/>
                <w:sz w:val="18"/>
              </w:rPr>
              <w:t>Virtual DOM with Fiber reconciler</w:t>
            </w:r>
          </w:p>
        </w:tc>
        <w:tc>
          <w:tcPr>
            <w:tcW w:type="dxa" w:w="3120"/>
            <w:shd w:fill="F8FAFC"/>
            <w:tcMar>
              <w:top w:w="100" w:type="dxa"/>
              <w:bottom w:w="100" w:type="dxa"/>
              <w:left w:w="140" w:type="dxa"/>
              <w:right w:w="140" w:type="dxa"/>
            </w:tcMar>
          </w:tcPr>
          <w:p>
            <w:pPr>
              <w:jc w:val="left"/>
            </w:pPr>
            <w:r>
              <w:rPr>
                <w:rFonts w:ascii="Arial" w:hAnsi="Arial"/>
                <w:color w:val="334155"/>
                <w:sz w:val="18"/>
              </w:rPr>
              <w:t>Incremental DOM with Zone.js change detection</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Build &amp; Dev Speed</w:t>
            </w:r>
          </w:p>
        </w:tc>
        <w:tc>
          <w:tcPr>
            <w:tcW w:type="dxa" w:w="3120"/>
            <w:shd w:fill="FFFFFF"/>
            <w:tcMar>
              <w:top w:w="100" w:type="dxa"/>
              <w:bottom w:w="100" w:type="dxa"/>
              <w:left w:w="140" w:type="dxa"/>
              <w:right w:w="140" w:type="dxa"/>
            </w:tcMar>
          </w:tcPr>
          <w:p>
            <w:pPr>
              <w:jc w:val="left"/>
            </w:pPr>
            <w:r>
              <w:rPr>
                <w:rFonts w:ascii="Arial" w:hAnsi="Arial"/>
                <w:color w:val="334155"/>
                <w:sz w:val="18"/>
              </w:rPr>
              <w:t>Lightning-fast Vite tooling powered by ESBuild / Rollup</w:t>
            </w:r>
          </w:p>
        </w:tc>
        <w:tc>
          <w:tcPr>
            <w:tcW w:type="dxa" w:w="3120"/>
            <w:shd w:fill="FFFFFF"/>
            <w:tcMar>
              <w:top w:w="100" w:type="dxa"/>
              <w:bottom w:w="100" w:type="dxa"/>
              <w:left w:w="140" w:type="dxa"/>
              <w:right w:w="140" w:type="dxa"/>
            </w:tcMar>
          </w:tcPr>
          <w:p>
            <w:pPr>
              <w:jc w:val="left"/>
            </w:pPr>
            <w:r>
              <w:rPr>
                <w:rFonts w:ascii="Arial" w:hAnsi="Arial"/>
                <w:color w:val="334155"/>
                <w:sz w:val="18"/>
              </w:rPr>
              <w:t>Angular CLI with Webpack/esbuild; heavier compilation</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Bundle Size</w:t>
            </w:r>
          </w:p>
        </w:tc>
        <w:tc>
          <w:tcPr>
            <w:tcW w:type="dxa" w:w="3120"/>
            <w:shd w:fill="F8FAFC"/>
            <w:tcMar>
              <w:top w:w="100" w:type="dxa"/>
              <w:bottom w:w="100" w:type="dxa"/>
              <w:left w:w="140" w:type="dxa"/>
              <w:right w:w="140" w:type="dxa"/>
            </w:tcMar>
          </w:tcPr>
          <w:p>
            <w:pPr>
              <w:jc w:val="left"/>
            </w:pPr>
            <w:r>
              <w:rPr>
                <w:rFonts w:ascii="Arial" w:hAnsi="Arial"/>
                <w:color w:val="334155"/>
                <w:sz w:val="18"/>
              </w:rPr>
              <w:t>Extremely lightweight (~45 KB core runtime footprint)</w:t>
            </w:r>
          </w:p>
        </w:tc>
        <w:tc>
          <w:tcPr>
            <w:tcW w:type="dxa" w:w="3120"/>
            <w:shd w:fill="F8FAFC"/>
            <w:tcMar>
              <w:top w:w="100" w:type="dxa"/>
              <w:bottom w:w="100" w:type="dxa"/>
              <w:left w:w="140" w:type="dxa"/>
              <w:right w:w="140" w:type="dxa"/>
            </w:tcMar>
          </w:tcPr>
          <w:p>
            <w:pPr>
              <w:jc w:val="left"/>
            </w:pPr>
            <w:r>
              <w:rPr>
                <w:rFonts w:ascii="Arial" w:hAnsi="Arial"/>
                <w:color w:val="334155"/>
                <w:sz w:val="18"/>
              </w:rPr>
              <w:t>Heavier baseline framework runtime (~130 KB+)</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Styling Paradigm</w:t>
            </w:r>
          </w:p>
        </w:tc>
        <w:tc>
          <w:tcPr>
            <w:tcW w:type="dxa" w:w="3120"/>
            <w:shd w:fill="FFFFFF"/>
            <w:tcMar>
              <w:top w:w="100" w:type="dxa"/>
              <w:bottom w:w="100" w:type="dxa"/>
              <w:left w:w="140" w:type="dxa"/>
              <w:right w:w="140" w:type="dxa"/>
            </w:tcMar>
          </w:tcPr>
          <w:p>
            <w:pPr>
              <w:jc w:val="left"/>
            </w:pPr>
            <w:r>
              <w:rPr>
                <w:rFonts w:ascii="Arial" w:hAnsi="Arial"/>
                <w:color w:val="334155"/>
                <w:sz w:val="18"/>
              </w:rPr>
              <w:t>Seamless integration with Vanilla CSS, CSS Modules, Tailwind</w:t>
            </w:r>
          </w:p>
        </w:tc>
        <w:tc>
          <w:tcPr>
            <w:tcW w:type="dxa" w:w="3120"/>
            <w:shd w:fill="FFFFFF"/>
            <w:tcMar>
              <w:top w:w="100" w:type="dxa"/>
              <w:bottom w:w="100" w:type="dxa"/>
              <w:left w:w="140" w:type="dxa"/>
              <w:right w:w="140" w:type="dxa"/>
            </w:tcMar>
          </w:tcPr>
          <w:p>
            <w:pPr>
              <w:jc w:val="left"/>
            </w:pPr>
            <w:r>
              <w:rPr>
                <w:rFonts w:ascii="Arial" w:hAnsi="Arial"/>
                <w:color w:val="334155"/>
                <w:sz w:val="18"/>
              </w:rPr>
              <w:t>Component-encapsulated styles (Shadow DOM / Emulated)</w:t>
            </w:r>
          </w:p>
        </w:tc>
      </w:tr>
    </w:tbl>
    <w:p>
      <w:pPr>
        <w:spacing w:after="160"/>
      </w:pPr>
    </w:p>
    <w:p>
      <w:r>
        <w:rPr>
          <w:b/>
        </w:rPr>
        <w:t>4.3 Advantages &amp; Limitations</w:t>
      </w:r>
    </w:p>
    <w:p>
      <w:r>
        <w:t>• React Advantages: Lightweight, rapid rendering, modular components, minimal boilerplate, and instant hot module replacement.</w:t>
        <w:br/>
        <w:t>• React Limitations: Unopinionated nature requires manual selection of routing and state libraries; hook dependency mistakes can cause unnecessary renders.</w:t>
        <w:br/>
        <w:t>• Angular Advantages: Out-of-the-box standardization, built-in dependency injection, and robust form validation.</w:t>
        <w:br/>
        <w:t>• Angular Limitations: Steep learning curve (RxJS streams, decorators), verbose boilerplate, and heavier runtime footprint.</w:t>
      </w:r>
    </w:p>
    <w:p>
      <w:r>
        <w:rPr>
          <w:b/>
        </w:rPr>
        <w:t>4.4 Suitable Use Cases</w:t>
      </w:r>
    </w:p>
    <w:p>
      <w:r>
        <w:t>• React: Interactive SPAs, dynamic healthcare booking portals, SaaS dashboards, and consumer-facing web apps.</w:t>
        <w:br/>
        <w:t>• Angular: Large-scale enterprise intranets and massive monoliths where strict standardization outweighs rapid prototyping.</w:t>
      </w:r>
    </w:p>
    <w:p>
      <w:r>
        <w:rPr>
          <w:b/>
        </w:rPr>
        <w:t>4.5 Justified Conclusion for CareSync Project</w:t>
      </w:r>
    </w:p>
    <w:p>
      <w:r>
        <w:t>React 19 was selected for CareSync because the platform requires dynamic, responsive UI interactions: a 14-day interactive slot-picker grid, instantaneous 1-click persona switching (Patient, Doctor, Admin), live unread notification counters, and modal dialogues. React's declarative state model and Vite build toolchain deliver sub-second hot reloading, fast page loads, and flawless integration with our custom Vanilla CSS design system.</w:t>
      </w:r>
    </w:p>
    <w:p>
      <w:pPr>
        <w:pStyle w:val="Heading1"/>
      </w:pPr>
      <w:r>
        <w:rPr>
          <w:rFonts w:ascii="Arial" w:hAnsi="Arial"/>
          <w:color w:val="0F766E"/>
        </w:rPr>
        <w:t>5. Comparative Study 4: JWT vs. Session-Based Authentication</w:t>
      </w:r>
    </w:p>
    <w:p>
      <w:r>
        <w:rPr>
          <w:b/>
        </w:rPr>
        <w:t>5.1 Introduction to Technologies</w:t>
      </w:r>
    </w:p>
    <w:p>
      <w:r>
        <w:t>• JWT (JSON Web Token): A stateless open standard (RFC 7519) that cryptographically signs claims (userId, role, email) into a compact base64-encoded token. Transmitted via the 'Authorization: Bearer &lt;token&gt;' header, the server verifies authenticity cryptographically in CPU memory without database lookups.</w:t>
        <w:br/>
        <w:t>• Session-Based Authentication: A stateful approach where the server creates a session identifier upon authentication, stores session state in memory/Redis, and tracks the user via an HTTP-only cookie. Every incoming request requires querying the session store.</w:t>
      </w:r>
    </w:p>
    <w:p>
      <w:r>
        <w:rPr>
          <w:b/>
        </w:rPr>
        <w:t>5.2 Key Features &amp; Comparative Difference Matrix</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766E"/>
            <w:tcMar>
              <w:top w:w="140" w:type="dxa"/>
              <w:bottom w:w="140" w:type="dxa"/>
              <w:left w:w="160" w:type="dxa"/>
              <w:right w:w="160" w:type="dxa"/>
            </w:tcMar>
          </w:tcPr>
          <w:p>
            <w:pPr>
              <w:jc w:val="center"/>
            </w:pPr>
            <w:r>
              <w:rPr>
                <w:rFonts w:ascii="Arial" w:hAnsi="Arial"/>
                <w:b/>
                <w:color w:val="FFFFFF"/>
                <w:sz w:val="19"/>
              </w:rPr>
              <w:t>Evaluation Criteria</w:t>
            </w:r>
          </w:p>
        </w:tc>
        <w:tc>
          <w:tcPr>
            <w:tcW w:type="dxa" w:w="3120"/>
            <w:shd w:fill="0F766E"/>
            <w:tcMar>
              <w:top w:w="140" w:type="dxa"/>
              <w:bottom w:w="140" w:type="dxa"/>
              <w:left w:w="160" w:type="dxa"/>
              <w:right w:w="160" w:type="dxa"/>
            </w:tcMar>
          </w:tcPr>
          <w:p>
            <w:pPr>
              <w:jc w:val="center"/>
            </w:pPr>
            <w:r>
              <w:rPr>
                <w:rFonts w:ascii="Arial" w:hAnsi="Arial"/>
                <w:b/>
                <w:color w:val="FFFFFF"/>
                <w:sz w:val="19"/>
              </w:rPr>
              <w:t>JWT (JSON Web Token)</w:t>
            </w:r>
          </w:p>
        </w:tc>
        <w:tc>
          <w:tcPr>
            <w:tcW w:type="dxa" w:w="3120"/>
            <w:shd w:fill="0F766E"/>
            <w:tcMar>
              <w:top w:w="140" w:type="dxa"/>
              <w:bottom w:w="140" w:type="dxa"/>
              <w:left w:w="160" w:type="dxa"/>
              <w:right w:w="160" w:type="dxa"/>
            </w:tcMar>
          </w:tcPr>
          <w:p>
            <w:pPr>
              <w:jc w:val="center"/>
            </w:pPr>
            <w:r>
              <w:rPr>
                <w:rFonts w:ascii="Arial" w:hAnsi="Arial"/>
                <w:b/>
                <w:color w:val="FFFFFF"/>
                <w:sz w:val="19"/>
              </w:rPr>
              <w:t>Session-Based Authentication</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State Architecture</w:t>
            </w:r>
          </w:p>
        </w:tc>
        <w:tc>
          <w:tcPr>
            <w:tcW w:type="dxa" w:w="3120"/>
            <w:shd w:fill="FFFFFF"/>
            <w:tcMar>
              <w:top w:w="100" w:type="dxa"/>
              <w:bottom w:w="100" w:type="dxa"/>
              <w:left w:w="140" w:type="dxa"/>
              <w:right w:w="140" w:type="dxa"/>
            </w:tcMar>
          </w:tcPr>
          <w:p>
            <w:pPr>
              <w:jc w:val="left"/>
            </w:pPr>
            <w:r>
              <w:rPr>
                <w:rFonts w:ascii="Arial" w:hAnsi="Arial"/>
                <w:color w:val="334155"/>
                <w:sz w:val="18"/>
              </w:rPr>
              <w:t>100% Stateless; zero server-side memory allocated</w:t>
            </w:r>
          </w:p>
        </w:tc>
        <w:tc>
          <w:tcPr>
            <w:tcW w:type="dxa" w:w="3120"/>
            <w:shd w:fill="FFFFFF"/>
            <w:tcMar>
              <w:top w:w="100" w:type="dxa"/>
              <w:bottom w:w="100" w:type="dxa"/>
              <w:left w:w="140" w:type="dxa"/>
              <w:right w:w="140" w:type="dxa"/>
            </w:tcMar>
          </w:tcPr>
          <w:p>
            <w:pPr>
              <w:jc w:val="left"/>
            </w:pPr>
            <w:r>
              <w:rPr>
                <w:rFonts w:ascii="Arial" w:hAnsi="Arial"/>
                <w:color w:val="334155"/>
                <w:sz w:val="18"/>
              </w:rPr>
              <w:t>Stateful; server maintains active sessions in Redis/DB</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Verification Overhead</w:t>
            </w:r>
          </w:p>
        </w:tc>
        <w:tc>
          <w:tcPr>
            <w:tcW w:type="dxa" w:w="3120"/>
            <w:shd w:fill="F8FAFC"/>
            <w:tcMar>
              <w:top w:w="100" w:type="dxa"/>
              <w:bottom w:w="100" w:type="dxa"/>
              <w:left w:w="140" w:type="dxa"/>
              <w:right w:w="140" w:type="dxa"/>
            </w:tcMar>
          </w:tcPr>
          <w:p>
            <w:pPr>
              <w:jc w:val="left"/>
            </w:pPr>
            <w:r>
              <w:rPr>
                <w:rFonts w:ascii="Arial" w:hAnsi="Arial"/>
                <w:color w:val="334155"/>
                <w:sz w:val="18"/>
              </w:rPr>
              <w:t>CPU cryptographic verification (HMAC-SHA256)</w:t>
            </w:r>
          </w:p>
        </w:tc>
        <w:tc>
          <w:tcPr>
            <w:tcW w:type="dxa" w:w="3120"/>
            <w:shd w:fill="F8FAFC"/>
            <w:tcMar>
              <w:top w:w="100" w:type="dxa"/>
              <w:bottom w:w="100" w:type="dxa"/>
              <w:left w:w="140" w:type="dxa"/>
              <w:right w:w="140" w:type="dxa"/>
            </w:tcMar>
          </w:tcPr>
          <w:p>
            <w:pPr>
              <w:jc w:val="left"/>
            </w:pPr>
            <w:r>
              <w:rPr>
                <w:rFonts w:ascii="Arial" w:hAnsi="Arial"/>
                <w:color w:val="334155"/>
                <w:sz w:val="18"/>
              </w:rPr>
              <w:t>Cache or database lookup on every single HTTP request</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Horizontal Scalability</w:t>
            </w:r>
          </w:p>
        </w:tc>
        <w:tc>
          <w:tcPr>
            <w:tcW w:type="dxa" w:w="3120"/>
            <w:shd w:fill="FFFFFF"/>
            <w:tcMar>
              <w:top w:w="100" w:type="dxa"/>
              <w:bottom w:w="100" w:type="dxa"/>
              <w:left w:w="140" w:type="dxa"/>
              <w:right w:w="140" w:type="dxa"/>
            </w:tcMar>
          </w:tcPr>
          <w:p>
            <w:pPr>
              <w:jc w:val="left"/>
            </w:pPr>
            <w:r>
              <w:rPr>
                <w:rFonts w:ascii="Arial" w:hAnsi="Arial"/>
                <w:color w:val="334155"/>
                <w:sz w:val="18"/>
              </w:rPr>
              <w:t>Effortless; any server instance can verify signed tokens</w:t>
            </w:r>
          </w:p>
        </w:tc>
        <w:tc>
          <w:tcPr>
            <w:tcW w:type="dxa" w:w="3120"/>
            <w:shd w:fill="FFFFFF"/>
            <w:tcMar>
              <w:top w:w="100" w:type="dxa"/>
              <w:bottom w:w="100" w:type="dxa"/>
              <w:left w:w="140" w:type="dxa"/>
              <w:right w:w="140" w:type="dxa"/>
            </w:tcMar>
          </w:tcPr>
          <w:p>
            <w:pPr>
              <w:jc w:val="left"/>
            </w:pPr>
            <w:r>
              <w:rPr>
                <w:rFonts w:ascii="Arial" w:hAnsi="Arial"/>
                <w:color w:val="334155"/>
                <w:sz w:val="18"/>
              </w:rPr>
              <w:t>Requires centralized cache (Redis) or sticky sessions</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Client Storage</w:t>
            </w:r>
          </w:p>
        </w:tc>
        <w:tc>
          <w:tcPr>
            <w:tcW w:type="dxa" w:w="3120"/>
            <w:shd w:fill="F8FAFC"/>
            <w:tcMar>
              <w:top w:w="100" w:type="dxa"/>
              <w:bottom w:w="100" w:type="dxa"/>
              <w:left w:w="140" w:type="dxa"/>
              <w:right w:w="140" w:type="dxa"/>
            </w:tcMar>
          </w:tcPr>
          <w:p>
            <w:pPr>
              <w:jc w:val="left"/>
            </w:pPr>
            <w:r>
              <w:rPr>
                <w:rFonts w:ascii="Arial" w:hAnsi="Arial"/>
                <w:color w:val="334155"/>
                <w:sz w:val="18"/>
              </w:rPr>
              <w:t>Authorization: Bearer header (memory or localStorage)</w:t>
            </w:r>
          </w:p>
        </w:tc>
        <w:tc>
          <w:tcPr>
            <w:tcW w:type="dxa" w:w="3120"/>
            <w:shd w:fill="F8FAFC"/>
            <w:tcMar>
              <w:top w:w="100" w:type="dxa"/>
              <w:bottom w:w="100" w:type="dxa"/>
              <w:left w:w="140" w:type="dxa"/>
              <w:right w:w="140" w:type="dxa"/>
            </w:tcMar>
          </w:tcPr>
          <w:p>
            <w:pPr>
              <w:jc w:val="left"/>
            </w:pPr>
            <w:r>
              <w:rPr>
                <w:rFonts w:ascii="Arial" w:hAnsi="Arial"/>
                <w:color w:val="334155"/>
                <w:sz w:val="18"/>
              </w:rPr>
              <w:t>HTTP-only, Secure browser cookie</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CORS &amp; Decoupled Apps</w:t>
            </w:r>
          </w:p>
        </w:tc>
        <w:tc>
          <w:tcPr>
            <w:tcW w:type="dxa" w:w="3120"/>
            <w:shd w:fill="FFFFFF"/>
            <w:tcMar>
              <w:top w:w="100" w:type="dxa"/>
              <w:bottom w:w="100" w:type="dxa"/>
              <w:left w:w="140" w:type="dxa"/>
              <w:right w:w="140" w:type="dxa"/>
            </w:tcMar>
          </w:tcPr>
          <w:p>
            <w:pPr>
              <w:jc w:val="left"/>
            </w:pPr>
            <w:r>
              <w:rPr>
                <w:rFonts w:ascii="Arial" w:hAnsi="Arial"/>
                <w:color w:val="334155"/>
                <w:sz w:val="18"/>
              </w:rPr>
              <w:t>Trivially supports decoupled origins (Port 5173 to Port 5000)</w:t>
            </w:r>
          </w:p>
        </w:tc>
        <w:tc>
          <w:tcPr>
            <w:tcW w:type="dxa" w:w="3120"/>
            <w:shd w:fill="FFFFFF"/>
            <w:tcMar>
              <w:top w:w="100" w:type="dxa"/>
              <w:bottom w:w="100" w:type="dxa"/>
              <w:left w:w="140" w:type="dxa"/>
              <w:right w:w="140" w:type="dxa"/>
            </w:tcMar>
          </w:tcPr>
          <w:p>
            <w:pPr>
              <w:jc w:val="left"/>
            </w:pPr>
            <w:r>
              <w:rPr>
                <w:rFonts w:ascii="Arial" w:hAnsi="Arial"/>
                <w:color w:val="334155"/>
                <w:sz w:val="18"/>
              </w:rPr>
              <w:t>Requires complex cookie sharing, SameSite, and domain rules</w:t>
            </w:r>
          </w:p>
        </w:tc>
      </w:tr>
      <w:tr>
        <w:tc>
          <w:tcPr>
            <w:tcW w:type="dxa" w:w="3120"/>
            <w:shd w:fill="F8FAFC"/>
            <w:tcMar>
              <w:top w:w="100" w:type="dxa"/>
              <w:bottom w:w="100" w:type="dxa"/>
              <w:left w:w="140" w:type="dxa"/>
              <w:right w:w="140" w:type="dxa"/>
            </w:tcMar>
          </w:tcPr>
          <w:p>
            <w:pPr>
              <w:jc w:val="left"/>
            </w:pPr>
            <w:r>
              <w:rPr>
                <w:rFonts w:ascii="Arial" w:hAnsi="Arial"/>
                <w:b/>
                <w:color w:val="1E293B"/>
                <w:sz w:val="18"/>
              </w:rPr>
              <w:t>CSRF Attack Vulnerability</w:t>
            </w:r>
          </w:p>
        </w:tc>
        <w:tc>
          <w:tcPr>
            <w:tcW w:type="dxa" w:w="3120"/>
            <w:shd w:fill="F8FAFC"/>
            <w:tcMar>
              <w:top w:w="100" w:type="dxa"/>
              <w:bottom w:w="100" w:type="dxa"/>
              <w:left w:w="140" w:type="dxa"/>
              <w:right w:w="140" w:type="dxa"/>
            </w:tcMar>
          </w:tcPr>
          <w:p>
            <w:pPr>
              <w:jc w:val="left"/>
            </w:pPr>
            <w:r>
              <w:rPr>
                <w:rFonts w:ascii="Arial" w:hAnsi="Arial"/>
                <w:color w:val="334155"/>
                <w:sz w:val="18"/>
              </w:rPr>
              <w:t>Immune to CSRF when sent in Authorization header</w:t>
            </w:r>
          </w:p>
        </w:tc>
        <w:tc>
          <w:tcPr>
            <w:tcW w:type="dxa" w:w="3120"/>
            <w:shd w:fill="F8FAFC"/>
            <w:tcMar>
              <w:top w:w="100" w:type="dxa"/>
              <w:bottom w:w="100" w:type="dxa"/>
              <w:left w:w="140" w:type="dxa"/>
              <w:right w:w="140" w:type="dxa"/>
            </w:tcMar>
          </w:tcPr>
          <w:p>
            <w:pPr>
              <w:jc w:val="left"/>
            </w:pPr>
            <w:r>
              <w:rPr>
                <w:rFonts w:ascii="Arial" w:hAnsi="Arial"/>
                <w:color w:val="334155"/>
                <w:sz w:val="18"/>
              </w:rPr>
              <w:t>Vulnerable to CSRF; requires anti-CSRF token handling</w:t>
            </w:r>
          </w:p>
        </w:tc>
      </w:tr>
      <w:tr>
        <w:tc>
          <w:tcPr>
            <w:tcW w:type="dxa" w:w="3120"/>
            <w:shd w:fill="FFFFFF"/>
            <w:tcMar>
              <w:top w:w="100" w:type="dxa"/>
              <w:bottom w:w="100" w:type="dxa"/>
              <w:left w:w="140" w:type="dxa"/>
              <w:right w:w="140" w:type="dxa"/>
            </w:tcMar>
          </w:tcPr>
          <w:p>
            <w:pPr>
              <w:jc w:val="left"/>
            </w:pPr>
            <w:r>
              <w:rPr>
                <w:rFonts w:ascii="Arial" w:hAnsi="Arial"/>
                <w:b/>
                <w:color w:val="1E293B"/>
                <w:sz w:val="18"/>
              </w:rPr>
              <w:t>Revocation Control</w:t>
            </w:r>
          </w:p>
        </w:tc>
        <w:tc>
          <w:tcPr>
            <w:tcW w:type="dxa" w:w="3120"/>
            <w:shd w:fill="FFFFFF"/>
            <w:tcMar>
              <w:top w:w="100" w:type="dxa"/>
              <w:bottom w:w="100" w:type="dxa"/>
              <w:left w:w="140" w:type="dxa"/>
              <w:right w:w="140" w:type="dxa"/>
            </w:tcMar>
          </w:tcPr>
          <w:p>
            <w:pPr>
              <w:jc w:val="left"/>
            </w:pPr>
            <w:r>
              <w:rPr>
                <w:rFonts w:ascii="Arial" w:hAnsi="Arial"/>
                <w:color w:val="334155"/>
                <w:sz w:val="18"/>
              </w:rPr>
              <w:t>Challenging before expiry (requires blacklist/TTL)</w:t>
            </w:r>
          </w:p>
        </w:tc>
        <w:tc>
          <w:tcPr>
            <w:tcW w:type="dxa" w:w="3120"/>
            <w:shd w:fill="FFFFFF"/>
            <w:tcMar>
              <w:top w:w="100" w:type="dxa"/>
              <w:bottom w:w="100" w:type="dxa"/>
              <w:left w:w="140" w:type="dxa"/>
              <w:right w:w="140" w:type="dxa"/>
            </w:tcMar>
          </w:tcPr>
          <w:p>
            <w:pPr>
              <w:jc w:val="left"/>
            </w:pPr>
            <w:r>
              <w:rPr>
                <w:rFonts w:ascii="Arial" w:hAnsi="Arial"/>
                <w:color w:val="334155"/>
                <w:sz w:val="18"/>
              </w:rPr>
              <w:t>Instant; server simply purges session key from Redis</w:t>
            </w:r>
          </w:p>
        </w:tc>
      </w:tr>
    </w:tbl>
    <w:p>
      <w:pPr>
        <w:spacing w:after="160"/>
      </w:pPr>
    </w:p>
    <w:p>
      <w:r>
        <w:rPr>
          <w:b/>
        </w:rPr>
        <w:t>5.3 Advantages &amp; Limitations</w:t>
      </w:r>
    </w:p>
    <w:p>
      <w:r>
        <w:t>• JWT Advantages: Stateless scalability, zero database overhead for auth verification, decoupled SPA compatibility, and built-in role claims for RBAC.</w:t>
        <w:br/>
        <w:t>• JWT Limitations: Token cannot be easily invalidated before expiration; payload claims are visible if not encrypted.</w:t>
        <w:br/>
        <w:t>• Session Advantages: Instant administrative revocation and smaller cookie payload.</w:t>
        <w:br/>
        <w:t>• Session Limitations: High database/cache lookup overhead; scaling bottlenecks; CSRF vulnerabilities.</w:t>
      </w:r>
    </w:p>
    <w:p>
      <w:r>
        <w:rPr>
          <w:b/>
        </w:rPr>
        <w:t>5.4 Suitable Use Cases</w:t>
      </w:r>
    </w:p>
    <w:p>
      <w:r>
        <w:t>• JWT: Decoupled RESTful APIs, modern SPAs (React + Express), mobile apps, and microservices.</w:t>
        <w:br/>
        <w:t>• Session: Monolithic server-side rendered applications (Express with EJS, PHP, traditional Django) hosted under a single root domain.</w:t>
      </w:r>
    </w:p>
    <w:p>
      <w:r>
        <w:rPr>
          <w:b/>
        </w:rPr>
        <w:t>5.5 Justified Conclusion for CareSync Project</w:t>
      </w:r>
    </w:p>
    <w:p>
      <w:r>
        <w:t>JWT-based authentication is the ideal choice for CareSync because the React client and Express API run as decoupled services. By embedding user role claims (PATIENT, DOCTOR, ADMIN) directly into the token payload, our RBAC middleware enforces route permissions instantly in memory without issuing redundant MongoDB queries on every request. Short-lived tokens combined with client-side cleanup on logout provide an optimal balance of high performance, security, and developer velocity.</w:t>
      </w:r>
    </w:p>
    <w:p>
      <w:pPr>
        <w:pStyle w:val="Heading1"/>
      </w:pPr>
      <w:r>
        <w:rPr>
          <w:rFonts w:ascii="Arial" w:hAnsi="Arial"/>
          <w:color w:val="0F766E"/>
        </w:rPr>
        <w:t>6. Architectural Synthesis &amp; Conclusion</w:t>
      </w:r>
    </w:p>
    <w:p>
      <w:r>
        <w:t>The four selected technologies — RESTful API, MongoDB, React 19, and JWT Authentication — form a synergistic, high-performance MERN architecture specifically designed to solve healthcare scheduling challenges:</w:t>
        <w:br/>
        <w:br/>
        <w:t>1. Concurrency Safety: Atomic MongoDB operations prevent double booking.</w:t>
        <w:br/>
        <w:t>2. Performance &amp; Low Latency: Stateless JWTs and lightweight React components deliver sub-second user interactions.</w:t>
        <w:br/>
        <w:t>3. Security &amp; Access Control: Granular REST middleware enforces role-based access boundaries.</w:t>
        <w:br/>
        <w:t>4. Academic &amp; Industry Standard: The architecture fully adheres to the B.Tech Semester-5 AWD syllabus and PBL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