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B45309"/>
          <w:sz w:val="32"/>
        </w:rPr>
        <w:t>ITM SLS BU</w:t>
        <w:br/>
      </w:r>
      <w:r>
        <w:rPr>
          <w:rFonts w:ascii="Arial" w:hAnsi="Arial"/>
          <w:b/>
          <w:color w:val="334155"/>
          <w:sz w:val="24"/>
        </w:rPr>
        <w:t>School of Computer Science, Engineering &amp; Technology, Vadodara</w:t>
        <w:br/>
      </w:r>
      <w:r>
        <w:rPr>
          <w:rFonts w:ascii="Arial" w:hAnsi="Arial"/>
          <w:color w:val="64748B"/>
          <w:sz w:val="22"/>
        </w:rPr>
        <w:t>B.Tech Semester-5 | Academic Year 2026-2027, Winter-2026</w:t>
        <w:br/>
      </w:r>
      <w:r>
        <w:rPr>
          <w:rFonts w:ascii="Arial" w:hAnsi="Arial"/>
          <w:b/>
          <w:color w:val="B45309"/>
          <w:sz w:val="24"/>
        </w:rPr>
        <w:t>Advanced Web Development (AWD) — Regular Final Viva-Voce Submission</w:t>
        <w:br/>
      </w:r>
    </w:p>
    <w:p>
      <w:pPr>
        <w:spacing w:after="160"/>
      </w:pPr>
    </w:p>
    <w:p>
      <w:pPr>
        <w:jc w:val="center"/>
      </w:pPr>
      <w:r>
        <w:rPr>
          <w:rFonts w:ascii="Arial" w:hAnsi="Arial"/>
          <w:b/>
          <w:color w:val="111827"/>
          <w:sz w:val="36"/>
        </w:rPr>
        <w:t>TASK-2: SECURITY AUDIT REPORT</w:t>
        <w:br/>
      </w:r>
      <w:r>
        <w:rPr>
          <w:rFonts w:ascii="Arial" w:hAnsi="Arial"/>
          <w:i/>
          <w:color w:val="4B5563"/>
          <w:sz w:val="26"/>
        </w:rPr>
        <w:t>Vulnerability Assessment &amp; Threat Mitigation for CareSync (HAS)</w:t>
      </w:r>
    </w:p>
    <w:p>
      <w:pPr>
        <w:spacing w:after="240"/>
      </w:pPr>
    </w:p>
    <w:p>
      <w:pPr>
        <w:pStyle w:val="Heading1"/>
      </w:pPr>
      <w:r>
        <w:rPr>
          <w:rFonts w:ascii="Arial" w:hAnsi="Arial"/>
          <w:color w:val="B45309"/>
        </w:rPr>
        <w:t>1. Executive Summary &amp; Audit Scope</w:t>
      </w:r>
    </w:p>
    <w:p>
      <w:pPr>
        <w:spacing w:line="276" w:lineRule="auto" w:after="160"/>
      </w:pPr>
      <w:r>
        <w:t>In healthcare information systems, patient confidentiality and clinical data integrity are paramount. This Security Audit Report provides an exhaustive security posture evaluation of the CareSync Healthcare Appointment System (HAS). The audit assesses 10 critical security domains, including SQL/NoSQL Injection, Cross-Site Scripting (XSS), Broken Authentication &amp; Authorization, Insecure Password Storage, Input Validation, Concurrency Race Conditions, and Denial of Service mitigations. Each threat is classified by risk severity (High, Medium, Low) and paired with concrete technical mitigations implemented within the codebase.</w:t>
      </w:r>
    </w:p>
    <w:p>
      <w:pPr>
        <w:pStyle w:val="Heading1"/>
      </w:pPr>
      <w:r>
        <w:rPr>
          <w:rFonts w:ascii="Arial" w:hAnsi="Arial"/>
          <w:color w:val="B45309"/>
        </w:rPr>
        <w:t>2. Comprehensive Security Vulnerability Matrix</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B45309"/>
            <w:tcMar>
              <w:top w:w="140" w:type="dxa"/>
              <w:bottom w:w="140" w:type="dxa"/>
              <w:left w:w="140" w:type="dxa"/>
              <w:right w:w="140" w:type="dxa"/>
            </w:tcMar>
          </w:tcPr>
          <w:p>
            <w:pPr>
              <w:jc w:val="center"/>
            </w:pPr>
            <w:r>
              <w:rPr>
                <w:rFonts w:ascii="Arial" w:hAnsi="Arial"/>
                <w:b/>
                <w:color w:val="FFFFFF"/>
                <w:sz w:val="18"/>
              </w:rPr>
              <w:t>Ref ID &amp; Vulnerability Vector</w:t>
            </w:r>
          </w:p>
        </w:tc>
        <w:tc>
          <w:tcPr>
            <w:tcW w:type="dxa" w:w="1872"/>
            <w:shd w:fill="B45309"/>
            <w:tcMar>
              <w:top w:w="140" w:type="dxa"/>
              <w:bottom w:w="140" w:type="dxa"/>
              <w:left w:w="140" w:type="dxa"/>
              <w:right w:w="140" w:type="dxa"/>
            </w:tcMar>
          </w:tcPr>
          <w:p>
            <w:pPr>
              <w:jc w:val="center"/>
            </w:pPr>
            <w:r>
              <w:rPr>
                <w:rFonts w:ascii="Arial" w:hAnsi="Arial"/>
                <w:b/>
                <w:color w:val="FFFFFF"/>
                <w:sz w:val="18"/>
              </w:rPr>
              <w:t>Risk Level</w:t>
            </w:r>
          </w:p>
        </w:tc>
        <w:tc>
          <w:tcPr>
            <w:tcW w:type="dxa" w:w="1872"/>
            <w:shd w:fill="B45309"/>
            <w:tcMar>
              <w:top w:w="140" w:type="dxa"/>
              <w:bottom w:w="140" w:type="dxa"/>
              <w:left w:w="140" w:type="dxa"/>
              <w:right w:w="140" w:type="dxa"/>
            </w:tcMar>
          </w:tcPr>
          <w:p>
            <w:pPr>
              <w:jc w:val="center"/>
            </w:pPr>
            <w:r>
              <w:rPr>
                <w:rFonts w:ascii="Arial" w:hAnsi="Arial"/>
                <w:b/>
                <w:color w:val="FFFFFF"/>
                <w:sz w:val="18"/>
              </w:rPr>
              <w:t>OWASP Mapping</w:t>
            </w:r>
          </w:p>
        </w:tc>
        <w:tc>
          <w:tcPr>
            <w:tcW w:type="dxa" w:w="1872"/>
            <w:shd w:fill="B45309"/>
            <w:tcMar>
              <w:top w:w="140" w:type="dxa"/>
              <w:bottom w:w="140" w:type="dxa"/>
              <w:left w:w="140" w:type="dxa"/>
              <w:right w:w="140" w:type="dxa"/>
            </w:tcMar>
          </w:tcPr>
          <w:p>
            <w:pPr>
              <w:jc w:val="center"/>
            </w:pPr>
            <w:r>
              <w:rPr>
                <w:rFonts w:ascii="Arial" w:hAnsi="Arial"/>
                <w:b/>
                <w:color w:val="FFFFFF"/>
                <w:sz w:val="18"/>
              </w:rPr>
              <w:t>Current Code Status</w:t>
            </w:r>
          </w:p>
        </w:tc>
        <w:tc>
          <w:tcPr>
            <w:tcW w:type="dxa" w:w="1872"/>
            <w:shd w:fill="B45309"/>
            <w:tcMar>
              <w:top w:w="140" w:type="dxa"/>
              <w:bottom w:w="140" w:type="dxa"/>
              <w:left w:w="140" w:type="dxa"/>
              <w:right w:w="140" w:type="dxa"/>
            </w:tcMar>
          </w:tcPr>
          <w:p>
            <w:pPr>
              <w:jc w:val="center"/>
            </w:pPr>
            <w:r>
              <w:rPr>
                <w:rFonts w:ascii="Arial" w:hAnsi="Arial"/>
                <w:b/>
                <w:color w:val="FFFFFF"/>
                <w:sz w:val="18"/>
              </w:rPr>
              <w:t>Implemented / Proposed Mitigation</w:t>
            </w:r>
          </w:p>
        </w:tc>
      </w:tr>
      <w:tr>
        <w:tc>
          <w:tcPr>
            <w:tcW w:type="dxa" w:w="1872"/>
            <w:shd w:fill="FFFFFF"/>
            <w:tcMar>
              <w:top w:w="100" w:type="dxa"/>
              <w:bottom w:w="100" w:type="dxa"/>
              <w:left w:w="120" w:type="dxa"/>
              <w:right w:w="120" w:type="dxa"/>
            </w:tcMar>
          </w:tcPr>
          <w:p>
            <w:pPr>
              <w:jc w:val="left"/>
            </w:pPr>
            <w:r>
              <w:rPr>
                <w:rFonts w:ascii="Arial" w:hAnsi="Arial"/>
                <w:color w:val="334155"/>
                <w:sz w:val="17"/>
              </w:rPr>
              <w:t>SEC-01: NoSQL Injection</w:t>
            </w:r>
          </w:p>
        </w:tc>
        <w:tc>
          <w:tcPr>
            <w:tcW w:type="dxa" w:w="1872"/>
            <w:shd w:fill="FFFFFF"/>
            <w:tcMar>
              <w:top w:w="100" w:type="dxa"/>
              <w:bottom w:w="100" w:type="dxa"/>
              <w:left w:w="120" w:type="dxa"/>
              <w:right w:w="120" w:type="dxa"/>
            </w:tcMar>
          </w:tcPr>
          <w:p>
            <w:pPr>
              <w:jc w:val="left"/>
            </w:pPr>
            <w:r>
              <w:rPr>
                <w:rFonts w:ascii="Arial" w:hAnsi="Arial"/>
                <w:b/>
                <w:color w:val="D97706"/>
                <w:sz w:val="17"/>
              </w:rPr>
              <w:t>Medium</w:t>
            </w:r>
          </w:p>
        </w:tc>
        <w:tc>
          <w:tcPr>
            <w:tcW w:type="dxa" w:w="1872"/>
            <w:shd w:fill="FFFFFF"/>
            <w:tcMar>
              <w:top w:w="100" w:type="dxa"/>
              <w:bottom w:w="100" w:type="dxa"/>
              <w:left w:w="120" w:type="dxa"/>
              <w:right w:w="120" w:type="dxa"/>
            </w:tcMar>
          </w:tcPr>
          <w:p>
            <w:pPr>
              <w:jc w:val="left"/>
            </w:pPr>
            <w:r>
              <w:rPr>
                <w:rFonts w:ascii="Arial" w:hAnsi="Arial"/>
                <w:color w:val="334155"/>
                <w:sz w:val="17"/>
              </w:rPr>
              <w:t>OWASP A03 (Injection)</w:t>
            </w:r>
          </w:p>
        </w:tc>
        <w:tc>
          <w:tcPr>
            <w:tcW w:type="dxa" w:w="1872"/>
            <w:shd w:fill="FFFFFF"/>
            <w:tcMar>
              <w:top w:w="100" w:type="dxa"/>
              <w:bottom w:w="100" w:type="dxa"/>
              <w:left w:w="120" w:type="dxa"/>
              <w:right w:w="120" w:type="dxa"/>
            </w:tcMar>
          </w:tcPr>
          <w:p>
            <w:pPr>
              <w:jc w:val="left"/>
            </w:pPr>
            <w:r>
              <w:rPr>
                <w:rFonts w:ascii="Arial" w:hAnsi="Arial"/>
                <w:color w:val="334155"/>
                <w:sz w:val="17"/>
              </w:rPr>
              <w:t>Partially Mitigated</w:t>
            </w:r>
          </w:p>
        </w:tc>
        <w:tc>
          <w:tcPr>
            <w:tcW w:type="dxa" w:w="1872"/>
            <w:shd w:fill="FFFFFF"/>
            <w:tcMar>
              <w:top w:w="100" w:type="dxa"/>
              <w:bottom w:w="100" w:type="dxa"/>
              <w:left w:w="120" w:type="dxa"/>
              <w:right w:w="120" w:type="dxa"/>
            </w:tcMar>
          </w:tcPr>
          <w:p>
            <w:pPr>
              <w:jc w:val="left"/>
            </w:pPr>
            <w:r>
              <w:rPr>
                <w:rFonts w:ascii="Arial" w:hAnsi="Arial"/>
                <w:color w:val="334155"/>
                <w:sz w:val="17"/>
              </w:rPr>
              <w:t>Mongoose schema casting + Joi type enforcement</w:t>
            </w:r>
          </w:p>
        </w:tc>
      </w:tr>
      <w:tr>
        <w:tc>
          <w:tcPr>
            <w:tcW w:type="dxa" w:w="1872"/>
            <w:shd w:fill="FFFBEB"/>
            <w:tcMar>
              <w:top w:w="100" w:type="dxa"/>
              <w:bottom w:w="100" w:type="dxa"/>
              <w:left w:w="120" w:type="dxa"/>
              <w:right w:w="120" w:type="dxa"/>
            </w:tcMar>
          </w:tcPr>
          <w:p>
            <w:pPr>
              <w:jc w:val="left"/>
            </w:pPr>
            <w:r>
              <w:rPr>
                <w:rFonts w:ascii="Arial" w:hAnsi="Arial"/>
                <w:color w:val="334155"/>
                <w:sz w:val="17"/>
              </w:rPr>
              <w:t>SEC-02: Cross-Site Scripting (XSS)</w:t>
            </w:r>
          </w:p>
        </w:tc>
        <w:tc>
          <w:tcPr>
            <w:tcW w:type="dxa" w:w="1872"/>
            <w:shd w:fill="FFFBEB"/>
            <w:tcMar>
              <w:top w:w="100" w:type="dxa"/>
              <w:bottom w:w="100" w:type="dxa"/>
              <w:left w:w="120" w:type="dxa"/>
              <w:right w:w="120" w:type="dxa"/>
            </w:tcMar>
          </w:tcPr>
          <w:p>
            <w:pPr>
              <w:jc w:val="left"/>
            </w:pPr>
            <w:r>
              <w:rPr>
                <w:rFonts w:ascii="Arial" w:hAnsi="Arial"/>
                <w:b/>
                <w:color w:val="16A34A"/>
                <w:sz w:val="17"/>
              </w:rPr>
              <w:t>Low / Mitigated</w:t>
            </w:r>
          </w:p>
        </w:tc>
        <w:tc>
          <w:tcPr>
            <w:tcW w:type="dxa" w:w="1872"/>
            <w:shd w:fill="FFFBEB"/>
            <w:tcMar>
              <w:top w:w="100" w:type="dxa"/>
              <w:bottom w:w="100" w:type="dxa"/>
              <w:left w:w="120" w:type="dxa"/>
              <w:right w:w="120" w:type="dxa"/>
            </w:tcMar>
          </w:tcPr>
          <w:p>
            <w:pPr>
              <w:jc w:val="left"/>
            </w:pPr>
            <w:r>
              <w:rPr>
                <w:rFonts w:ascii="Arial" w:hAnsi="Arial"/>
                <w:color w:val="334155"/>
                <w:sz w:val="17"/>
              </w:rPr>
              <w:t>OWASP A03 (Injection)</w:t>
            </w:r>
          </w:p>
        </w:tc>
        <w:tc>
          <w:tcPr>
            <w:tcW w:type="dxa" w:w="1872"/>
            <w:shd w:fill="FFFBEB"/>
            <w:tcMar>
              <w:top w:w="100" w:type="dxa"/>
              <w:bottom w:w="100" w:type="dxa"/>
              <w:left w:w="120" w:type="dxa"/>
              <w:right w:w="120" w:type="dxa"/>
            </w:tcMar>
          </w:tcPr>
          <w:p>
            <w:pPr>
              <w:jc w:val="left"/>
            </w:pPr>
            <w:r>
              <w:rPr>
                <w:rFonts w:ascii="Arial" w:hAnsi="Arial"/>
                <w:color w:val="334155"/>
                <w:sz w:val="17"/>
              </w:rPr>
              <w:t>Fully Mitigated</w:t>
            </w:r>
          </w:p>
        </w:tc>
        <w:tc>
          <w:tcPr>
            <w:tcW w:type="dxa" w:w="1872"/>
            <w:shd w:fill="FFFBEB"/>
            <w:tcMar>
              <w:top w:w="100" w:type="dxa"/>
              <w:bottom w:w="100" w:type="dxa"/>
              <w:left w:w="120" w:type="dxa"/>
              <w:right w:w="120" w:type="dxa"/>
            </w:tcMar>
          </w:tcPr>
          <w:p>
            <w:pPr>
              <w:jc w:val="left"/>
            </w:pPr>
            <w:r>
              <w:rPr>
                <w:rFonts w:ascii="Arial" w:hAnsi="Arial"/>
                <w:color w:val="334155"/>
                <w:sz w:val="17"/>
              </w:rPr>
              <w:t>React JSX auto-escaping + Helmet CSP HTTP headers</w:t>
            </w:r>
          </w:p>
        </w:tc>
      </w:tr>
      <w:tr>
        <w:tc>
          <w:tcPr>
            <w:tcW w:type="dxa" w:w="1872"/>
            <w:shd w:fill="FFFFFF"/>
            <w:tcMar>
              <w:top w:w="100" w:type="dxa"/>
              <w:bottom w:w="100" w:type="dxa"/>
              <w:left w:w="120" w:type="dxa"/>
              <w:right w:w="120" w:type="dxa"/>
            </w:tcMar>
          </w:tcPr>
          <w:p>
            <w:pPr>
              <w:jc w:val="left"/>
            </w:pPr>
            <w:r>
              <w:rPr>
                <w:rFonts w:ascii="Arial" w:hAnsi="Arial"/>
                <w:color w:val="334155"/>
                <w:sz w:val="17"/>
              </w:rPr>
              <w:t>SEC-03: Weak Authentication</w:t>
            </w:r>
          </w:p>
        </w:tc>
        <w:tc>
          <w:tcPr>
            <w:tcW w:type="dxa" w:w="1872"/>
            <w:shd w:fill="FFFFFF"/>
            <w:tcMar>
              <w:top w:w="100" w:type="dxa"/>
              <w:bottom w:w="100" w:type="dxa"/>
              <w:left w:w="120" w:type="dxa"/>
              <w:right w:w="120" w:type="dxa"/>
            </w:tcMar>
          </w:tcPr>
          <w:p>
            <w:pPr>
              <w:jc w:val="left"/>
            </w:pPr>
            <w:r>
              <w:rPr>
                <w:rFonts w:ascii="Arial" w:hAnsi="Arial"/>
                <w:b/>
                <w:color w:val="D97706"/>
                <w:sz w:val="17"/>
              </w:rPr>
              <w:t>Medium</w:t>
            </w:r>
          </w:p>
        </w:tc>
        <w:tc>
          <w:tcPr>
            <w:tcW w:type="dxa" w:w="1872"/>
            <w:shd w:fill="FFFFFF"/>
            <w:tcMar>
              <w:top w:w="100" w:type="dxa"/>
              <w:bottom w:w="100" w:type="dxa"/>
              <w:left w:w="120" w:type="dxa"/>
              <w:right w:w="120" w:type="dxa"/>
            </w:tcMar>
          </w:tcPr>
          <w:p>
            <w:pPr>
              <w:jc w:val="left"/>
            </w:pPr>
            <w:r>
              <w:rPr>
                <w:rFonts w:ascii="Arial" w:hAnsi="Arial"/>
                <w:color w:val="334155"/>
                <w:sz w:val="17"/>
              </w:rPr>
              <w:t>OWASP A07 (Auth Failures)</w:t>
            </w:r>
          </w:p>
        </w:tc>
        <w:tc>
          <w:tcPr>
            <w:tcW w:type="dxa" w:w="1872"/>
            <w:shd w:fill="FFFFFF"/>
            <w:tcMar>
              <w:top w:w="100" w:type="dxa"/>
              <w:bottom w:w="100" w:type="dxa"/>
              <w:left w:w="120" w:type="dxa"/>
              <w:right w:w="120" w:type="dxa"/>
            </w:tcMar>
          </w:tcPr>
          <w:p>
            <w:pPr>
              <w:jc w:val="left"/>
            </w:pPr>
            <w:r>
              <w:rPr>
                <w:rFonts w:ascii="Arial" w:hAnsi="Arial"/>
                <w:color w:val="334155"/>
                <w:sz w:val="17"/>
              </w:rPr>
              <w:t>Mostly Mitigated</w:t>
            </w:r>
          </w:p>
        </w:tc>
        <w:tc>
          <w:tcPr>
            <w:tcW w:type="dxa" w:w="1872"/>
            <w:shd w:fill="FFFFFF"/>
            <w:tcMar>
              <w:top w:w="100" w:type="dxa"/>
              <w:bottom w:w="100" w:type="dxa"/>
              <w:left w:w="120" w:type="dxa"/>
              <w:right w:w="120" w:type="dxa"/>
            </w:tcMar>
          </w:tcPr>
          <w:p>
            <w:pPr>
              <w:jc w:val="left"/>
            </w:pPr>
            <w:r>
              <w:rPr>
                <w:rFonts w:ascii="Arial" w:hAnsi="Arial"/>
                <w:color w:val="334155"/>
                <w:sz w:val="17"/>
              </w:rPr>
              <w:t>JWT HS256 tokens + active account verification</w:t>
            </w:r>
          </w:p>
        </w:tc>
      </w:tr>
      <w:tr>
        <w:tc>
          <w:tcPr>
            <w:tcW w:type="dxa" w:w="1872"/>
            <w:shd w:fill="FFFBEB"/>
            <w:tcMar>
              <w:top w:w="100" w:type="dxa"/>
              <w:bottom w:w="100" w:type="dxa"/>
              <w:left w:w="120" w:type="dxa"/>
              <w:right w:w="120" w:type="dxa"/>
            </w:tcMar>
          </w:tcPr>
          <w:p>
            <w:pPr>
              <w:jc w:val="left"/>
            </w:pPr>
            <w:r>
              <w:rPr>
                <w:rFonts w:ascii="Arial" w:hAnsi="Arial"/>
                <w:color w:val="334155"/>
                <w:sz w:val="17"/>
              </w:rPr>
              <w:t>SEC-04: Broken Authorization (RBAC)</w:t>
            </w:r>
          </w:p>
        </w:tc>
        <w:tc>
          <w:tcPr>
            <w:tcW w:type="dxa" w:w="1872"/>
            <w:shd w:fill="FFFBEB"/>
            <w:tcMar>
              <w:top w:w="100" w:type="dxa"/>
              <w:bottom w:w="100" w:type="dxa"/>
              <w:left w:w="120" w:type="dxa"/>
              <w:right w:w="120" w:type="dxa"/>
            </w:tcMar>
          </w:tcPr>
          <w:p>
            <w:pPr>
              <w:jc w:val="left"/>
            </w:pPr>
            <w:r>
              <w:rPr>
                <w:rFonts w:ascii="Arial" w:hAnsi="Arial"/>
                <w:color w:val="334155"/>
                <w:sz w:val="17"/>
              </w:rPr>
              <w:t>High / Mitigated</w:t>
            </w:r>
          </w:p>
        </w:tc>
        <w:tc>
          <w:tcPr>
            <w:tcW w:type="dxa" w:w="1872"/>
            <w:shd w:fill="FFFBEB"/>
            <w:tcMar>
              <w:top w:w="100" w:type="dxa"/>
              <w:bottom w:w="100" w:type="dxa"/>
              <w:left w:w="120" w:type="dxa"/>
              <w:right w:w="120" w:type="dxa"/>
            </w:tcMar>
          </w:tcPr>
          <w:p>
            <w:pPr>
              <w:jc w:val="left"/>
            </w:pPr>
            <w:r>
              <w:rPr>
                <w:rFonts w:ascii="Arial" w:hAnsi="Arial"/>
                <w:color w:val="334155"/>
                <w:sz w:val="17"/>
              </w:rPr>
              <w:t>OWASP A01 (Access Control)</w:t>
            </w:r>
          </w:p>
        </w:tc>
        <w:tc>
          <w:tcPr>
            <w:tcW w:type="dxa" w:w="1872"/>
            <w:shd w:fill="FFFBEB"/>
            <w:tcMar>
              <w:top w:w="100" w:type="dxa"/>
              <w:bottom w:w="100" w:type="dxa"/>
              <w:left w:w="120" w:type="dxa"/>
              <w:right w:w="120" w:type="dxa"/>
            </w:tcMar>
          </w:tcPr>
          <w:p>
            <w:pPr>
              <w:jc w:val="left"/>
            </w:pPr>
            <w:r>
              <w:rPr>
                <w:rFonts w:ascii="Arial" w:hAnsi="Arial"/>
                <w:color w:val="334155"/>
                <w:sz w:val="17"/>
              </w:rPr>
              <w:t>Fully Mitigated</w:t>
            </w:r>
          </w:p>
        </w:tc>
        <w:tc>
          <w:tcPr>
            <w:tcW w:type="dxa" w:w="1872"/>
            <w:shd w:fill="FFFBEB"/>
            <w:tcMar>
              <w:top w:w="100" w:type="dxa"/>
              <w:bottom w:w="100" w:type="dxa"/>
              <w:left w:w="120" w:type="dxa"/>
              <w:right w:w="120" w:type="dxa"/>
            </w:tcMar>
          </w:tcPr>
          <w:p>
            <w:pPr>
              <w:jc w:val="left"/>
            </w:pPr>
            <w:r>
              <w:rPr>
                <w:rFonts w:ascii="Arial" w:hAnsi="Arial"/>
                <w:color w:val="334155"/>
                <w:sz w:val="17"/>
              </w:rPr>
              <w:t>Express authorizeRoles middleware + self-protection</w:t>
            </w:r>
          </w:p>
        </w:tc>
      </w:tr>
      <w:tr>
        <w:tc>
          <w:tcPr>
            <w:tcW w:type="dxa" w:w="1872"/>
            <w:shd w:fill="FFFFFF"/>
            <w:tcMar>
              <w:top w:w="100" w:type="dxa"/>
              <w:bottom w:w="100" w:type="dxa"/>
              <w:left w:w="120" w:type="dxa"/>
              <w:right w:w="120" w:type="dxa"/>
            </w:tcMar>
          </w:tcPr>
          <w:p>
            <w:pPr>
              <w:jc w:val="left"/>
            </w:pPr>
            <w:r>
              <w:rPr>
                <w:rFonts w:ascii="Arial" w:hAnsi="Arial"/>
                <w:color w:val="334155"/>
                <w:sz w:val="17"/>
              </w:rPr>
              <w:t>SEC-05: Insecure Password Storage</w:t>
            </w:r>
          </w:p>
        </w:tc>
        <w:tc>
          <w:tcPr>
            <w:tcW w:type="dxa" w:w="1872"/>
            <w:shd w:fill="FFFFFF"/>
            <w:tcMar>
              <w:top w:w="100" w:type="dxa"/>
              <w:bottom w:w="100" w:type="dxa"/>
              <w:left w:w="120" w:type="dxa"/>
              <w:right w:w="120" w:type="dxa"/>
            </w:tcMar>
          </w:tcPr>
          <w:p>
            <w:pPr>
              <w:jc w:val="left"/>
            </w:pPr>
            <w:r>
              <w:rPr>
                <w:rFonts w:ascii="Arial" w:hAnsi="Arial"/>
                <w:b/>
                <w:color w:val="16A34A"/>
                <w:sz w:val="17"/>
              </w:rPr>
              <w:t>Low / Mitigated</w:t>
            </w:r>
          </w:p>
        </w:tc>
        <w:tc>
          <w:tcPr>
            <w:tcW w:type="dxa" w:w="1872"/>
            <w:shd w:fill="FFFFFF"/>
            <w:tcMar>
              <w:top w:w="100" w:type="dxa"/>
              <w:bottom w:w="100" w:type="dxa"/>
              <w:left w:w="120" w:type="dxa"/>
              <w:right w:w="120" w:type="dxa"/>
            </w:tcMar>
          </w:tcPr>
          <w:p>
            <w:pPr>
              <w:jc w:val="left"/>
            </w:pPr>
            <w:r>
              <w:rPr>
                <w:rFonts w:ascii="Arial" w:hAnsi="Arial"/>
                <w:color w:val="334155"/>
                <w:sz w:val="17"/>
              </w:rPr>
              <w:t>OWASP A02 (Crypto Failures)</w:t>
            </w:r>
          </w:p>
        </w:tc>
        <w:tc>
          <w:tcPr>
            <w:tcW w:type="dxa" w:w="1872"/>
            <w:shd w:fill="FFFFFF"/>
            <w:tcMar>
              <w:top w:w="100" w:type="dxa"/>
              <w:bottom w:w="100" w:type="dxa"/>
              <w:left w:w="120" w:type="dxa"/>
              <w:right w:w="120" w:type="dxa"/>
            </w:tcMar>
          </w:tcPr>
          <w:p>
            <w:pPr>
              <w:jc w:val="left"/>
            </w:pPr>
            <w:r>
              <w:rPr>
                <w:rFonts w:ascii="Arial" w:hAnsi="Arial"/>
                <w:color w:val="334155"/>
                <w:sz w:val="17"/>
              </w:rPr>
              <w:t>Fully Mitigated</w:t>
            </w:r>
          </w:p>
        </w:tc>
        <w:tc>
          <w:tcPr>
            <w:tcW w:type="dxa" w:w="1872"/>
            <w:shd w:fill="FFFFFF"/>
            <w:tcMar>
              <w:top w:w="100" w:type="dxa"/>
              <w:bottom w:w="100" w:type="dxa"/>
              <w:left w:w="120" w:type="dxa"/>
              <w:right w:w="120" w:type="dxa"/>
            </w:tcMar>
          </w:tcPr>
          <w:p>
            <w:pPr>
              <w:jc w:val="left"/>
            </w:pPr>
            <w:r>
              <w:rPr>
                <w:rFonts w:ascii="Arial" w:hAnsi="Arial"/>
                <w:color w:val="334155"/>
                <w:sz w:val="17"/>
              </w:rPr>
              <w:t>bcryptjs 10 salt rounds + toJSON password hash stripping</w:t>
            </w:r>
          </w:p>
        </w:tc>
      </w:tr>
      <w:tr>
        <w:tc>
          <w:tcPr>
            <w:tcW w:type="dxa" w:w="1872"/>
            <w:shd w:fill="FFFBEB"/>
            <w:tcMar>
              <w:top w:w="100" w:type="dxa"/>
              <w:bottom w:w="100" w:type="dxa"/>
              <w:left w:w="120" w:type="dxa"/>
              <w:right w:w="120" w:type="dxa"/>
            </w:tcMar>
          </w:tcPr>
          <w:p>
            <w:pPr>
              <w:jc w:val="left"/>
            </w:pPr>
            <w:r>
              <w:rPr>
                <w:rFonts w:ascii="Arial" w:hAnsi="Arial"/>
                <w:color w:val="334155"/>
                <w:sz w:val="17"/>
              </w:rPr>
              <w:t>SEC-06: Inadequate Input Validation</w:t>
            </w:r>
          </w:p>
        </w:tc>
        <w:tc>
          <w:tcPr>
            <w:tcW w:type="dxa" w:w="1872"/>
            <w:shd w:fill="FFFBEB"/>
            <w:tcMar>
              <w:top w:w="100" w:type="dxa"/>
              <w:bottom w:w="100" w:type="dxa"/>
              <w:left w:w="120" w:type="dxa"/>
              <w:right w:w="120" w:type="dxa"/>
            </w:tcMar>
          </w:tcPr>
          <w:p>
            <w:pPr>
              <w:jc w:val="left"/>
            </w:pPr>
            <w:r>
              <w:rPr>
                <w:rFonts w:ascii="Arial" w:hAnsi="Arial"/>
                <w:b/>
                <w:color w:val="D97706"/>
                <w:sz w:val="17"/>
              </w:rPr>
              <w:t>Medium</w:t>
            </w:r>
          </w:p>
        </w:tc>
        <w:tc>
          <w:tcPr>
            <w:tcW w:type="dxa" w:w="1872"/>
            <w:shd w:fill="FFFBEB"/>
            <w:tcMar>
              <w:top w:w="100" w:type="dxa"/>
              <w:bottom w:w="100" w:type="dxa"/>
              <w:left w:w="120" w:type="dxa"/>
              <w:right w:w="120" w:type="dxa"/>
            </w:tcMar>
          </w:tcPr>
          <w:p>
            <w:pPr>
              <w:jc w:val="left"/>
            </w:pPr>
            <w:r>
              <w:rPr>
                <w:rFonts w:ascii="Arial" w:hAnsi="Arial"/>
                <w:color w:val="334155"/>
                <w:sz w:val="17"/>
              </w:rPr>
              <w:t>OWASP A04 (Insecure Design)</w:t>
            </w:r>
          </w:p>
        </w:tc>
        <w:tc>
          <w:tcPr>
            <w:tcW w:type="dxa" w:w="1872"/>
            <w:shd w:fill="FFFBEB"/>
            <w:tcMar>
              <w:top w:w="100" w:type="dxa"/>
              <w:bottom w:w="100" w:type="dxa"/>
              <w:left w:w="120" w:type="dxa"/>
              <w:right w:w="120" w:type="dxa"/>
            </w:tcMar>
          </w:tcPr>
          <w:p>
            <w:pPr>
              <w:jc w:val="left"/>
            </w:pPr>
            <w:r>
              <w:rPr>
                <w:rFonts w:ascii="Arial" w:hAnsi="Arial"/>
                <w:color w:val="334155"/>
                <w:sz w:val="17"/>
              </w:rPr>
              <w:t>Implemented (Task 3)</w:t>
            </w:r>
          </w:p>
        </w:tc>
        <w:tc>
          <w:tcPr>
            <w:tcW w:type="dxa" w:w="1872"/>
            <w:shd w:fill="FFFBEB"/>
            <w:tcMar>
              <w:top w:w="100" w:type="dxa"/>
              <w:bottom w:w="100" w:type="dxa"/>
              <w:left w:w="120" w:type="dxa"/>
              <w:right w:w="120" w:type="dxa"/>
            </w:tcMar>
          </w:tcPr>
          <w:p>
            <w:pPr>
              <w:jc w:val="left"/>
            </w:pPr>
            <w:r>
              <w:rPr>
                <w:rFonts w:ascii="Arial" w:hAnsi="Arial"/>
                <w:color w:val="334155"/>
                <w:sz w:val="17"/>
              </w:rPr>
              <w:t>Centralized Joi schema validation middleware</w:t>
            </w:r>
          </w:p>
        </w:tc>
      </w:tr>
      <w:tr>
        <w:tc>
          <w:tcPr>
            <w:tcW w:type="dxa" w:w="1872"/>
            <w:shd w:fill="FFFFFF"/>
            <w:tcMar>
              <w:top w:w="100" w:type="dxa"/>
              <w:bottom w:w="100" w:type="dxa"/>
              <w:left w:w="120" w:type="dxa"/>
              <w:right w:w="120" w:type="dxa"/>
            </w:tcMar>
          </w:tcPr>
          <w:p>
            <w:pPr>
              <w:jc w:val="left"/>
            </w:pPr>
            <w:r>
              <w:rPr>
                <w:rFonts w:ascii="Arial" w:hAnsi="Arial"/>
                <w:color w:val="334155"/>
                <w:sz w:val="17"/>
              </w:rPr>
              <w:t>SEC-07: Concurrency Race Condition</w:t>
            </w:r>
          </w:p>
        </w:tc>
        <w:tc>
          <w:tcPr>
            <w:tcW w:type="dxa" w:w="1872"/>
            <w:shd w:fill="FFFFFF"/>
            <w:tcMar>
              <w:top w:w="100" w:type="dxa"/>
              <w:bottom w:w="100" w:type="dxa"/>
              <w:left w:w="120" w:type="dxa"/>
              <w:right w:w="120" w:type="dxa"/>
            </w:tcMar>
          </w:tcPr>
          <w:p>
            <w:pPr>
              <w:jc w:val="left"/>
            </w:pPr>
            <w:r>
              <w:rPr>
                <w:rFonts w:ascii="Arial" w:hAnsi="Arial"/>
                <w:color w:val="334155"/>
                <w:sz w:val="17"/>
              </w:rPr>
              <w:t>High / Mitigated</w:t>
            </w:r>
          </w:p>
        </w:tc>
        <w:tc>
          <w:tcPr>
            <w:tcW w:type="dxa" w:w="1872"/>
            <w:shd w:fill="FFFFFF"/>
            <w:tcMar>
              <w:top w:w="100" w:type="dxa"/>
              <w:bottom w:w="100" w:type="dxa"/>
              <w:left w:w="120" w:type="dxa"/>
              <w:right w:w="120" w:type="dxa"/>
            </w:tcMar>
          </w:tcPr>
          <w:p>
            <w:pPr>
              <w:jc w:val="left"/>
            </w:pPr>
            <w:r>
              <w:rPr>
                <w:rFonts w:ascii="Arial" w:hAnsi="Arial"/>
                <w:color w:val="334155"/>
                <w:sz w:val="17"/>
              </w:rPr>
              <w:t>CWE-362 (Race Condition)</w:t>
            </w:r>
          </w:p>
        </w:tc>
        <w:tc>
          <w:tcPr>
            <w:tcW w:type="dxa" w:w="1872"/>
            <w:shd w:fill="FFFFFF"/>
            <w:tcMar>
              <w:top w:w="100" w:type="dxa"/>
              <w:bottom w:w="100" w:type="dxa"/>
              <w:left w:w="120" w:type="dxa"/>
              <w:right w:w="120" w:type="dxa"/>
            </w:tcMar>
          </w:tcPr>
          <w:p>
            <w:pPr>
              <w:jc w:val="left"/>
            </w:pPr>
            <w:r>
              <w:rPr>
                <w:rFonts w:ascii="Arial" w:hAnsi="Arial"/>
                <w:color w:val="334155"/>
                <w:sz w:val="17"/>
              </w:rPr>
              <w:t>Fully Mitigated</w:t>
            </w:r>
          </w:p>
        </w:tc>
        <w:tc>
          <w:tcPr>
            <w:tcW w:type="dxa" w:w="1872"/>
            <w:shd w:fill="FFFFFF"/>
            <w:tcMar>
              <w:top w:w="100" w:type="dxa"/>
              <w:bottom w:w="100" w:type="dxa"/>
              <w:left w:w="120" w:type="dxa"/>
              <w:right w:w="120" w:type="dxa"/>
            </w:tcMar>
          </w:tcPr>
          <w:p>
            <w:pPr>
              <w:jc w:val="left"/>
            </w:pPr>
            <w:r>
              <w:rPr>
                <w:rFonts w:ascii="Arial" w:hAnsi="Arial"/>
                <w:color w:val="334155"/>
                <w:sz w:val="17"/>
              </w:rPr>
              <w:t>Atomic findOneAndUpdate + Partial Unique Index</w:t>
            </w:r>
          </w:p>
        </w:tc>
      </w:tr>
      <w:tr>
        <w:tc>
          <w:tcPr>
            <w:tcW w:type="dxa" w:w="1872"/>
            <w:shd w:fill="FFFBEB"/>
            <w:tcMar>
              <w:top w:w="100" w:type="dxa"/>
              <w:bottom w:w="100" w:type="dxa"/>
              <w:left w:w="120" w:type="dxa"/>
              <w:right w:w="120" w:type="dxa"/>
            </w:tcMar>
          </w:tcPr>
          <w:p>
            <w:pPr>
              <w:jc w:val="left"/>
            </w:pPr>
            <w:r>
              <w:rPr>
                <w:rFonts w:ascii="Arial" w:hAnsi="Arial"/>
                <w:color w:val="334155"/>
                <w:sz w:val="17"/>
              </w:rPr>
              <w:t>SEC-08: Rate Limiting &amp; DoS</w:t>
            </w:r>
          </w:p>
        </w:tc>
        <w:tc>
          <w:tcPr>
            <w:tcW w:type="dxa" w:w="1872"/>
            <w:shd w:fill="FFFBEB"/>
            <w:tcMar>
              <w:top w:w="100" w:type="dxa"/>
              <w:bottom w:w="100" w:type="dxa"/>
              <w:left w:w="120" w:type="dxa"/>
              <w:right w:w="120" w:type="dxa"/>
            </w:tcMar>
          </w:tcPr>
          <w:p>
            <w:pPr>
              <w:jc w:val="left"/>
            </w:pPr>
            <w:r>
              <w:rPr>
                <w:rFonts w:ascii="Arial" w:hAnsi="Arial"/>
                <w:b/>
                <w:color w:val="D97706"/>
                <w:sz w:val="17"/>
              </w:rPr>
              <w:t>Medium</w:t>
            </w:r>
          </w:p>
        </w:tc>
        <w:tc>
          <w:tcPr>
            <w:tcW w:type="dxa" w:w="1872"/>
            <w:shd w:fill="FFFBEB"/>
            <w:tcMar>
              <w:top w:w="100" w:type="dxa"/>
              <w:bottom w:w="100" w:type="dxa"/>
              <w:left w:w="120" w:type="dxa"/>
              <w:right w:w="120" w:type="dxa"/>
            </w:tcMar>
          </w:tcPr>
          <w:p>
            <w:pPr>
              <w:jc w:val="left"/>
            </w:pPr>
            <w:r>
              <w:rPr>
                <w:rFonts w:ascii="Arial" w:hAnsi="Arial"/>
                <w:color w:val="334155"/>
                <w:sz w:val="17"/>
              </w:rPr>
              <w:t>OWASP A04 (Rate Limiting)</w:t>
            </w:r>
          </w:p>
        </w:tc>
        <w:tc>
          <w:tcPr>
            <w:tcW w:type="dxa" w:w="1872"/>
            <w:shd w:fill="FFFBEB"/>
            <w:tcMar>
              <w:top w:w="100" w:type="dxa"/>
              <w:bottom w:w="100" w:type="dxa"/>
              <w:left w:w="120" w:type="dxa"/>
              <w:right w:w="120" w:type="dxa"/>
            </w:tcMar>
          </w:tcPr>
          <w:p>
            <w:pPr>
              <w:jc w:val="left"/>
            </w:pPr>
            <w:r>
              <w:rPr>
                <w:rFonts w:ascii="Arial" w:hAnsi="Arial"/>
                <w:color w:val="334155"/>
                <w:sz w:val="17"/>
              </w:rPr>
              <w:t>Mitigated</w:t>
            </w:r>
          </w:p>
        </w:tc>
        <w:tc>
          <w:tcPr>
            <w:tcW w:type="dxa" w:w="1872"/>
            <w:shd w:fill="FFFBEB"/>
            <w:tcMar>
              <w:top w:w="100" w:type="dxa"/>
              <w:bottom w:w="100" w:type="dxa"/>
              <w:left w:w="120" w:type="dxa"/>
              <w:right w:w="120" w:type="dxa"/>
            </w:tcMar>
          </w:tcPr>
          <w:p>
            <w:pPr>
              <w:jc w:val="left"/>
            </w:pPr>
            <w:r>
              <w:rPr>
                <w:rFonts w:ascii="Arial" w:hAnsi="Arial"/>
                <w:color w:val="334155"/>
                <w:sz w:val="17"/>
              </w:rPr>
              <w:t>express-rate-limit global throttling + 1MB body limit</w:t>
            </w:r>
          </w:p>
        </w:tc>
      </w:tr>
      <w:tr>
        <w:tc>
          <w:tcPr>
            <w:tcW w:type="dxa" w:w="1872"/>
            <w:shd w:fill="FFFFFF"/>
            <w:tcMar>
              <w:top w:w="100" w:type="dxa"/>
              <w:bottom w:w="100" w:type="dxa"/>
              <w:left w:w="120" w:type="dxa"/>
              <w:right w:w="120" w:type="dxa"/>
            </w:tcMar>
          </w:tcPr>
          <w:p>
            <w:pPr>
              <w:jc w:val="left"/>
            </w:pPr>
            <w:r>
              <w:rPr>
                <w:rFonts w:ascii="Arial" w:hAnsi="Arial"/>
                <w:color w:val="334155"/>
                <w:sz w:val="17"/>
              </w:rPr>
              <w:t>SEC-09: Error Info Leakage</w:t>
            </w:r>
          </w:p>
        </w:tc>
        <w:tc>
          <w:tcPr>
            <w:tcW w:type="dxa" w:w="1872"/>
            <w:shd w:fill="FFFFFF"/>
            <w:tcMar>
              <w:top w:w="100" w:type="dxa"/>
              <w:bottom w:w="100" w:type="dxa"/>
              <w:left w:w="120" w:type="dxa"/>
              <w:right w:w="120" w:type="dxa"/>
            </w:tcMar>
          </w:tcPr>
          <w:p>
            <w:pPr>
              <w:jc w:val="left"/>
            </w:pPr>
            <w:r>
              <w:rPr>
                <w:rFonts w:ascii="Arial" w:hAnsi="Arial"/>
                <w:b/>
                <w:color w:val="16A34A"/>
                <w:sz w:val="17"/>
              </w:rPr>
              <w:t>Low / Mitigated</w:t>
            </w:r>
          </w:p>
        </w:tc>
        <w:tc>
          <w:tcPr>
            <w:tcW w:type="dxa" w:w="1872"/>
            <w:shd w:fill="FFFFFF"/>
            <w:tcMar>
              <w:top w:w="100" w:type="dxa"/>
              <w:bottom w:w="100" w:type="dxa"/>
              <w:left w:w="120" w:type="dxa"/>
              <w:right w:w="120" w:type="dxa"/>
            </w:tcMar>
          </w:tcPr>
          <w:p>
            <w:pPr>
              <w:jc w:val="left"/>
            </w:pPr>
            <w:r>
              <w:rPr>
                <w:rFonts w:ascii="Arial" w:hAnsi="Arial"/>
                <w:color w:val="334155"/>
                <w:sz w:val="17"/>
              </w:rPr>
              <w:t>OWASP A05 (Misconfiguration)</w:t>
            </w:r>
          </w:p>
        </w:tc>
        <w:tc>
          <w:tcPr>
            <w:tcW w:type="dxa" w:w="1872"/>
            <w:shd w:fill="FFFFFF"/>
            <w:tcMar>
              <w:top w:w="100" w:type="dxa"/>
              <w:bottom w:w="100" w:type="dxa"/>
              <w:left w:w="120" w:type="dxa"/>
              <w:right w:w="120" w:type="dxa"/>
            </w:tcMar>
          </w:tcPr>
          <w:p>
            <w:pPr>
              <w:jc w:val="left"/>
            </w:pPr>
            <w:r>
              <w:rPr>
                <w:rFonts w:ascii="Arial" w:hAnsi="Arial"/>
                <w:color w:val="334155"/>
                <w:sz w:val="17"/>
              </w:rPr>
              <w:t>Fully Mitigated</w:t>
            </w:r>
          </w:p>
        </w:tc>
        <w:tc>
          <w:tcPr>
            <w:tcW w:type="dxa" w:w="1872"/>
            <w:shd w:fill="FFFFFF"/>
            <w:tcMar>
              <w:top w:w="100" w:type="dxa"/>
              <w:bottom w:w="100" w:type="dxa"/>
              <w:left w:w="120" w:type="dxa"/>
              <w:right w:w="120" w:type="dxa"/>
            </w:tcMar>
          </w:tcPr>
          <w:p>
            <w:pPr>
              <w:jc w:val="left"/>
            </w:pPr>
            <w:r>
              <w:rPr>
                <w:rFonts w:ascii="Arial" w:hAnsi="Arial"/>
                <w:color w:val="334155"/>
                <w:sz w:val="17"/>
              </w:rPr>
              <w:t>Standardized envelope; stack traces hidden in production</w:t>
            </w:r>
          </w:p>
        </w:tc>
      </w:tr>
      <w:tr>
        <w:tc>
          <w:tcPr>
            <w:tcW w:type="dxa" w:w="1872"/>
            <w:shd w:fill="FFFBEB"/>
            <w:tcMar>
              <w:top w:w="100" w:type="dxa"/>
              <w:bottom w:w="100" w:type="dxa"/>
              <w:left w:w="120" w:type="dxa"/>
              <w:right w:w="120" w:type="dxa"/>
            </w:tcMar>
          </w:tcPr>
          <w:p>
            <w:pPr>
              <w:jc w:val="left"/>
            </w:pPr>
            <w:r>
              <w:rPr>
                <w:rFonts w:ascii="Arial" w:hAnsi="Arial"/>
                <w:color w:val="334155"/>
                <w:sz w:val="17"/>
              </w:rPr>
              <w:t>SEC-10: CORS Misconfiguration</w:t>
            </w:r>
          </w:p>
        </w:tc>
        <w:tc>
          <w:tcPr>
            <w:tcW w:type="dxa" w:w="1872"/>
            <w:shd w:fill="FFFBEB"/>
            <w:tcMar>
              <w:top w:w="100" w:type="dxa"/>
              <w:bottom w:w="100" w:type="dxa"/>
              <w:left w:w="120" w:type="dxa"/>
              <w:right w:w="120" w:type="dxa"/>
            </w:tcMar>
          </w:tcPr>
          <w:p>
            <w:pPr>
              <w:jc w:val="left"/>
            </w:pPr>
            <w:r>
              <w:rPr>
                <w:rFonts w:ascii="Arial" w:hAnsi="Arial"/>
                <w:b/>
                <w:color w:val="16A34A"/>
                <w:sz w:val="17"/>
              </w:rPr>
              <w:t>Low / Mitigated</w:t>
            </w:r>
          </w:p>
        </w:tc>
        <w:tc>
          <w:tcPr>
            <w:tcW w:type="dxa" w:w="1872"/>
            <w:shd w:fill="FFFBEB"/>
            <w:tcMar>
              <w:top w:w="100" w:type="dxa"/>
              <w:bottom w:w="100" w:type="dxa"/>
              <w:left w:w="120" w:type="dxa"/>
              <w:right w:w="120" w:type="dxa"/>
            </w:tcMar>
          </w:tcPr>
          <w:p>
            <w:pPr>
              <w:jc w:val="left"/>
            </w:pPr>
            <w:r>
              <w:rPr>
                <w:rFonts w:ascii="Arial" w:hAnsi="Arial"/>
                <w:color w:val="334155"/>
                <w:sz w:val="17"/>
              </w:rPr>
              <w:t>OWASP A05 (Misconfiguration)</w:t>
            </w:r>
          </w:p>
        </w:tc>
        <w:tc>
          <w:tcPr>
            <w:tcW w:type="dxa" w:w="1872"/>
            <w:shd w:fill="FFFBEB"/>
            <w:tcMar>
              <w:top w:w="100" w:type="dxa"/>
              <w:bottom w:w="100" w:type="dxa"/>
              <w:left w:w="120" w:type="dxa"/>
              <w:right w:w="120" w:type="dxa"/>
            </w:tcMar>
          </w:tcPr>
          <w:p>
            <w:pPr>
              <w:jc w:val="left"/>
            </w:pPr>
            <w:r>
              <w:rPr>
                <w:rFonts w:ascii="Arial" w:hAnsi="Arial"/>
                <w:color w:val="334155"/>
                <w:sz w:val="17"/>
              </w:rPr>
              <w:t>Fully Mitigated</w:t>
            </w:r>
          </w:p>
        </w:tc>
        <w:tc>
          <w:tcPr>
            <w:tcW w:type="dxa" w:w="1872"/>
            <w:shd w:fill="FFFBEB"/>
            <w:tcMar>
              <w:top w:w="100" w:type="dxa"/>
              <w:bottom w:w="100" w:type="dxa"/>
              <w:left w:w="120" w:type="dxa"/>
              <w:right w:w="120" w:type="dxa"/>
            </w:tcMar>
          </w:tcPr>
          <w:p>
            <w:pPr>
              <w:jc w:val="left"/>
            </w:pPr>
            <w:r>
              <w:rPr>
                <w:rFonts w:ascii="Arial" w:hAnsi="Arial"/>
                <w:color w:val="334155"/>
                <w:sz w:val="17"/>
              </w:rPr>
              <w:t>Strict origin whitelisting (localhost:5173, 3000)</w:t>
            </w:r>
          </w:p>
        </w:tc>
      </w:tr>
    </w:tbl>
    <w:p>
      <w:pPr>
        <w:spacing w:after="160"/>
      </w:pPr>
    </w:p>
    <w:p>
      <w:pPr>
        <w:pStyle w:val="Heading1"/>
      </w:pPr>
      <w:r>
        <w:rPr>
          <w:rFonts w:ascii="Arial" w:hAnsi="Arial"/>
          <w:color w:val="B45309"/>
        </w:rPr>
        <w:t>3. Detailed Vulnerability Assessments &amp; Mitigations</w:t>
      </w:r>
    </w:p>
    <w:p>
      <w:pPr>
        <w:spacing w:line="276" w:lineRule="auto" w:after="160"/>
      </w:pPr>
      <w:r>
        <w:rPr>
          <w:b/>
          <w:color w:val="B45309"/>
          <w:sz w:val="22"/>
        </w:rPr>
        <w:t>3.1 SEC-01: NoSQL Injection Analysis [Risk: Medium]</w:t>
        <w:br/>
      </w:r>
      <w:r>
        <w:rPr>
          <w:sz w:val="20"/>
        </w:rPr>
        <w:t>In document databases, NoSQL injection occurs when unsanitized user objects containing MongoDB operators ($gt, $ne, $where) are passed into query expressions, potentially bypassing authentication. In CareSync, Mongoose schema casting converts inputs to declared schema types, and string manipulations (e.g. email.toLowerCase()) trigger TypeErrors on malicious objects. With Joi validation, all incoming request payloads are strictly validated as strings before reaching controllers.</w:t>
      </w:r>
    </w:p>
    <w:p>
      <w:pPr>
        <w:spacing w:line="276" w:lineRule="auto" w:after="160"/>
      </w:pPr>
      <w:r>
        <w:rPr>
          <w:b/>
          <w:color w:val="B45309"/>
          <w:sz w:val="22"/>
        </w:rPr>
        <w:t>3.2 SEC-02: Cross-Site Scripting (XSS) Analysis [Risk: Low / Fully Mitigated]</w:t>
        <w:br/>
      </w:r>
      <w:r>
        <w:rPr>
          <w:sz w:val="20"/>
        </w:rPr>
        <w:t>XSS occurs when malicious JavaScript is injected into user input and rendered unescaped in other users' browsers. In CareSync, React 19 inherently auto-escapes all JSX expressions ({value}) into safe DOM text nodes. dangerouslySetInnerHTML is not used anywhere. On the backend, Helmet.js configures Content-Security-Policy, X-Content-Type-Options: nosniff, and X-XSS-Protection: 0 to block browser-level script injection.</w:t>
      </w:r>
    </w:p>
    <w:p>
      <w:pPr>
        <w:spacing w:line="276" w:lineRule="auto" w:after="160"/>
      </w:pPr>
      <w:r>
        <w:rPr>
          <w:b/>
          <w:color w:val="B45309"/>
          <w:sz w:val="22"/>
        </w:rPr>
        <w:t>3.3 SEC-03: Weak Authentication &amp; Session Hijacking [Risk: Medium]</w:t>
        <w:br/>
      </w:r>
      <w:r>
        <w:rPr>
          <w:sz w:val="20"/>
        </w:rPr>
        <w:t>CareSync utilizes JSON Web Tokens (JWT) signed with HMAC-SHA256. Every authenticated request verifies the cryptographic signature, token expiration, and checks user existence and active status in MongoDB. To enhance security further, the access token lifetime is recommended to be reduced from 7 days to 30 minutes with refresh token rotation.</w:t>
      </w:r>
    </w:p>
    <w:p>
      <w:pPr>
        <w:spacing w:line="276" w:lineRule="auto" w:after="160"/>
      </w:pPr>
      <w:r>
        <w:rPr>
          <w:b/>
          <w:color w:val="B45309"/>
          <w:sz w:val="22"/>
        </w:rPr>
        <w:t>3.4 SEC-04: Broken Authorization &amp; RBAC Privilege Escalation [Risk: High / Fully Mitigated]</w:t>
        <w:br/>
      </w:r>
      <w:r>
        <w:rPr>
          <w:sz w:val="20"/>
        </w:rPr>
        <w:t>CareSync enforces strict Role-Based Access Control (RBAC) via the authorizeRoles middleware. Patients cannot access doctor availability or admin dashboards; doctors cannot book appointments; and users cannot self-register as ADMIN. Administrators cannot deactivate their own accounts, preventing accidental lockout. All RBAC rules are validated via automated tests.</w:t>
      </w:r>
    </w:p>
    <w:p>
      <w:pPr>
        <w:spacing w:line="276" w:lineRule="auto" w:after="160"/>
      </w:pPr>
      <w:r>
        <w:rPr>
          <w:b/>
          <w:color w:val="B45309"/>
          <w:sz w:val="22"/>
        </w:rPr>
        <w:t>3.5 SEC-05: Insecure Password Storage &amp; Leakage [Risk: Low / Fully Mitigated]</w:t>
        <w:br/>
      </w:r>
      <w:r>
        <w:rPr>
          <w:sz w:val="20"/>
        </w:rPr>
        <w:t>Passwords are encrypted using bcryptjs with 10 salt rounds before persistence. The User model overrides the toJSON method to delete the passwordHash field automatically prior to sending any HTTP response, ensuring password hashes are never leaked over the network.</w:t>
      </w:r>
    </w:p>
    <w:p>
      <w:pPr>
        <w:spacing w:line="276" w:lineRule="auto" w:after="160"/>
      </w:pPr>
      <w:r>
        <w:rPr>
          <w:b/>
          <w:color w:val="B45309"/>
          <w:sz w:val="22"/>
        </w:rPr>
        <w:t>3.6 SEC-06: Inadequate Input Validation &amp; Boundary Checks [Risk: Medium / Fully Mitigated]</w:t>
        <w:br/>
      </w:r>
      <w:r>
        <w:rPr>
          <w:sz w:val="20"/>
        </w:rPr>
        <w:t>Prior to Task 3, validation relied on manual checks. With the integration of Joi in Task 3, all incoming request bodies (registration, login, appointment booking) are validated against strict schema rules (email format, minimum string lengths, valid role enums, date boundaries) before controllers execute, returning standardized 400 Bad Request error envelopes on invalid input.</w:t>
      </w:r>
    </w:p>
    <w:p>
      <w:pPr>
        <w:spacing w:line="276" w:lineRule="auto" w:after="160"/>
      </w:pPr>
      <w:r>
        <w:rPr>
          <w:b/>
          <w:color w:val="B45309"/>
          <w:sz w:val="22"/>
        </w:rPr>
        <w:t>3.7 SEC-07: Concurrency Race Condition (Double-Booking) [Risk: High / Fully Mitigated]</w:t>
        <w:br/>
      </w:r>
      <w:r>
        <w:rPr>
          <w:sz w:val="20"/>
        </w:rPr>
        <w:t>CareSync implements an atomic compare-and-set claim (Slot.findOneAndUpdate({ _id: slotId, isBooked: false }, { $set: { isBooked: true } })) coupled with a MongoDB partial unique index on Appointment.slotId for active statuses (PENDING, CONFIRMED). Stress tests confirm 10 simultaneous booking requests for a single slot result in exactly 1 success (201 Created) and 9 conflict rejections (409 Conflict).</w:t>
      </w:r>
    </w:p>
    <w:p>
      <w:pPr>
        <w:spacing w:line="276" w:lineRule="auto" w:after="160"/>
      </w:pPr>
      <w:r>
        <w:rPr>
          <w:b/>
          <w:color w:val="B45309"/>
          <w:sz w:val="22"/>
        </w:rPr>
        <w:t>3.8 SEC-08: Denial of Service (DoS) &amp; Rate Limiting [Risk: Medium / Mitigated]</w:t>
        <w:br/>
      </w:r>
      <w:r>
        <w:rPr>
          <w:sz w:val="20"/>
        </w:rPr>
        <w:t>A global rate limiter (express-rate-limit) restricts traffic to 1000 requests per 15-minute window per IP. Express body-parser enforces a 1 MB payload limit to prevent memory exhaustion attacks. A dedicated brute-force rate limiter is proposed for /api/auth/login.</w:t>
      </w:r>
    </w:p>
    <w:p>
      <w:pPr>
        <w:spacing w:line="276" w:lineRule="auto" w:after="160"/>
      </w:pPr>
      <w:r>
        <w:rPr>
          <w:b/>
          <w:color w:val="B45309"/>
          <w:sz w:val="22"/>
        </w:rPr>
        <w:t>3.9 SEC-09: Sensitive Information Leakage in Error Handling [Risk: Low / Fully Mitigated]</w:t>
        <w:br/>
      </w:r>
      <w:r>
        <w:rPr>
          <w:sz w:val="20"/>
        </w:rPr>
        <w:t>A centralized error handler captures all runtime exceptions. Database CastErrors, ValidationErrors, and Duplicate Key conflicts are mapped to standard response envelopes. Internal server stack traces are strictly hidden in production environments.</w:t>
      </w:r>
    </w:p>
    <w:p>
      <w:pPr>
        <w:spacing w:line="276" w:lineRule="auto" w:after="160"/>
      </w:pPr>
      <w:r>
        <w:rPr>
          <w:b/>
          <w:color w:val="B45309"/>
          <w:sz w:val="22"/>
        </w:rPr>
        <w:t>3.10 SEC-10: Cross-Origin Resource Sharing (CORS) Security [Risk: Low / Fully Mitigated]</w:t>
        <w:br/>
      </w:r>
      <w:r>
        <w:rPr>
          <w:sz w:val="20"/>
        </w:rPr>
        <w:t>CORS headers are explicitly locked to authorized frontend origins (localhost:5173, localhost:3000) with credentials: true. Wildcard (*) origins are strictly prohibited.</w:t>
      </w:r>
    </w:p>
    <w:p>
      <w:pPr>
        <w:pStyle w:val="Heading1"/>
      </w:pPr>
      <w:r>
        <w:rPr>
          <w:rFonts w:ascii="Arial" w:hAnsi="Arial"/>
          <w:color w:val="B45309"/>
        </w:rPr>
        <w:t>4. Audit Conclusion &amp; Compliance Certification</w:t>
      </w:r>
    </w:p>
    <w:p>
      <w:r>
        <w:t>The security audit concludes that CareSync exhibits a resilient, multi-layered defensive security posture. Critical vulnerabilities such as concurrency race conditions, password compromise, and broken authorization are completely mitigated through atomic database transactions, bcrypt hashing, and strict RBAC middleware. Input validation is formalized via Joi, and HTTP transport headers are hardened via Helmet.js. CareSync fully complies with all security evaluation criteria prescribed under the B.Tech Semester-5 AWD syllabus.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