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6"/>
        </w:rPr>
        <w:t>Zeiterfassung – SAII Tag 4/5</w:t>
      </w:r>
    </w:p>
    <w:p>
      <w:pPr>
        <w:spacing w:after="20"/>
      </w:pPr>
      <w:r>
        <w:rPr>
          <w:b w:val="0"/>
          <w:i/>
          <w:sz w:val="18"/>
        </w:rPr>
        <w:t>Kiril Rothacher · Klasse 26A, Gruppe 3 · 19.09.2026</w:t>
      </w:r>
    </w:p>
    <w:p>
      <w:pPr>
        <w:spacing w:after="160"/>
      </w:pPr>
      <w:r>
        <w:rPr>
          <w:b w:val="0"/>
          <w:i w:val="0"/>
          <w:sz w:val="18"/>
        </w:rPr>
        <w:t>Repository: zeiterfassung/  ·  Image: zeiterfassung:1.0</w:t>
      </w:r>
    </w:p>
    <w:p>
      <w:pPr>
        <w:pStyle w:val="Heading1"/>
      </w:pPr>
      <w:r>
        <w:t>1. SOLL – was ich machen will</w:t>
      </w:r>
    </w:p>
    <w:p>
      <w:r>
        <w:rPr>
          <w:b w:val="0"/>
          <w:i w:val="0"/>
        </w:rPr>
        <w:t>Ein containerisierter Zeiterfassungs-Service, der auf Kubernetes läuft und Arbeitszeiten auch dann behält, wenn Kubernetes den Pod ersetzt.</w:t>
      </w:r>
    </w:p>
    <w:p>
      <w:pPr>
        <w:pStyle w:val="Heading2"/>
      </w:pPr>
      <w:r>
        <w:t>Funktionsumfang</w:t>
      </w:r>
    </w:p>
    <w:tbl>
      <w:tblPr>
        <w:tblStyle w:val="TableGrid"/>
        <w:tblW w:type="auto" w:w="0"/>
        <w:jc w:val="center"/>
        <w:tblLook w:firstColumn="1" w:firstRow="1" w:lastColumn="0" w:lastRow="0" w:noHBand="0" w:noVBand="1" w:val="04A0"/>
      </w:tblPr>
      <w:tblGrid>
        <w:gridCol w:w="4819"/>
        <w:gridCol w:w="4819"/>
      </w:tblGrid>
      <w:tr>
        <w:tc>
          <w:tcPr>
            <w:tcW w:type="dxa" w:w="1814"/>
            <w:shd w:val="clear" w:fill="DEEAF6"/>
          </w:tcPr>
          <w:p>
            <w:pPr>
              <w:spacing w:after="20"/>
            </w:pPr>
            <w:r/>
            <w:r>
              <w:rPr>
                <w:b/>
                <w:sz w:val="18"/>
              </w:rPr>
              <w:t>Bereich</w:t>
            </w:r>
          </w:p>
        </w:tc>
        <w:tc>
          <w:tcPr>
            <w:tcW w:type="dxa" w:w="7824"/>
            <w:shd w:val="clear" w:fill="DEEAF6"/>
          </w:tcPr>
          <w:p>
            <w:pPr>
              <w:spacing w:after="20"/>
            </w:pPr>
            <w:r/>
            <w:r>
              <w:rPr>
                <w:b/>
                <w:sz w:val="18"/>
              </w:rPr>
              <w:t>Umsetzung</w:t>
            </w:r>
          </w:p>
        </w:tc>
      </w:tr>
      <w:tr>
        <w:tc>
          <w:tcPr>
            <w:tcW w:type="dxa" w:w="1814"/>
          </w:tcPr>
          <w:p>
            <w:pPr>
              <w:spacing w:after="20"/>
            </w:pPr>
            <w:r/>
            <w:r>
              <w:rPr>
                <w:sz w:val="17"/>
              </w:rPr>
              <w:t>Stempeln</w:t>
            </w:r>
          </w:p>
        </w:tc>
        <w:tc>
          <w:tcPr>
            <w:tcW w:type="dxa" w:w="7824"/>
          </w:tcPr>
          <w:p>
            <w:pPr>
              <w:spacing w:after="20"/>
            </w:pPr>
            <w:r/>
            <w:r>
              <w:rPr>
                <w:sz w:val="17"/>
              </w:rPr>
              <w:t>EIN → PAUSE → ZURÜCK → AUS, als Zustandsautomat im Server erzwungen</w:t>
            </w:r>
          </w:p>
        </w:tc>
      </w:tr>
      <w:tr>
        <w:tc>
          <w:tcPr>
            <w:tcW w:type="dxa" w:w="1814"/>
          </w:tcPr>
          <w:p>
            <w:pPr>
              <w:spacing w:after="20"/>
            </w:pPr>
            <w:r/>
            <w:r>
              <w:rPr>
                <w:sz w:val="17"/>
              </w:rPr>
              <w:t>Notiz</w:t>
            </w:r>
          </w:p>
        </w:tc>
        <w:tc>
          <w:tcPr>
            <w:tcW w:type="dxa" w:w="7824"/>
          </w:tcPr>
          <w:p>
            <w:pPr>
              <w:spacing w:after="20"/>
            </w:pPr>
            <w:r/>
            <w:r>
              <w:rPr>
                <w:sz w:val="17"/>
              </w:rPr>
              <w:t>Freitext pro Stempelung (z.B. „Support KYZ Kunde Meyer“), max. 200 Zeichen</w:t>
            </w:r>
          </w:p>
        </w:tc>
      </w:tr>
      <w:tr>
        <w:tc>
          <w:tcPr>
            <w:tcW w:type="dxa" w:w="1814"/>
          </w:tcPr>
          <w:p>
            <w:pPr>
              <w:spacing w:after="20"/>
            </w:pPr>
            <w:r/>
            <w:r>
              <w:rPr>
                <w:sz w:val="17"/>
              </w:rPr>
              <w:t>Übersicht</w:t>
            </w:r>
          </w:p>
        </w:tc>
        <w:tc>
          <w:tcPr>
            <w:tcW w:type="dxa" w:w="7824"/>
          </w:tcPr>
          <w:p>
            <w:pPr>
              <w:spacing w:after="20"/>
            </w:pPr>
            <w:r/>
            <w:r>
              <w:rPr>
                <w:sz w:val="17"/>
              </w:rPr>
              <w:t>Aktueller Status, heute erfasste Zeit, letzte 15 Stempelungen</w:t>
            </w:r>
          </w:p>
        </w:tc>
      </w:tr>
      <w:tr>
        <w:tc>
          <w:tcPr>
            <w:tcW w:type="dxa" w:w="1814"/>
          </w:tcPr>
          <w:p>
            <w:pPr>
              <w:spacing w:after="20"/>
            </w:pPr>
            <w:r/>
            <w:r>
              <w:rPr>
                <w:sz w:val="17"/>
              </w:rPr>
              <w:t>Zeitzone</w:t>
            </w:r>
          </w:p>
        </w:tc>
        <w:tc>
          <w:tcPr>
            <w:tcW w:type="dxa" w:w="7824"/>
          </w:tcPr>
          <w:p>
            <w:pPr>
              <w:spacing w:after="20"/>
            </w:pPr>
            <w:r/>
            <w:r>
              <w:rPr>
                <w:sz w:val="17"/>
              </w:rPr>
              <w:t>Speicherung in UTC, Anzeige und Eingabe in Ortszeit (Europe/Zurich)</w:t>
            </w:r>
          </w:p>
        </w:tc>
      </w:tr>
      <w:tr>
        <w:tc>
          <w:tcPr>
            <w:tcW w:type="dxa" w:w="1814"/>
          </w:tcPr>
          <w:p>
            <w:pPr>
              <w:spacing w:after="20"/>
            </w:pPr>
            <w:r/>
            <w:r>
              <w:rPr>
                <w:sz w:val="17"/>
              </w:rPr>
              <w:t>Benutzer</w:t>
            </w:r>
          </w:p>
        </w:tc>
        <w:tc>
          <w:tcPr>
            <w:tcW w:type="dxa" w:w="7824"/>
          </w:tcPr>
          <w:p>
            <w:pPr>
              <w:spacing w:after="20"/>
            </w:pPr>
            <w:r/>
            <w:r>
              <w:rPr>
                <w:sz w:val="17"/>
              </w:rPr>
              <w:t>Login mit Rollen user / admin</w:t>
            </w:r>
          </w:p>
        </w:tc>
      </w:tr>
      <w:tr>
        <w:tc>
          <w:tcPr>
            <w:tcW w:type="dxa" w:w="1814"/>
          </w:tcPr>
          <w:p>
            <w:pPr>
              <w:spacing w:after="20"/>
            </w:pPr>
            <w:r/>
            <w:r>
              <w:rPr>
                <w:sz w:val="17"/>
              </w:rPr>
              <w:t>Admin-Ansicht</w:t>
            </w:r>
          </w:p>
        </w:tc>
        <w:tc>
          <w:tcPr>
            <w:tcW w:type="dxa" w:w="7824"/>
          </w:tcPr>
          <w:p>
            <w:pPr>
              <w:spacing w:after="20"/>
            </w:pPr>
            <w:r/>
            <w:r>
              <w:rPr>
                <w:sz w:val="17"/>
              </w:rPr>
              <w:t>Filter nach Datum, Benutzer, Aktion und Notiztext; erfasste Zeit je Benutzer im Zeitraum; Einträge korrigieren, entfernen und für andere nachtragen</w:t>
            </w:r>
          </w:p>
        </w:tc>
      </w:tr>
      <w:tr>
        <w:tc>
          <w:tcPr>
            <w:tcW w:type="dxa" w:w="1814"/>
          </w:tcPr>
          <w:p>
            <w:pPr>
              <w:spacing w:after="20"/>
            </w:pPr>
            <w:r/>
            <w:r>
              <w:rPr>
                <w:sz w:val="17"/>
              </w:rPr>
              <w:t>Persistenz</w:t>
            </w:r>
          </w:p>
        </w:tc>
        <w:tc>
          <w:tcPr>
            <w:tcW w:type="dxa" w:w="7824"/>
          </w:tcPr>
          <w:p>
            <w:pPr>
              <w:spacing w:after="20"/>
            </w:pPr>
            <w:r/>
            <w:r>
              <w:rPr>
                <w:sz w:val="17"/>
              </w:rPr>
              <w:t>Append-only JSONL unter /data/times.jsonl auf einem PVC</w:t>
            </w:r>
          </w:p>
        </w:tc>
      </w:tr>
      <w:tr>
        <w:tc>
          <w:tcPr>
            <w:tcW w:type="dxa" w:w="1814"/>
          </w:tcPr>
          <w:p>
            <w:pPr>
              <w:spacing w:after="20"/>
            </w:pPr>
            <w:r/>
            <w:r>
              <w:rPr>
                <w:sz w:val="17"/>
              </w:rPr>
              <w:t>Health</w:t>
            </w:r>
          </w:p>
        </w:tc>
        <w:tc>
          <w:tcPr>
            <w:tcW w:type="dxa" w:w="7824"/>
          </w:tcPr>
          <w:p>
            <w:pPr>
              <w:spacing w:after="20"/>
            </w:pPr>
            <w:r/>
            <w:r>
              <w:rPr>
                <w:sz w:val="17"/>
              </w:rPr>
              <w:t>Getrennte Endpunkte /health (Liveness) und /ready (Readiness)</w:t>
            </w:r>
          </w:p>
        </w:tc>
      </w:tr>
      <w:tr>
        <w:tc>
          <w:tcPr>
            <w:tcW w:type="dxa" w:w="1814"/>
          </w:tcPr>
          <w:p>
            <w:pPr>
              <w:spacing w:after="20"/>
            </w:pPr>
            <w:r/>
            <w:r>
              <w:rPr>
                <w:sz w:val="17"/>
              </w:rPr>
              <w:t>Umgebungen</w:t>
            </w:r>
          </w:p>
        </w:tc>
        <w:tc>
          <w:tcPr>
            <w:tcW w:type="dxa" w:w="7824"/>
          </w:tcPr>
          <w:p>
            <w:pPr>
              <w:spacing w:after="20"/>
            </w:pPr>
            <w:r/>
            <w:r>
              <w:rPr>
                <w:sz w:val="17"/>
              </w:rPr>
              <w:t>Kustomize base + Overlays dev und prod</w:t>
            </w:r>
          </w:p>
        </w:tc>
      </w:tr>
    </w:tbl>
    <w:p>
      <w:pPr>
        <w:spacing w:after="40"/>
      </w:pPr>
    </w:p>
    <w:p>
      <w:pPr>
        <w:pStyle w:val="Heading2"/>
      </w:pPr>
      <w:r>
        <w:t>Architektur</w:t>
      </w:r>
    </w:p>
    <w:p>
      <w:pPr>
        <w:spacing w:before="40" w:after="100"/>
        <w:ind w:left="227"/>
      </w:pPr>
      <w:r>
        <w:rPr>
          <w:rFonts w:ascii="Consolas" w:hAnsi="Consolas"/>
          <w:sz w:val="17"/>
        </w:rPr>
        <w:t>Browser ──HTTP──&gt; Service ──&gt; Pod: gunicorn + Flask (UID 10001, read-only rootfs)</w:t>
        <w:br/>
      </w:r>
      <w:r>
        <w:rPr>
          <w:rFonts w:ascii="Consolas" w:hAnsi="Consolas"/>
          <w:sz w:val="17"/>
        </w:rPr>
        <w:t xml:space="preserve">                                    │</w:t>
        <w:br/>
      </w:r>
      <w:r>
        <w:rPr>
          <w:rFonts w:ascii="Consolas" w:hAnsi="Consolas"/>
          <w:sz w:val="17"/>
        </w:rPr>
        <w:t xml:space="preserve">                                    └── volumeMount /data ──&gt; PVC zeiterfassung-data</w:t>
      </w:r>
    </w:p>
    <w:p>
      <w:r>
        <w:rPr>
          <w:b w:val="0"/>
          <w:i w:val="0"/>
        </w:rPr>
        <w:t>Die Anwendung ist im Prozess bewusst zustandslos: der komplette Zustand wird aus /data/times.jsonl rekonstruiert. Ein neuer Pod liest die Datei und zeigt sofort wieder den korrekten Status. Genau das macht den PVC überprüfbar.</w:t>
      </w:r>
    </w:p>
    <w:p>
      <w:pPr>
        <w:pStyle w:val="Heading2"/>
      </w:pPr>
      <w:r>
        <w:t>Dev und Prod – bewusste Unterschiede, in den Overlays isoliert</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fill="DEEAF6"/>
          </w:tcPr>
          <w:p>
            <w:pPr>
              <w:spacing w:after="20"/>
            </w:pPr>
            <w:r/>
            <w:r>
              <w:rPr>
                <w:b/>
                <w:sz w:val="18"/>
              </w:rPr>
            </w:r>
          </w:p>
        </w:tc>
        <w:tc>
          <w:tcPr>
            <w:tcW w:type="dxa" w:w="3061"/>
            <w:shd w:val="clear" w:fill="DEEAF6"/>
          </w:tcPr>
          <w:p>
            <w:pPr>
              <w:spacing w:after="20"/>
            </w:pPr>
            <w:r/>
            <w:r>
              <w:rPr>
                <w:b/>
                <w:sz w:val="18"/>
              </w:rPr>
              <w:t>Dev</w:t>
            </w:r>
          </w:p>
        </w:tc>
        <w:tc>
          <w:tcPr>
            <w:tcW w:type="dxa" w:w="5102"/>
            <w:shd w:val="clear" w:fill="DEEAF6"/>
          </w:tcPr>
          <w:p>
            <w:pPr>
              <w:spacing w:after="20"/>
            </w:pPr>
            <w:r/>
            <w:r>
              <w:rPr>
                <w:b/>
                <w:sz w:val="18"/>
              </w:rPr>
              <w:t>Prod</w:t>
            </w:r>
          </w:p>
        </w:tc>
      </w:tr>
      <w:tr>
        <w:tc>
          <w:tcPr>
            <w:tcW w:type="dxa" w:w="1474"/>
          </w:tcPr>
          <w:p>
            <w:pPr>
              <w:spacing w:after="20"/>
            </w:pPr>
            <w:r/>
            <w:r>
              <w:rPr>
                <w:sz w:val="17"/>
              </w:rPr>
              <w:t>Replicas</w:t>
            </w:r>
          </w:p>
        </w:tc>
        <w:tc>
          <w:tcPr>
            <w:tcW w:type="dxa" w:w="3061"/>
          </w:tcPr>
          <w:p>
            <w:pPr>
              <w:spacing w:after="20"/>
            </w:pPr>
            <w:r/>
            <w:r>
              <w:rPr>
                <w:sz w:val="17"/>
              </w:rPr>
              <w:t>1</w:t>
            </w:r>
          </w:p>
        </w:tc>
        <w:tc>
          <w:tcPr>
            <w:tcW w:type="dxa" w:w="5102"/>
          </w:tcPr>
          <w:p>
            <w:pPr>
              <w:spacing w:after="20"/>
            </w:pPr>
            <w:r/>
            <w:r>
              <w:rPr>
                <w:sz w:val="17"/>
              </w:rPr>
              <w:t>3</w:t>
            </w:r>
          </w:p>
        </w:tc>
      </w:tr>
      <w:tr>
        <w:tc>
          <w:tcPr>
            <w:tcW w:type="dxa" w:w="1474"/>
          </w:tcPr>
          <w:p>
            <w:pPr>
              <w:spacing w:after="20"/>
            </w:pPr>
            <w:r/>
            <w:r>
              <w:rPr>
                <w:sz w:val="17"/>
              </w:rPr>
              <w:t>Service</w:t>
            </w:r>
          </w:p>
        </w:tc>
        <w:tc>
          <w:tcPr>
            <w:tcW w:type="dxa" w:w="3061"/>
          </w:tcPr>
          <w:p>
            <w:pPr>
              <w:spacing w:after="20"/>
            </w:pPr>
            <w:r/>
            <w:r>
              <w:rPr>
                <w:sz w:val="17"/>
              </w:rPr>
              <w:t>NodePort 30080</w:t>
            </w:r>
          </w:p>
        </w:tc>
        <w:tc>
          <w:tcPr>
            <w:tcW w:type="dxa" w:w="5102"/>
          </w:tcPr>
          <w:p>
            <w:pPr>
              <w:spacing w:after="20"/>
            </w:pPr>
            <w:r/>
            <w:r>
              <w:rPr>
                <w:sz w:val="17"/>
              </w:rPr>
              <w:t>ClusterIP</w:t>
            </w:r>
          </w:p>
        </w:tc>
      </w:tr>
      <w:tr>
        <w:tc>
          <w:tcPr>
            <w:tcW w:type="dxa" w:w="1474"/>
          </w:tcPr>
          <w:p>
            <w:pPr>
              <w:spacing w:after="20"/>
            </w:pPr>
            <w:r/>
            <w:r>
              <w:rPr>
                <w:sz w:val="17"/>
              </w:rPr>
              <w:t>Image</w:t>
            </w:r>
          </w:p>
        </w:tc>
        <w:tc>
          <w:tcPr>
            <w:tcW w:type="dxa" w:w="3061"/>
          </w:tcPr>
          <w:p>
            <w:pPr>
              <w:spacing w:after="20"/>
            </w:pPr>
            <w:r/>
            <w:r>
              <w:rPr>
                <w:sz w:val="17"/>
              </w:rPr>
              <w:t>lokal zeiterfassung:1.0</w:t>
            </w:r>
          </w:p>
        </w:tc>
        <w:tc>
          <w:tcPr>
            <w:tcW w:type="dxa" w:w="5102"/>
          </w:tcPr>
          <w:p>
            <w:pPr>
              <w:spacing w:after="20"/>
            </w:pPr>
            <w:r/>
            <w:r>
              <w:rPr>
                <w:sz w:val="17"/>
              </w:rPr>
              <w:t>registry.hfi.local/saii/zeiterfassung:1.0</w:t>
            </w:r>
          </w:p>
        </w:tc>
      </w:tr>
      <w:tr>
        <w:tc>
          <w:tcPr>
            <w:tcW w:type="dxa" w:w="1474"/>
          </w:tcPr>
          <w:p>
            <w:pPr>
              <w:spacing w:after="20"/>
            </w:pPr>
            <w:r/>
            <w:r>
              <w:rPr>
                <w:sz w:val="17"/>
              </w:rPr>
              <w:t>Namespace</w:t>
            </w:r>
          </w:p>
        </w:tc>
        <w:tc>
          <w:tcPr>
            <w:tcW w:type="dxa" w:w="3061"/>
          </w:tcPr>
          <w:p>
            <w:pPr>
              <w:spacing w:after="20"/>
            </w:pPr>
            <w:r/>
            <w:r>
              <w:rPr>
                <w:sz w:val="17"/>
              </w:rPr>
              <w:t>ze-dev</w:t>
            </w:r>
          </w:p>
        </w:tc>
        <w:tc>
          <w:tcPr>
            <w:tcW w:type="dxa" w:w="5102"/>
          </w:tcPr>
          <w:p>
            <w:pPr>
              <w:spacing w:after="20"/>
            </w:pPr>
            <w:r/>
            <w:r>
              <w:rPr>
                <w:sz w:val="17"/>
              </w:rPr>
              <w:t>ze-prod</w:t>
            </w:r>
          </w:p>
        </w:tc>
      </w:tr>
      <w:tr>
        <w:tc>
          <w:tcPr>
            <w:tcW w:type="dxa" w:w="1474"/>
          </w:tcPr>
          <w:p>
            <w:pPr>
              <w:spacing w:after="20"/>
            </w:pPr>
            <w:r/>
            <w:r>
              <w:rPr>
                <w:sz w:val="17"/>
              </w:rPr>
              <w:t>Zusätzlich</w:t>
            </w:r>
          </w:p>
        </w:tc>
        <w:tc>
          <w:tcPr>
            <w:tcW w:type="dxa" w:w="3061"/>
          </w:tcPr>
          <w:p>
            <w:pPr>
              <w:spacing w:after="20"/>
            </w:pPr>
            <w:r/>
            <w:r>
              <w:rPr>
                <w:sz w:val="17"/>
              </w:rPr>
              <w:t>–</w:t>
            </w:r>
          </w:p>
        </w:tc>
        <w:tc>
          <w:tcPr>
            <w:tcW w:type="dxa" w:w="5102"/>
          </w:tcPr>
          <w:p>
            <w:pPr>
              <w:spacing w:after="20"/>
            </w:pPr>
            <w:r/>
            <w:r>
              <w:rPr>
                <w:sz w:val="17"/>
              </w:rPr>
              <w:t>NetworkPolicy, imagePullPolicy: Always, höhere Limits</w:t>
            </w:r>
          </w:p>
        </w:tc>
      </w:tr>
    </w:tbl>
    <w:p>
      <w:pPr>
        <w:spacing w:after="40"/>
      </w:pPr>
    </w:p>
    <w:p>
      <w:r>
        <w:rPr>
          <w:b w:val="0"/>
          <w:i w:val="0"/>
          <w:sz w:val="18"/>
        </w:rPr>
        <w:t>Abgrenzung – bewusst nicht umgesetzt: verteilte Datenbank, TLS-Terminierung im Cluster (gehört an den Ingress), Reporting/Export, Zeitzonenlogik (alles UTC).</w:t>
      </w:r>
    </w:p>
    <w:p>
      <w:pPr>
        <w:pStyle w:val="Heading1"/>
      </w:pPr>
      <w:r>
        <w:t>2. Security-Anforderungen</w:t>
      </w:r>
    </w:p>
    <w:p>
      <w:r>
        <w:rPr>
          <w:b w:val="0"/>
          <w:i/>
          <w:sz w:val="18"/>
        </w:rPr>
        <w:t>Jede Anforderung mit Umsetzung und Nachweis.</w:t>
      </w:r>
    </w:p>
    <w:p>
      <w:pPr>
        <w:pStyle w:val="Heading3"/>
      </w:pPr>
      <w:r>
        <w:t>2.1 Container und Laufzeit</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fill="DEEAF6"/>
          </w:tcPr>
          <w:p>
            <w:pPr>
              <w:spacing w:after="20"/>
            </w:pPr>
            <w:r/>
            <w:r>
              <w:rPr>
                <w:b/>
                <w:sz w:val="18"/>
              </w:rPr>
              <w:t>Anforderung</w:t>
            </w:r>
          </w:p>
        </w:tc>
        <w:tc>
          <w:tcPr>
            <w:tcW w:type="dxa" w:w="4876"/>
            <w:shd w:val="clear" w:fill="DEEAF6"/>
          </w:tcPr>
          <w:p>
            <w:pPr>
              <w:spacing w:after="20"/>
            </w:pPr>
            <w:r/>
            <w:r>
              <w:rPr>
                <w:b/>
                <w:sz w:val="18"/>
              </w:rPr>
              <w:t>Umsetzung</w:t>
            </w:r>
          </w:p>
        </w:tc>
        <w:tc>
          <w:tcPr>
            <w:tcW w:type="dxa" w:w="2494"/>
            <w:shd w:val="clear" w:fill="DEEAF6"/>
          </w:tcPr>
          <w:p>
            <w:pPr>
              <w:spacing w:after="20"/>
            </w:pPr>
            <w:r/>
            <w:r>
              <w:rPr>
                <w:b/>
                <w:sz w:val="18"/>
              </w:rPr>
              <w:t>Nachweis</w:t>
            </w:r>
          </w:p>
        </w:tc>
      </w:tr>
      <w:tr>
        <w:tc>
          <w:tcPr>
            <w:tcW w:type="dxa" w:w="2268"/>
          </w:tcPr>
          <w:p>
            <w:pPr>
              <w:spacing w:after="20"/>
            </w:pPr>
            <w:r/>
            <w:r>
              <w:rPr>
                <w:sz w:val="17"/>
              </w:rPr>
              <w:t>Kein Root im Container</w:t>
            </w:r>
          </w:p>
        </w:tc>
        <w:tc>
          <w:tcPr>
            <w:tcW w:type="dxa" w:w="4876"/>
          </w:tcPr>
          <w:p>
            <w:pPr>
              <w:spacing w:after="20"/>
            </w:pPr>
            <w:r/>
            <w:r>
              <w:rPr>
                <w:sz w:val="17"/>
              </w:rPr>
              <w:t>useradd --uid 10001, USER 10001:10001; im Pod runAsNonRoot: true</w:t>
            </w:r>
          </w:p>
        </w:tc>
        <w:tc>
          <w:tcPr>
            <w:tcW w:type="dxa" w:w="2494"/>
          </w:tcPr>
          <w:p>
            <w:pPr>
              <w:spacing w:after="20"/>
            </w:pPr>
            <w:r/>
            <w:r>
              <w:rPr>
                <w:sz w:val="17"/>
              </w:rPr>
              <w:t>docker exec … id → uid=10001</w:t>
            </w:r>
          </w:p>
        </w:tc>
      </w:tr>
      <w:tr>
        <w:tc>
          <w:tcPr>
            <w:tcW w:type="dxa" w:w="2268"/>
          </w:tcPr>
          <w:p>
            <w:pPr>
              <w:spacing w:after="20"/>
            </w:pPr>
            <w:r/>
            <w:r>
              <w:rPr>
                <w:sz w:val="17"/>
              </w:rPr>
              <w:t>Kein Privilege Escalation</w:t>
            </w:r>
          </w:p>
        </w:tc>
        <w:tc>
          <w:tcPr>
            <w:tcW w:type="dxa" w:w="4876"/>
          </w:tcPr>
          <w:p>
            <w:pPr>
              <w:spacing w:after="20"/>
            </w:pPr>
            <w:r/>
            <w:r>
              <w:rPr>
                <w:sz w:val="17"/>
              </w:rPr>
              <w:t>allowPrivilegeEscalation: false</w:t>
            </w:r>
          </w:p>
        </w:tc>
        <w:tc>
          <w:tcPr>
            <w:tcW w:type="dxa" w:w="2494"/>
          </w:tcPr>
          <w:p>
            <w:pPr>
              <w:spacing w:after="20"/>
            </w:pPr>
            <w:r/>
            <w:r>
              <w:rPr>
                <w:sz w:val="17"/>
              </w:rPr>
              <w:t>Deployment-Manifest</w:t>
            </w:r>
          </w:p>
        </w:tc>
      </w:tr>
      <w:tr>
        <w:tc>
          <w:tcPr>
            <w:tcW w:type="dxa" w:w="2268"/>
          </w:tcPr>
          <w:p>
            <w:pPr>
              <w:spacing w:after="20"/>
            </w:pPr>
            <w:r/>
            <w:r>
              <w:rPr>
                <w:sz w:val="17"/>
              </w:rPr>
              <w:t>Minimale Rechte</w:t>
            </w:r>
          </w:p>
        </w:tc>
        <w:tc>
          <w:tcPr>
            <w:tcW w:type="dxa" w:w="4876"/>
          </w:tcPr>
          <w:p>
            <w:pPr>
              <w:spacing w:after="20"/>
            </w:pPr>
            <w:r/>
            <w:r>
              <w:rPr>
                <w:sz w:val="17"/>
              </w:rPr>
              <w:t>capabilities.drop: [ALL], seccompProfile: RuntimeDefault</w:t>
            </w:r>
          </w:p>
        </w:tc>
        <w:tc>
          <w:tcPr>
            <w:tcW w:type="dxa" w:w="2494"/>
          </w:tcPr>
          <w:p>
            <w:pPr>
              <w:spacing w:after="20"/>
            </w:pPr>
            <w:r/>
            <w:r>
              <w:rPr>
                <w:sz w:val="17"/>
              </w:rPr>
              <w:t>Deployment-Manifest</w:t>
            </w:r>
          </w:p>
        </w:tc>
      </w:tr>
      <w:tr>
        <w:tc>
          <w:tcPr>
            <w:tcW w:type="dxa" w:w="2268"/>
          </w:tcPr>
          <w:p>
            <w:pPr>
              <w:spacing w:after="20"/>
            </w:pPr>
            <w:r/>
            <w:r>
              <w:rPr>
                <w:sz w:val="17"/>
              </w:rPr>
              <w:t>Unveränderliches Dateisystem</w:t>
            </w:r>
          </w:p>
        </w:tc>
        <w:tc>
          <w:tcPr>
            <w:tcW w:type="dxa" w:w="4876"/>
          </w:tcPr>
          <w:p>
            <w:pPr>
              <w:spacing w:after="20"/>
            </w:pPr>
            <w:r/>
            <w:r>
              <w:rPr>
                <w:sz w:val="17"/>
              </w:rPr>
              <w:t>readOnlyRootFilesystem: true; Schreibpfade nur /data (PVC) und /tmp (emptyDir)</w:t>
            </w:r>
          </w:p>
        </w:tc>
        <w:tc>
          <w:tcPr>
            <w:tcW w:type="dxa" w:w="2494"/>
          </w:tcPr>
          <w:p>
            <w:pPr>
              <w:spacing w:after="20"/>
            </w:pPr>
            <w:r/>
            <w:r>
              <w:rPr>
                <w:sz w:val="17"/>
              </w:rPr>
              <w:t>Deployment-Manifest</w:t>
            </w:r>
          </w:p>
        </w:tc>
      </w:tr>
      <w:tr>
        <w:tc>
          <w:tcPr>
            <w:tcW w:type="dxa" w:w="2268"/>
          </w:tcPr>
          <w:p>
            <w:pPr>
              <w:spacing w:after="20"/>
            </w:pPr>
            <w:r/>
            <w:r>
              <w:rPr>
                <w:sz w:val="17"/>
              </w:rPr>
              <w:t>Kein Entwicklungsserver</w:t>
            </w:r>
          </w:p>
        </w:tc>
        <w:tc>
          <w:tcPr>
            <w:tcW w:type="dxa" w:w="4876"/>
          </w:tcPr>
          <w:p>
            <w:pPr>
              <w:spacing w:after="20"/>
            </w:pPr>
            <w:r/>
            <w:r>
              <w:rPr>
                <w:sz w:val="17"/>
              </w:rPr>
              <w:t>gunicorn statt flask run; debug nie aktiviert</w:t>
            </w:r>
          </w:p>
        </w:tc>
        <w:tc>
          <w:tcPr>
            <w:tcW w:type="dxa" w:w="2494"/>
          </w:tcPr>
          <w:p>
            <w:pPr>
              <w:spacing w:after="20"/>
            </w:pPr>
            <w:r/>
            <w:r>
              <w:rPr>
                <w:sz w:val="17"/>
              </w:rPr>
              <w:t>Dockerfile CMD</w:t>
            </w:r>
          </w:p>
        </w:tc>
      </w:tr>
      <w:tr>
        <w:tc>
          <w:tcPr>
            <w:tcW w:type="dxa" w:w="2268"/>
          </w:tcPr>
          <w:p>
            <w:pPr>
              <w:spacing w:after="20"/>
            </w:pPr>
            <w:r/>
            <w:r>
              <w:rPr>
                <w:sz w:val="17"/>
              </w:rPr>
              <w:t>Kleine Angriffsfläche</w:t>
            </w:r>
          </w:p>
        </w:tc>
        <w:tc>
          <w:tcPr>
            <w:tcW w:type="dxa" w:w="4876"/>
          </w:tcPr>
          <w:p>
            <w:pPr>
              <w:spacing w:after="20"/>
            </w:pPr>
            <w:r/>
            <w:r>
              <w:rPr>
                <w:sz w:val="17"/>
              </w:rPr>
              <w:t>Multi-Stage-Build auf python:3.12-slim; Build-Tools nicht im Runtime-Image</w:t>
            </w:r>
          </w:p>
        </w:tc>
        <w:tc>
          <w:tcPr>
            <w:tcW w:type="dxa" w:w="2494"/>
          </w:tcPr>
          <w:p>
            <w:pPr>
              <w:spacing w:after="20"/>
            </w:pPr>
            <w:r/>
            <w:r>
              <w:rPr>
                <w:sz w:val="17"/>
              </w:rPr>
              <w:t>Dockerfile</w:t>
            </w:r>
          </w:p>
        </w:tc>
      </w:tr>
      <w:tr>
        <w:tc>
          <w:tcPr>
            <w:tcW w:type="dxa" w:w="2268"/>
          </w:tcPr>
          <w:p>
            <w:pPr>
              <w:spacing w:after="20"/>
            </w:pPr>
            <w:r/>
            <w:r>
              <w:rPr>
                <w:sz w:val="17"/>
              </w:rPr>
              <w:t>Ressourcengrenzen</w:t>
            </w:r>
          </w:p>
        </w:tc>
        <w:tc>
          <w:tcPr>
            <w:tcW w:type="dxa" w:w="4876"/>
          </w:tcPr>
          <w:p>
            <w:pPr>
              <w:spacing w:after="20"/>
            </w:pPr>
            <w:r/>
            <w:r>
              <w:rPr>
                <w:sz w:val="17"/>
              </w:rPr>
              <w:t>requests/limits für CPU und Memory</w:t>
            </w:r>
          </w:p>
        </w:tc>
        <w:tc>
          <w:tcPr>
            <w:tcW w:type="dxa" w:w="2494"/>
          </w:tcPr>
          <w:p>
            <w:pPr>
              <w:spacing w:after="20"/>
            </w:pPr>
            <w:r/>
            <w:r>
              <w:rPr>
                <w:sz w:val="17"/>
              </w:rPr>
              <w:t>Deployment-Manifest</w:t>
            </w:r>
          </w:p>
        </w:tc>
      </w:tr>
    </w:tbl>
    <w:p>
      <w:pPr>
        <w:spacing w:after="40"/>
      </w:pPr>
    </w:p>
    <w:p>
      <w:pPr>
        <w:pStyle w:val="Heading3"/>
      </w:pPr>
      <w:r>
        <w:t>2.2 Authentifizierung und Autorisierung</w:t>
      </w:r>
    </w:p>
    <w:tbl>
      <w:tblPr>
        <w:tblStyle w:val="TableGrid"/>
        <w:tblW w:type="auto" w:w="0"/>
        <w:jc w:val="center"/>
        <w:tblLook w:firstColumn="1" w:firstRow="1" w:lastColumn="0" w:lastRow="0" w:noHBand="0" w:noVBand="1" w:val="04A0"/>
      </w:tblPr>
      <w:tblGrid>
        <w:gridCol w:w="4819"/>
        <w:gridCol w:w="4819"/>
      </w:tblGrid>
      <w:tr>
        <w:tc>
          <w:tcPr>
            <w:tcW w:type="dxa" w:w="2608"/>
            <w:shd w:val="clear" w:fill="DEEAF6"/>
          </w:tcPr>
          <w:p>
            <w:pPr>
              <w:spacing w:after="20"/>
            </w:pPr>
            <w:r/>
            <w:r>
              <w:rPr>
                <w:b/>
                <w:sz w:val="18"/>
              </w:rPr>
              <w:t>Anforderung</w:t>
            </w:r>
          </w:p>
        </w:tc>
        <w:tc>
          <w:tcPr>
            <w:tcW w:type="dxa" w:w="7030"/>
            <w:shd w:val="clear" w:fill="DEEAF6"/>
          </w:tcPr>
          <w:p>
            <w:pPr>
              <w:spacing w:after="20"/>
            </w:pPr>
            <w:r/>
            <w:r>
              <w:rPr>
                <w:b/>
                <w:sz w:val="18"/>
              </w:rPr>
              <w:t>Umsetzung</w:t>
            </w:r>
          </w:p>
        </w:tc>
      </w:tr>
      <w:tr>
        <w:tc>
          <w:tcPr>
            <w:tcW w:type="dxa" w:w="2608"/>
          </w:tcPr>
          <w:p>
            <w:pPr>
              <w:spacing w:after="20"/>
            </w:pPr>
            <w:r/>
            <w:r>
              <w:rPr>
                <w:sz w:val="17"/>
              </w:rPr>
              <w:t>Keine Klartext-Passwörter</w:t>
            </w:r>
          </w:p>
        </w:tc>
        <w:tc>
          <w:tcPr>
            <w:tcW w:type="dxa" w:w="7030"/>
          </w:tcPr>
          <w:p>
            <w:pPr>
              <w:spacing w:after="20"/>
            </w:pPr>
            <w:r/>
            <w:r>
              <w:rPr>
                <w:sz w:val="17"/>
              </w:rPr>
              <w:t>PBKDF2-SHA256, 240 000 Iterationen, 16 Byte Salt pro Benutzer</w:t>
            </w:r>
          </w:p>
        </w:tc>
      </w:tr>
      <w:tr>
        <w:tc>
          <w:tcPr>
            <w:tcW w:type="dxa" w:w="2608"/>
          </w:tcPr>
          <w:p>
            <w:pPr>
              <w:spacing w:after="20"/>
            </w:pPr>
            <w:r/>
            <w:r>
              <w:rPr>
                <w:sz w:val="17"/>
              </w:rPr>
              <w:t>Kein Timing-Leak</w:t>
            </w:r>
          </w:p>
        </w:tc>
        <w:tc>
          <w:tcPr>
            <w:tcW w:type="dxa" w:w="7030"/>
          </w:tcPr>
          <w:p>
            <w:pPr>
              <w:spacing w:after="20"/>
            </w:pPr>
            <w:r/>
            <w:r>
              <w:rPr>
                <w:sz w:val="17"/>
              </w:rPr>
              <w:t>Vergleich über hmac.compare_digest</w:t>
            </w:r>
          </w:p>
        </w:tc>
      </w:tr>
      <w:tr>
        <w:tc>
          <w:tcPr>
            <w:tcW w:type="dxa" w:w="2608"/>
          </w:tcPr>
          <w:p>
            <w:pPr>
              <w:spacing w:after="20"/>
            </w:pPr>
            <w:r/>
            <w:r>
              <w:rPr>
                <w:sz w:val="17"/>
              </w:rPr>
              <w:t>Keine Benutzer-Enumeration</w:t>
            </w:r>
          </w:p>
        </w:tc>
        <w:tc>
          <w:tcPr>
            <w:tcW w:type="dxa" w:w="7030"/>
          </w:tcPr>
          <w:p>
            <w:pPr>
              <w:spacing w:after="20"/>
            </w:pPr>
            <w:r/>
            <w:r>
              <w:rPr>
                <w:sz w:val="17"/>
              </w:rPr>
              <w:t>Login-Fehler immer identisch („Login fehlgeschlagen.“)</w:t>
            </w:r>
          </w:p>
        </w:tc>
      </w:tr>
      <w:tr>
        <w:tc>
          <w:tcPr>
            <w:tcW w:type="dxa" w:w="2608"/>
          </w:tcPr>
          <w:p>
            <w:pPr>
              <w:spacing w:after="20"/>
            </w:pPr>
            <w:r/>
            <w:r>
              <w:rPr>
                <w:sz w:val="17"/>
              </w:rPr>
              <w:t>Brute-Force-Bremse</w:t>
            </w:r>
          </w:p>
        </w:tc>
        <w:tc>
          <w:tcPr>
            <w:tcW w:type="dxa" w:w="7030"/>
          </w:tcPr>
          <w:p>
            <w:pPr>
              <w:spacing w:after="20"/>
            </w:pPr>
            <w:r/>
            <w:r>
              <w:rPr>
                <w:sz w:val="17"/>
              </w:rPr>
              <w:t>Max. 5 Fehlversuche pro IP und Minute, danach HTTP 429</w:t>
            </w:r>
          </w:p>
        </w:tc>
      </w:tr>
      <w:tr>
        <w:tc>
          <w:tcPr>
            <w:tcW w:type="dxa" w:w="2608"/>
          </w:tcPr>
          <w:p>
            <w:pPr>
              <w:spacing w:after="20"/>
            </w:pPr>
            <w:r/>
            <w:r>
              <w:rPr>
                <w:sz w:val="17"/>
              </w:rPr>
              <w:t>RBAC</w:t>
            </w:r>
          </w:p>
        </w:tc>
        <w:tc>
          <w:tcPr>
            <w:tcW w:type="dxa" w:w="7030"/>
          </w:tcPr>
          <w:p>
            <w:pPr>
              <w:spacing w:after="20"/>
            </w:pPr>
            <w:r/>
            <w:r>
              <w:rPr>
                <w:sz w:val="17"/>
              </w:rPr>
              <w:t>Rolle admin erforderlich für /admin sowie für Korrigieren, Entfernen und Nachtragen; user sieht nur eigene Einträge und kann nichts Fremdes ändern</w:t>
            </w:r>
          </w:p>
        </w:tc>
      </w:tr>
      <w:tr>
        <w:tc>
          <w:tcPr>
            <w:tcW w:type="dxa" w:w="2608"/>
          </w:tcPr>
          <w:p>
            <w:pPr>
              <w:spacing w:after="20"/>
            </w:pPr>
            <w:r/>
            <w:r>
              <w:rPr>
                <w:sz w:val="17"/>
              </w:rPr>
              <w:t>Session-Schutz</w:t>
            </w:r>
          </w:p>
        </w:tc>
        <w:tc>
          <w:tcPr>
            <w:tcW w:type="dxa" w:w="7030"/>
          </w:tcPr>
          <w:p>
            <w:pPr>
              <w:spacing w:after="20"/>
            </w:pPr>
            <w:r/>
            <w:r>
              <w:rPr>
                <w:sz w:val="17"/>
              </w:rPr>
              <w:t>Cookie HttpOnly, SameSite=Strict, in Prod zusätzlich Secure; SECRET_KEY aus Secret</w:t>
            </w:r>
          </w:p>
        </w:tc>
      </w:tr>
    </w:tbl>
    <w:p>
      <w:pPr>
        <w:spacing w:after="40"/>
      </w:pPr>
    </w:p>
    <w:p>
      <w:pPr>
        <w:pStyle w:val="Heading3"/>
      </w:pPr>
      <w:r>
        <w:t>2.3 Eingaben und Ausgaben</w:t>
      </w:r>
    </w:p>
    <w:tbl>
      <w:tblPr>
        <w:tblStyle w:val="TableGrid"/>
        <w:tblW w:type="auto" w:w="0"/>
        <w:jc w:val="center"/>
        <w:tblLook w:firstColumn="1" w:firstRow="1" w:lastColumn="0" w:lastRow="0" w:noHBand="0" w:noVBand="1" w:val="04A0"/>
      </w:tblPr>
      <w:tblGrid>
        <w:gridCol w:w="4819"/>
        <w:gridCol w:w="4819"/>
      </w:tblGrid>
      <w:tr>
        <w:tc>
          <w:tcPr>
            <w:tcW w:type="dxa" w:w="2608"/>
            <w:shd w:val="clear" w:fill="DEEAF6"/>
          </w:tcPr>
          <w:p>
            <w:pPr>
              <w:spacing w:after="20"/>
            </w:pPr>
            <w:r/>
            <w:r>
              <w:rPr>
                <w:b/>
                <w:sz w:val="18"/>
              </w:rPr>
              <w:t>Anforderung</w:t>
            </w:r>
          </w:p>
        </w:tc>
        <w:tc>
          <w:tcPr>
            <w:tcW w:type="dxa" w:w="7030"/>
            <w:shd w:val="clear" w:fill="DEEAF6"/>
          </w:tcPr>
          <w:p>
            <w:pPr>
              <w:spacing w:after="20"/>
            </w:pPr>
            <w:r/>
            <w:r>
              <w:rPr>
                <w:b/>
                <w:sz w:val="18"/>
              </w:rPr>
              <w:t>Umsetzung</w:t>
            </w:r>
          </w:p>
        </w:tc>
      </w:tr>
      <w:tr>
        <w:tc>
          <w:tcPr>
            <w:tcW w:type="dxa" w:w="2608"/>
          </w:tcPr>
          <w:p>
            <w:pPr>
              <w:spacing w:after="20"/>
            </w:pPr>
            <w:r/>
            <w:r>
              <w:rPr>
                <w:sz w:val="17"/>
              </w:rPr>
              <w:t>CSRF-Schutz</w:t>
            </w:r>
          </w:p>
        </w:tc>
        <w:tc>
          <w:tcPr>
            <w:tcW w:type="dxa" w:w="7030"/>
          </w:tcPr>
          <w:p>
            <w:pPr>
              <w:spacing w:after="20"/>
            </w:pPr>
            <w:r/>
            <w:r>
              <w:rPr>
                <w:sz w:val="17"/>
              </w:rPr>
              <w:t>Session-gebundenes Token in jedem mutierenden Formular, Prüfung mit compare_digest → sonst 403</w:t>
            </w:r>
          </w:p>
        </w:tc>
      </w:tr>
      <w:tr>
        <w:tc>
          <w:tcPr>
            <w:tcW w:type="dxa" w:w="2608"/>
          </w:tcPr>
          <w:p>
            <w:pPr>
              <w:spacing w:after="20"/>
            </w:pPr>
            <w:r/>
            <w:r>
              <w:rPr>
                <w:sz w:val="17"/>
              </w:rPr>
              <w:t>Nur erlaubte Aktionen</w:t>
            </w:r>
          </w:p>
        </w:tc>
        <w:tc>
          <w:tcPr>
            <w:tcW w:type="dxa" w:w="7030"/>
          </w:tcPr>
          <w:p>
            <w:pPr>
              <w:spacing w:after="20"/>
            </w:pPr>
            <w:r/>
            <w:r>
              <w:rPr>
                <w:sz w:val="17"/>
              </w:rPr>
              <w:t>Whitelist EIN/PAUSE/ZURUECK/AUS → sonst 400</w:t>
            </w:r>
          </w:p>
        </w:tc>
      </w:tr>
      <w:tr>
        <w:tc>
          <w:tcPr>
            <w:tcW w:type="dxa" w:w="2608"/>
          </w:tcPr>
          <w:p>
            <w:pPr>
              <w:spacing w:after="20"/>
            </w:pPr>
            <w:r/>
            <w:r>
              <w:rPr>
                <w:sz w:val="17"/>
              </w:rPr>
              <w:t>Kein unplausibler Zustand</w:t>
            </w:r>
          </w:p>
        </w:tc>
        <w:tc>
          <w:tcPr>
            <w:tcW w:type="dxa" w:w="7030"/>
          </w:tcPr>
          <w:p>
            <w:pPr>
              <w:spacing w:after="20"/>
            </w:pPr>
            <w:r/>
            <w:r>
              <w:rPr>
                <w:sz w:val="17"/>
              </w:rPr>
              <w:t>Übergangstabelle serverseitig; zweimal EIN → 409 statt stiller Doppelbuchung</w:t>
            </w:r>
          </w:p>
        </w:tc>
      </w:tr>
      <w:tr>
        <w:tc>
          <w:tcPr>
            <w:tcW w:type="dxa" w:w="2608"/>
          </w:tcPr>
          <w:p>
            <w:pPr>
              <w:spacing w:after="20"/>
            </w:pPr>
            <w:r/>
            <w:r>
              <w:rPr>
                <w:sz w:val="17"/>
              </w:rPr>
              <w:t>XSS</w:t>
            </w:r>
          </w:p>
        </w:tc>
        <w:tc>
          <w:tcPr>
            <w:tcW w:type="dxa" w:w="7030"/>
          </w:tcPr>
          <w:p>
            <w:pPr>
              <w:spacing w:after="20"/>
            </w:pPr>
            <w:r/>
            <w:r>
              <w:rPr>
                <w:sz w:val="17"/>
              </w:rPr>
              <w:t>Jinja2-Autoescaping; Notiz auf druckbare Zeichen und 200 Zeichen begrenzt</w:t>
            </w:r>
          </w:p>
        </w:tc>
      </w:tr>
      <w:tr>
        <w:tc>
          <w:tcPr>
            <w:tcW w:type="dxa" w:w="2608"/>
          </w:tcPr>
          <w:p>
            <w:pPr>
              <w:spacing w:after="20"/>
            </w:pPr>
            <w:r/>
            <w:r>
              <w:rPr>
                <w:sz w:val="17"/>
              </w:rPr>
              <w:t>Request-Grösse</w:t>
            </w:r>
          </w:p>
        </w:tc>
        <w:tc>
          <w:tcPr>
            <w:tcW w:type="dxa" w:w="7030"/>
          </w:tcPr>
          <w:p>
            <w:pPr>
              <w:spacing w:after="20"/>
            </w:pPr>
            <w:r/>
            <w:r>
              <w:rPr>
                <w:sz w:val="17"/>
              </w:rPr>
              <w:t>MAX_CONTENT_LENGTH = 16 KiB</w:t>
            </w:r>
          </w:p>
        </w:tc>
      </w:tr>
      <w:tr>
        <w:tc>
          <w:tcPr>
            <w:tcW w:type="dxa" w:w="2608"/>
          </w:tcPr>
          <w:p>
            <w:pPr>
              <w:spacing w:after="20"/>
            </w:pPr>
            <w:r/>
            <w:r>
              <w:rPr>
                <w:sz w:val="17"/>
              </w:rPr>
              <w:t>Filterwerte geprüft</w:t>
            </w:r>
          </w:p>
        </w:tc>
        <w:tc>
          <w:tcPr>
            <w:tcW w:type="dxa" w:w="7030"/>
          </w:tcPr>
          <w:p>
            <w:pPr>
              <w:spacing w:after="20"/>
            </w:pPr>
            <w:r/>
            <w:r>
              <w:rPr>
                <w:sz w:val="17"/>
              </w:rPr>
              <w:t>Nur bekannte Filterfelder werden gelesen; Datum gegen YYYY-MM-DD und Aktion gegen die Whitelist validiert, ungültige Werte werden verworfen</w:t>
            </w:r>
          </w:p>
        </w:tc>
      </w:tr>
      <w:tr>
        <w:tc>
          <w:tcPr>
            <w:tcW w:type="dxa" w:w="2608"/>
          </w:tcPr>
          <w:p>
            <w:pPr>
              <w:spacing w:after="20"/>
            </w:pPr>
            <w:r/>
            <w:r>
              <w:rPr>
                <w:sz w:val="17"/>
              </w:rPr>
              <w:t>Keine offene Weiterleitung</w:t>
            </w:r>
          </w:p>
        </w:tc>
        <w:tc>
          <w:tcPr>
            <w:tcW w:type="dxa" w:w="7030"/>
          </w:tcPr>
          <w:p>
            <w:pPr>
              <w:spacing w:after="20"/>
            </w:pPr>
            <w:r/>
            <w:r>
              <w:rPr>
                <w:sz w:val="17"/>
              </w:rPr>
              <w:t>Das Ziel nach dem Speichern wird aus geprüften Einzelwerten neu gebaut, nie aus einer mitgegebenen URL</w:t>
            </w:r>
          </w:p>
        </w:tc>
      </w:tr>
      <w:tr>
        <w:tc>
          <w:tcPr>
            <w:tcW w:type="dxa" w:w="2608"/>
          </w:tcPr>
          <w:p>
            <w:pPr>
              <w:spacing w:after="20"/>
            </w:pPr>
            <w:r/>
            <w:r>
              <w:rPr>
                <w:sz w:val="17"/>
              </w:rPr>
              <w:t>Sicherheitsheader</w:t>
            </w:r>
          </w:p>
        </w:tc>
        <w:tc>
          <w:tcPr>
            <w:tcW w:type="dxa" w:w="7030"/>
          </w:tcPr>
          <w:p>
            <w:pPr>
              <w:spacing w:after="20"/>
            </w:pPr>
            <w:r/>
            <w:r>
              <w:rPr>
                <w:sz w:val="17"/>
              </w:rPr>
              <w:t>X-Content-Type-Options, X-Frame-Options: DENY, Referrer-Policy, CSP default-src 'self'</w:t>
            </w:r>
          </w:p>
        </w:tc>
      </w:tr>
    </w:tbl>
    <w:p>
      <w:pPr>
        <w:spacing w:after="40"/>
      </w:pPr>
    </w:p>
    <w:p>
      <w:pPr>
        <w:pStyle w:val="Heading3"/>
      </w:pPr>
      <w:r>
        <w:t>2.4 Secrets und Netzwerk</w:t>
      </w:r>
    </w:p>
    <w:tbl>
      <w:tblPr>
        <w:tblStyle w:val="TableGrid"/>
        <w:tblW w:type="auto" w:w="0"/>
        <w:jc w:val="center"/>
        <w:tblLook w:firstColumn="1" w:firstRow="1" w:lastColumn="0" w:lastRow="0" w:noHBand="0" w:noVBand="1" w:val="04A0"/>
      </w:tblPr>
      <w:tblGrid>
        <w:gridCol w:w="4819"/>
        <w:gridCol w:w="4819"/>
      </w:tblGrid>
      <w:tr>
        <w:tc>
          <w:tcPr>
            <w:tcW w:type="dxa" w:w="2608"/>
            <w:shd w:val="clear" w:fill="DEEAF6"/>
          </w:tcPr>
          <w:p>
            <w:pPr>
              <w:spacing w:after="20"/>
            </w:pPr>
            <w:r/>
            <w:r>
              <w:rPr>
                <w:b/>
                <w:sz w:val="18"/>
              </w:rPr>
              <w:t>Anforderung</w:t>
            </w:r>
          </w:p>
        </w:tc>
        <w:tc>
          <w:tcPr>
            <w:tcW w:type="dxa" w:w="7030"/>
            <w:shd w:val="clear" w:fill="DEEAF6"/>
          </w:tcPr>
          <w:p>
            <w:pPr>
              <w:spacing w:after="20"/>
            </w:pPr>
            <w:r/>
            <w:r>
              <w:rPr>
                <w:b/>
                <w:sz w:val="18"/>
              </w:rPr>
              <w:t>Umsetzung</w:t>
            </w:r>
          </w:p>
        </w:tc>
      </w:tr>
      <w:tr>
        <w:tc>
          <w:tcPr>
            <w:tcW w:type="dxa" w:w="2608"/>
          </w:tcPr>
          <w:p>
            <w:pPr>
              <w:spacing w:after="20"/>
            </w:pPr>
            <w:r/>
            <w:r>
              <w:rPr>
                <w:sz w:val="17"/>
              </w:rPr>
              <w:t>Keine Secrets im Image</w:t>
            </w:r>
          </w:p>
        </w:tc>
        <w:tc>
          <w:tcPr>
            <w:tcW w:type="dxa" w:w="7030"/>
          </w:tcPr>
          <w:p>
            <w:pPr>
              <w:spacing w:after="20"/>
            </w:pPr>
            <w:r/>
            <w:r>
              <w:rPr>
                <w:sz w:val="17"/>
              </w:rPr>
              <w:t>Weder SECRET_KEY noch Benutzer im Image; beides über secretKeyRef</w:t>
            </w:r>
          </w:p>
        </w:tc>
      </w:tr>
      <w:tr>
        <w:tc>
          <w:tcPr>
            <w:tcW w:type="dxa" w:w="2608"/>
          </w:tcPr>
          <w:p>
            <w:pPr>
              <w:spacing w:after="20"/>
            </w:pPr>
            <w:r/>
            <w:r>
              <w:rPr>
                <w:sz w:val="17"/>
              </w:rPr>
              <w:t>Keine Secrets im Git</w:t>
            </w:r>
          </w:p>
        </w:tc>
        <w:tc>
          <w:tcPr>
            <w:tcW w:type="dxa" w:w="7030"/>
          </w:tcPr>
          <w:p>
            <w:pPr>
              <w:spacing w:after="20"/>
            </w:pPr>
            <w:r/>
            <w:r>
              <w:rPr>
                <w:sz w:val="17"/>
              </w:rPr>
              <w:t>k8s/make-secret.sh erzeugt das Secret zur Laufzeit; im Repo nur secret.example.yaml mit Platzhaltern</w:t>
            </w:r>
          </w:p>
        </w:tc>
      </w:tr>
      <w:tr>
        <w:tc>
          <w:tcPr>
            <w:tcW w:type="dxa" w:w="2608"/>
          </w:tcPr>
          <w:p>
            <w:pPr>
              <w:spacing w:after="20"/>
            </w:pPr>
            <w:r/>
            <w:r>
              <w:rPr>
                <w:sz w:val="17"/>
              </w:rPr>
              <w:t>Kein unsicherer Default in Prod</w:t>
            </w:r>
          </w:p>
        </w:tc>
        <w:tc>
          <w:tcPr>
            <w:tcW w:type="dxa" w:w="7030"/>
          </w:tcPr>
          <w:p>
            <w:pPr>
              <w:spacing w:after="20"/>
            </w:pPr>
            <w:r/>
            <w:r>
              <w:rPr>
                <w:sz w:val="17"/>
              </w:rPr>
              <w:t>Fehlt SECRET_KEY bei ZE_ENV=prod, startet die App gar nicht</w:t>
            </w:r>
          </w:p>
        </w:tc>
      </w:tr>
      <w:tr>
        <w:tc>
          <w:tcPr>
            <w:tcW w:type="dxa" w:w="2608"/>
          </w:tcPr>
          <w:p>
            <w:pPr>
              <w:spacing w:after="20"/>
            </w:pPr>
            <w:r/>
            <w:r>
              <w:rPr>
                <w:sz w:val="17"/>
              </w:rPr>
              <w:t>Begrenzte Exposition</w:t>
            </w:r>
          </w:p>
        </w:tc>
        <w:tc>
          <w:tcPr>
            <w:tcW w:type="dxa" w:w="7030"/>
          </w:tcPr>
          <w:p>
            <w:pPr>
              <w:spacing w:after="20"/>
            </w:pPr>
            <w:r/>
            <w:r>
              <w:rPr>
                <w:sz w:val="17"/>
              </w:rPr>
              <w:t>Prod nutzt ClusterIP statt NodePort; NetworkPolicy lässt nur den Ingress-Namespace auf Port 8080</w:t>
            </w:r>
          </w:p>
        </w:tc>
      </w:tr>
    </w:tbl>
    <w:p>
      <w:pPr>
        <w:spacing w:after="40"/>
      </w:pPr>
    </w:p>
    <w:p>
      <w:pPr>
        <w:pStyle w:val="Heading3"/>
      </w:pPr>
      <w:r>
        <w:t>2.5 Datenintegrität</w:t>
      </w:r>
    </w:p>
    <w:p>
      <w:r>
        <w:rPr>
          <w:b w:val="0"/>
          <w:i w:val="0"/>
        </w:rPr>
        <w:t>Schreibvorgänge sind append-only und laufen über flock (exklusiv) plus fsync. Damit kann ein SIGKILL mitten im Schreiben keine halbe Zeile hinterlassen, und parallele gunicorn-Worker überschreiben sich nicht. Defekte Zeilen werden beim Lesen übersprungen statt die App zum Absturz zu bringen – eine kaputte Zeile darf nicht die ganze Zeiterfassung blockieren.</w:t>
      </w:r>
    </w:p>
    <w:p>
      <w:r>
        <w:rPr>
          <w:b w:val="0"/>
          <w:i w:val="0"/>
        </w:rPr>
        <w:t>Auch Korrekturen durch den Admin überschreiben nichts. Eine Änderung wird als eigener Datensatz (type: correction) angehängt und erst beim Lesen auf den Originaleintrag angewendet; ein Entfernen ist ein type: delete-Datensatz. Damit bleibt jede Änderung an einer Arbeitszeit nachvollziehbar – wer sie wann gemacht hat, steht im Log und wird in der Admin-Ansicht angezeigt. Bei Arbeitszeiten ist das kein Detail, sondern die Voraussetzung dafür, dass die Erfassung überhaupt belastbar ist.</w:t>
      </w:r>
    </w:p>
    <w:p>
      <w:r>
        <w:rPr>
          <w:b w:val="0"/>
          <w:i w:val="0"/>
        </w:rPr>
        <w:t>Ein vom Admin nachgetragener Eintrag trägt zusätzlich created_by und wird in der Liste als Nachtrag ausgewiesen. So bleibt unterscheidbar, was der Mitarbeitende selbst gestempelt hat und was jemand für ihn eingetragen hat – etwa nach einer versehentlichen Löschung.</w:t>
      </w:r>
    </w:p>
    <w:p>
      <w:pPr>
        <w:pStyle w:val="Heading1"/>
      </w:pPr>
      <w:r>
        <w:t>3. Healthchecks</w:t>
      </w:r>
    </w:p>
    <w:p>
      <w:r>
        <w:rPr>
          <w:b w:val="0"/>
          <w:i w:val="0"/>
        </w:rPr>
        <w:t>Drei Probes mit klar getrennten Aufgaben: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fill="DEEAF6"/>
          </w:tcPr>
          <w:p>
            <w:pPr>
              <w:spacing w:after="20"/>
            </w:pPr>
            <w:r/>
            <w:r>
              <w:rPr>
                <w:b/>
                <w:sz w:val="18"/>
              </w:rPr>
              <w:t>Probe</w:t>
            </w:r>
          </w:p>
        </w:tc>
        <w:tc>
          <w:tcPr>
            <w:tcW w:type="dxa" w:w="1247"/>
            <w:shd w:val="clear" w:fill="DEEAF6"/>
          </w:tcPr>
          <w:p>
            <w:pPr>
              <w:spacing w:after="20"/>
            </w:pPr>
            <w:r/>
            <w:r>
              <w:rPr>
                <w:b/>
                <w:sz w:val="18"/>
              </w:rPr>
              <w:t>Endpunkt</w:t>
            </w:r>
          </w:p>
        </w:tc>
        <w:tc>
          <w:tcPr>
            <w:tcW w:type="dxa" w:w="2835"/>
            <w:shd w:val="clear" w:fill="DEEAF6"/>
          </w:tcPr>
          <w:p>
            <w:pPr>
              <w:spacing w:after="20"/>
            </w:pPr>
            <w:r/>
            <w:r>
              <w:rPr>
                <w:b/>
                <w:sz w:val="18"/>
              </w:rPr>
              <w:t>Prüft</w:t>
            </w:r>
          </w:p>
        </w:tc>
        <w:tc>
          <w:tcPr>
            <w:tcW w:type="dxa" w:w="3855"/>
            <w:shd w:val="clear" w:fill="DEEAF6"/>
          </w:tcPr>
          <w:p>
            <w:pPr>
              <w:spacing w:after="20"/>
            </w:pPr>
            <w:r/>
            <w:r>
              <w:rPr>
                <w:b/>
                <w:sz w:val="18"/>
              </w:rPr>
              <w:t>Reaktion bei Fehler</w:t>
            </w:r>
          </w:p>
        </w:tc>
      </w:tr>
      <w:tr>
        <w:tc>
          <w:tcPr>
            <w:tcW w:type="dxa" w:w="1701"/>
          </w:tcPr>
          <w:p>
            <w:pPr>
              <w:spacing w:after="20"/>
            </w:pPr>
            <w:r/>
            <w:r>
              <w:rPr>
                <w:sz w:val="17"/>
              </w:rPr>
              <w:t>startupProbe</w:t>
            </w:r>
          </w:p>
        </w:tc>
        <w:tc>
          <w:tcPr>
            <w:tcW w:type="dxa" w:w="1247"/>
          </w:tcPr>
          <w:p>
            <w:pPr>
              <w:spacing w:after="20"/>
            </w:pPr>
            <w:r/>
            <w:r>
              <w:rPr>
                <w:sz w:val="17"/>
              </w:rPr>
              <w:t>/health</w:t>
            </w:r>
          </w:p>
        </w:tc>
        <w:tc>
          <w:tcPr>
            <w:tcW w:type="dxa" w:w="2835"/>
          </w:tcPr>
          <w:p>
            <w:pPr>
              <w:spacing w:after="20"/>
            </w:pPr>
            <w:r/>
            <w:r>
              <w:rPr>
                <w:sz w:val="17"/>
              </w:rPr>
              <w:t>Prozess ist hochgefahren</w:t>
            </w:r>
          </w:p>
        </w:tc>
        <w:tc>
          <w:tcPr>
            <w:tcW w:type="dxa" w:w="3855"/>
          </w:tcPr>
          <w:p>
            <w:pPr>
              <w:spacing w:after="20"/>
            </w:pPr>
            <w:r/>
            <w:r>
              <w:rPr>
                <w:sz w:val="17"/>
              </w:rPr>
              <w:t>Bis zu 30 s Anlaufzeit, erst danach wird Liveness scharf</w:t>
            </w:r>
          </w:p>
        </w:tc>
      </w:tr>
      <w:tr>
        <w:tc>
          <w:tcPr>
            <w:tcW w:type="dxa" w:w="1701"/>
          </w:tcPr>
          <w:p>
            <w:pPr>
              <w:spacing w:after="20"/>
            </w:pPr>
            <w:r/>
            <w:r>
              <w:rPr>
                <w:sz w:val="17"/>
              </w:rPr>
              <w:t>livenessProbe</w:t>
            </w:r>
          </w:p>
        </w:tc>
        <w:tc>
          <w:tcPr>
            <w:tcW w:type="dxa" w:w="1247"/>
          </w:tcPr>
          <w:p>
            <w:pPr>
              <w:spacing w:after="20"/>
            </w:pPr>
            <w:r/>
            <w:r>
              <w:rPr>
                <w:sz w:val="17"/>
              </w:rPr>
              <w:t>/health</w:t>
            </w:r>
          </w:p>
        </w:tc>
        <w:tc>
          <w:tcPr>
            <w:tcW w:type="dxa" w:w="2835"/>
          </w:tcPr>
          <w:p>
            <w:pPr>
              <w:spacing w:after="20"/>
            </w:pPr>
            <w:r/>
            <w:r>
              <w:rPr>
                <w:sz w:val="17"/>
              </w:rPr>
              <w:t>Prozess reagiert überhaupt</w:t>
            </w:r>
          </w:p>
        </w:tc>
        <w:tc>
          <w:tcPr>
            <w:tcW w:type="dxa" w:w="3855"/>
          </w:tcPr>
          <w:p>
            <w:pPr>
              <w:spacing w:after="20"/>
            </w:pPr>
            <w:r/>
            <w:r>
              <w:rPr>
                <w:sz w:val="17"/>
              </w:rPr>
              <w:t>Pod-Neustart nach 3 Fehlversuchen</w:t>
            </w:r>
          </w:p>
        </w:tc>
      </w:tr>
      <w:tr>
        <w:tc>
          <w:tcPr>
            <w:tcW w:type="dxa" w:w="1701"/>
          </w:tcPr>
          <w:p>
            <w:pPr>
              <w:spacing w:after="20"/>
            </w:pPr>
            <w:r/>
            <w:r>
              <w:rPr>
                <w:sz w:val="17"/>
              </w:rPr>
              <w:t>readinessProbe</w:t>
            </w:r>
          </w:p>
        </w:tc>
        <w:tc>
          <w:tcPr>
            <w:tcW w:type="dxa" w:w="1247"/>
          </w:tcPr>
          <w:p>
            <w:pPr>
              <w:spacing w:after="20"/>
            </w:pPr>
            <w:r/>
            <w:r>
              <w:rPr>
                <w:sz w:val="17"/>
              </w:rPr>
              <w:t>/ready</w:t>
            </w:r>
          </w:p>
        </w:tc>
        <w:tc>
          <w:tcPr>
            <w:tcW w:type="dxa" w:w="2835"/>
          </w:tcPr>
          <w:p>
            <w:pPr>
              <w:spacing w:after="20"/>
            </w:pPr>
            <w:r/>
            <w:r>
              <w:rPr>
                <w:sz w:val="17"/>
              </w:rPr>
              <w:t>/data ist wirklich beschreibbar</w:t>
            </w:r>
          </w:p>
        </w:tc>
        <w:tc>
          <w:tcPr>
            <w:tcW w:type="dxa" w:w="3855"/>
          </w:tcPr>
          <w:p>
            <w:pPr>
              <w:spacing w:after="20"/>
            </w:pPr>
            <w:r/>
            <w:r>
              <w:rPr>
                <w:sz w:val="17"/>
              </w:rPr>
              <w:t>Pod aus dem Service genommen, KEIN Neustart</w:t>
            </w:r>
          </w:p>
        </w:tc>
      </w:tr>
    </w:tbl>
    <w:p>
      <w:pPr>
        <w:spacing w:after="40"/>
      </w:pPr>
    </w:p>
    <w:p>
      <w:pPr>
        <w:pStyle w:val="Heading2"/>
      </w:pPr>
      <w:r>
        <w:t>Warum zwei getrennte Endpunkte?</w:t>
      </w:r>
    </w:p>
    <w:p>
      <w:r>
        <w:rPr>
          <w:b w:val="0"/>
          <w:i w:val="0"/>
        </w:rPr>
        <w:t>/health macht bewusst kein I/O und antwortet immer 200, solange der Prozess lebt. /ready schreibt und löscht testweise /data/.ready und liefert 503, wenn das scheitert.</w:t>
      </w:r>
    </w:p>
    <w:p>
      <w:r>
        <w:rPr>
          <w:b w:val="0"/>
          <w:i w:val="0"/>
        </w:rPr>
        <w:t>Der Unterschied ist entscheidend: Wäre die Liveness-Probe an das Volume gekoppelt, würde ein volles oder falsch berechtigtes PVC den Pod in einen CrashLoopBackOff treiben – Kubernetes würde endlos neu starten, obwohl ein Neustart das Speicherproblem nicht löst. So bleibt der Pod am Leben, verschwindet aber aus dem Service, und kubectl describe zeigt die echte Ursache. Genau das Fehlerbild aus der Übung (ERROR: Permission denied: /data/times.jsonl) wird damit diagnostizierbar statt zur Neustartschleife.</w:t>
      </w:r>
    </w:p>
    <w:p>
      <w:r>
        <w:rPr>
          <w:b w:val="0"/>
          <w:i w:val="0"/>
        </w:rPr>
        <w:t>startupProbe entkoppelt die Anlaufzeit von der Überwachung: langsamer Start führt nicht zu einem Neustart, ein späteres Hängen aber sehr wohl.</w:t>
      </w:r>
    </w:p>
    <w:p>
      <w:r>
        <w:rPr>
          <w:b w:val="0"/>
          <w:i w:val="0"/>
        </w:rPr>
        <w:t>Rollout-Strategie – Das Deployment nutzt strategy: Recreate. Der PVC ist ReadWriteOnce; bei einem RollingUpdate würde der neue Pod auf den Claim warten, den der alte noch hält, und der Rollout bliebe hängen.</w:t>
      </w:r>
    </w:p>
    <w:p>
      <w:pPr>
        <w:pStyle w:val="Heading1"/>
      </w:pPr>
      <w:r>
        <w:t>4. Nachweis</w:t>
      </w:r>
    </w:p>
    <w:p>
      <w:r>
        <w:rPr>
          <w:b w:val="0"/>
          <w:i w:val="0"/>
        </w:rPr>
        <w:t>Automatisierte Tests – python3 app/test_app.py, 95 Tests, 0 Fehler: Health/Ready, Login inkl. Fehlversuch, CSRF-Ablehnung, alle vier Übergänge, unerlaubter Doppelübergang (409), unbekannte Aktion (400), JSONL-Persistenz, XSS-Escaping, Längenbegrenzung, RBAC (user → 403, admin → 200), Sicherheitsheader, /ready → 503 bei kaputtem Datenpfad bei gleichzeitig weiterhin gesundem /health, Admin-Korrekturen inklusive Nachweis, dass das Log wächst statt überschrieben zu werden, Nachträge mit Kennzeichnung sowie alle Filter einzeln und kombiniert.</w:t>
      </w:r>
    </w:p>
    <w:p>
      <w:r>
        <w:rPr>
          <w:b w:val="0"/>
          <w:i w:val="0"/>
        </w:rPr>
        <w:t>Persistenz-Nachweis im Cluster – Stempelung erzeugt, danach:</w:t>
      </w:r>
    </w:p>
    <w:p>
      <w:pPr>
        <w:spacing w:before="40" w:after="100"/>
        <w:ind w:left="227"/>
      </w:pPr>
      <w:r>
        <w:rPr>
          <w:rFonts w:ascii="Consolas" w:hAnsi="Consolas"/>
          <w:sz w:val="17"/>
        </w:rPr>
        <w:t>kubectl -n ze-dev delete pod -l app=zeiterfassung</w:t>
        <w:br/>
      </w:r>
      <w:r>
        <w:rPr>
          <w:rFonts w:ascii="Consolas" w:hAnsi="Consolas"/>
          <w:sz w:val="17"/>
        </w:rPr>
        <w:t>kubectl -n ze-dev get pods     # neuer Pod-Name: …-rlhv7 statt …-jcbnh</w:t>
        <w:br/>
      </w:r>
      <w:r>
        <w:rPr>
          <w:rFonts w:ascii="Consolas" w:hAnsi="Consolas"/>
          <w:sz w:val="17"/>
        </w:rPr>
        <w:t>kubectl -n ze-dev exec deploy/zeiterfassung -- cat /data/times.jsonl   # Daten unverändert</w:t>
      </w:r>
    </w:p>
    <w:p>
      <w:r>
        <w:rPr>
          <w:b w:val="0"/>
          <w:i w:val="0"/>
        </w:rPr>
        <w:t>Manifeste – kubectl kustomize k8s/overlays/dev und …/prod rendern fehlerfrei; prod zusätzlich serverseitig validiert (kubectl apply -k --dry-run=server). Die Overlays unterscheiden sich in Replicas, Service-Typ, Image und Namespace wie geplant.</w:t>
      </w:r>
    </w:p>
    <w:p>
      <w:pPr>
        <w:pStyle w:val="Heading1"/>
      </w:pPr>
      <w:r>
        <w:t>5. Bekannte Grenzen</w:t>
      </w:r>
    </w:p>
    <w:p>
      <w:r>
        <w:rPr>
          <w:b w:val="0"/>
          <w:i/>
          <w:sz w:val="18"/>
        </w:rPr>
        <w:t>Ehrlich benannt, statt sie zu verstecken:</w:t>
      </w:r>
    </w:p>
    <w:p>
      <w:pPr>
        <w:pStyle w:val="ListBullet"/>
        <w:spacing w:after="40"/>
      </w:pPr>
      <w:r>
        <w:t>ReadWriteOnce mit 3 Replicas in Prod ist nur auf einem Single-Node-Cluster wie Minikube tragfähig. Sauber wäre ein ReadWriteMany-Volume oder – besser – eine echte Datenbank statt einer Datei.</w:t>
      </w:r>
    </w:p>
    <w:p>
      <w:pPr>
        <w:pStyle w:val="ListBullet"/>
        <w:spacing w:after="40"/>
      </w:pPr>
      <w:r>
        <w:t>JSONL ist keine Datenbank. Für den Kursumfang passend, aber ohne Indizes und Transaktionen; bei vielen Mitarbeitenden wird das Lesen linear teuer.</w:t>
      </w:r>
    </w:p>
    <w:p>
      <w:pPr>
        <w:pStyle w:val="ListBullet"/>
        <w:spacing w:after="40"/>
      </w:pPr>
      <w:r>
        <w:t>Die Zeitzone ist fest auf Europe/Zurich. Für einen Betrieb über mehrere Länder müsste sie pro Benutzer hinterlegt werden.</w:t>
      </w:r>
    </w:p>
    <w:p>
      <w:pPr>
        <w:pStyle w:val="ListBullet"/>
        <w:spacing w:after="40"/>
      </w:pPr>
      <w:r>
        <w:t>Kein TLS im Cluster. Verschlüsselung gehört an den Ingress; deshalb ist SESSION_COOKIE_SECURE in Prod aktiv und setzt HTTPS davor voraus.</w:t>
      </w:r>
    </w:p>
    <w:p>
      <w:pPr>
        <w:pStyle w:val="ListBullet"/>
        <w:spacing w:after="40"/>
      </w:pPr>
      <w:r>
        <w:t>Die Login-Bremse ist prozesslokal. Bei mehreren Replicas zählt jeder Pod eigene Fehlversuche; produktiv gehörte das in einen gemeinsamen Speicher.</w:t>
      </w:r>
    </w:p>
    <w:p>
      <w:pPr>
        <w:pStyle w:val="ListBullet"/>
        <w:spacing w:after="40"/>
      </w:pPr>
      <w:r>
        <w:t>Nachträge prüfen die Reihenfolge nicht. Ein Admin kann bewusst ein zweites EIN einfügen, ohne dass der Zustandsautomat das verhindert – sonst liesse sich eine kaputte Folge gar nicht erst reparieren. Eine Plausibilitätsprüfung über den ganzen Tag gibt es nicht.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E5496"/>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E549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