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1974" w14:textId="77777777" w:rsidR="0075651D" w:rsidRDefault="0075651D" w:rsidP="0075651D">
      <w:pPr>
        <w:rPr>
          <w:rFonts w:ascii="Calibri" w:eastAsia="Times New Roman" w:hAnsi="Calibri" w:cs="Calibri"/>
          <w:color w:val="000000"/>
          <w:kern w:val="0"/>
          <w14:ligatures w14:val="none"/>
        </w:rPr>
      </w:pPr>
      <w:r w:rsidRPr="0075651D">
        <w:rPr>
          <w:rFonts w:ascii="Calibri" w:eastAsia="Times New Roman" w:hAnsi="Calibri" w:cs="Calibri"/>
          <w:color w:val="000000"/>
          <w:kern w:val="0"/>
          <w14:ligatures w14:val="none"/>
        </w:rPr>
        <w:tab/>
      </w:r>
    </w:p>
    <w:p w14:paraId="14E6F33C" w14:textId="6EE0331F" w:rsidR="0075651D" w:rsidRDefault="0075651D" w:rsidP="0075651D">
      <w:pPr>
        <w:rPr>
          <w:rFonts w:ascii="Calibri" w:eastAsia="Times New Roman" w:hAnsi="Calibri" w:cs="Calibri"/>
          <w:color w:val="000000"/>
          <w:kern w:val="0"/>
          <w14:ligatures w14:val="none"/>
        </w:rPr>
      </w:pPr>
    </w:p>
    <w:p w14:paraId="4B41FAC4" w14:textId="124B5EE0" w:rsidR="0075651D" w:rsidRDefault="0075651D">
      <w:pPr>
        <w:rPr>
          <w:rFonts w:ascii="Calibri" w:eastAsia="Times New Roman" w:hAnsi="Calibri" w:cs="Calibri"/>
          <w:color w:val="000000"/>
          <w:kern w:val="0"/>
          <w14:ligatures w14:val="none"/>
        </w:rPr>
      </w:pPr>
    </w:p>
    <w:p w14:paraId="39E523C3" w14:textId="77777777" w:rsidR="0075651D" w:rsidRDefault="0075651D">
      <w:pPr>
        <w:rPr>
          <w:rFonts w:ascii="Calibri" w:eastAsia="Times New Roman" w:hAnsi="Calibri" w:cs="Calibri"/>
          <w:color w:val="000000"/>
          <w:kern w:val="0"/>
          <w14:ligatures w14:val="none"/>
        </w:rPr>
      </w:pPr>
    </w:p>
    <w:p w14:paraId="725426FA" w14:textId="77777777" w:rsidR="0075651D" w:rsidRDefault="0075651D">
      <w:pPr>
        <w:rPr>
          <w:rFonts w:ascii="Calibri" w:eastAsia="Times New Roman" w:hAnsi="Calibri" w:cs="Calibri"/>
          <w:color w:val="000000"/>
          <w:kern w:val="0"/>
          <w14:ligatures w14:val="none"/>
        </w:rPr>
      </w:pPr>
    </w:p>
    <w:p w14:paraId="39159E60" w14:textId="77777777" w:rsidR="0075651D" w:rsidRDefault="0075651D">
      <w:pPr>
        <w:rPr>
          <w:rFonts w:ascii="Calibri" w:eastAsia="Times New Roman" w:hAnsi="Calibri" w:cs="Calibri"/>
          <w:color w:val="000000"/>
          <w:kern w:val="0"/>
          <w14:ligatures w14:val="none"/>
        </w:rPr>
      </w:pPr>
    </w:p>
    <w:p w14:paraId="2A3AA525" w14:textId="77777777" w:rsidR="0075651D" w:rsidRDefault="0075651D">
      <w:pPr>
        <w:rPr>
          <w:rFonts w:ascii="Calibri" w:eastAsia="Times New Roman" w:hAnsi="Calibri" w:cs="Calibri"/>
          <w:color w:val="000000"/>
          <w:kern w:val="0"/>
          <w14:ligatures w14:val="none"/>
        </w:rPr>
      </w:pPr>
    </w:p>
    <w:p w14:paraId="7DEEB01F" w14:textId="77777777" w:rsidR="0075651D" w:rsidRDefault="0075651D">
      <w:pPr>
        <w:rPr>
          <w:rFonts w:ascii="Calibri" w:eastAsia="Times New Roman" w:hAnsi="Calibri" w:cs="Calibri"/>
          <w:b/>
          <w:bCs/>
          <w:color w:val="000000"/>
          <w:kern w:val="0"/>
          <w14:ligatures w14:val="none"/>
        </w:rPr>
      </w:pPr>
    </w:p>
    <w:p w14:paraId="50A2D9EA" w14:textId="77777777" w:rsidR="0075651D" w:rsidRDefault="0075651D">
      <w:pPr>
        <w:rPr>
          <w:rFonts w:ascii="Calibri" w:eastAsia="Times New Roman" w:hAnsi="Calibri" w:cs="Calibri"/>
          <w:b/>
          <w:bCs/>
          <w:color w:val="000000"/>
          <w:kern w:val="0"/>
          <w14:ligatures w14:val="none"/>
        </w:rPr>
      </w:pPr>
    </w:p>
    <w:p w14:paraId="0D1FEE71" w14:textId="77777777" w:rsidR="0075651D" w:rsidRDefault="0075651D">
      <w:pPr>
        <w:rPr>
          <w:rFonts w:ascii="Calibri" w:eastAsia="Times New Roman" w:hAnsi="Calibri" w:cs="Calibri"/>
          <w:b/>
          <w:bCs/>
          <w:color w:val="000000"/>
          <w:kern w:val="0"/>
          <w14:ligatures w14:val="none"/>
        </w:rPr>
      </w:pPr>
    </w:p>
    <w:p w14:paraId="4EF7D65C" w14:textId="77777777" w:rsidR="0075651D" w:rsidRPr="0075651D" w:rsidRDefault="0075651D">
      <w:pPr>
        <w:rPr>
          <w:rFonts w:ascii="Calibri" w:eastAsia="Times New Roman" w:hAnsi="Calibri" w:cs="Calibri"/>
          <w:b/>
          <w:bCs/>
          <w:color w:val="000000"/>
          <w:kern w:val="0"/>
          <w14:ligatures w14:val="none"/>
        </w:rPr>
      </w:pPr>
    </w:p>
    <w:p w14:paraId="738DBDBE" w14:textId="1C0A0756" w:rsidR="0075651D" w:rsidRPr="0075651D" w:rsidRDefault="00A5214A" w:rsidP="0075651D">
      <w:pPr>
        <w:jc w:val="center"/>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Effects</w:t>
      </w:r>
      <w:r w:rsidR="0075651D">
        <w:rPr>
          <w:rFonts w:ascii="Calibri" w:eastAsia="Times New Roman" w:hAnsi="Calibri" w:cs="Calibri"/>
          <w:b/>
          <w:bCs/>
          <w:color w:val="000000"/>
          <w:kern w:val="0"/>
          <w:sz w:val="28"/>
          <w:szCs w:val="28"/>
          <w14:ligatures w14:val="none"/>
        </w:rPr>
        <w:t xml:space="preserve"> of Change Susceptibility</w:t>
      </w:r>
      <w:r w:rsidR="0075651D" w:rsidRPr="0075651D">
        <w:rPr>
          <w:rFonts w:ascii="Calibri" w:eastAsia="Times New Roman" w:hAnsi="Calibri" w:cs="Calibri"/>
          <w:b/>
          <w:bCs/>
          <w:color w:val="000000"/>
          <w:kern w:val="0"/>
          <w:sz w:val="28"/>
          <w:szCs w:val="28"/>
          <w14:ligatures w14:val="none"/>
        </w:rPr>
        <w:t xml:space="preserve"> on BSR Insurance’s Health Intervention </w:t>
      </w:r>
    </w:p>
    <w:p w14:paraId="1048E52A" w14:textId="77777777" w:rsidR="0075651D" w:rsidRDefault="0075651D" w:rsidP="0075651D">
      <w:pPr>
        <w:jc w:val="center"/>
        <w:rPr>
          <w:rFonts w:ascii="Calibri" w:eastAsia="Times New Roman" w:hAnsi="Calibri" w:cs="Calibri"/>
          <w:b/>
          <w:bCs/>
          <w:color w:val="000000" w:themeColor="text1"/>
          <w:kern w:val="0"/>
          <w14:ligatures w14:val="none"/>
        </w:rPr>
      </w:pPr>
    </w:p>
    <w:p w14:paraId="36036EFB" w14:textId="77777777" w:rsidR="0075651D" w:rsidRDefault="0075651D" w:rsidP="0075651D">
      <w:pPr>
        <w:jc w:val="center"/>
        <w:rPr>
          <w:rFonts w:ascii="Calibri" w:eastAsia="Times New Roman" w:hAnsi="Calibri" w:cs="Calibri"/>
          <w:b/>
          <w:bCs/>
          <w:color w:val="000000" w:themeColor="text1"/>
          <w:kern w:val="0"/>
          <w14:ligatures w14:val="none"/>
        </w:rPr>
      </w:pPr>
    </w:p>
    <w:p w14:paraId="7DC067AA" w14:textId="77777777" w:rsidR="0075651D" w:rsidRDefault="0075651D" w:rsidP="0075651D">
      <w:pPr>
        <w:jc w:val="center"/>
        <w:rPr>
          <w:rFonts w:ascii="Calibri" w:eastAsia="Times New Roman" w:hAnsi="Calibri" w:cs="Calibri"/>
          <w:b/>
          <w:bCs/>
          <w:color w:val="000000" w:themeColor="text1"/>
          <w:kern w:val="0"/>
          <w14:ligatures w14:val="none"/>
        </w:rPr>
      </w:pPr>
    </w:p>
    <w:p w14:paraId="51514B1D" w14:textId="77777777" w:rsidR="0075651D" w:rsidRDefault="0075651D" w:rsidP="0075651D">
      <w:pPr>
        <w:jc w:val="center"/>
        <w:rPr>
          <w:rFonts w:ascii="Calibri" w:eastAsia="Times New Roman" w:hAnsi="Calibri" w:cs="Calibri"/>
          <w:b/>
          <w:bCs/>
          <w:color w:val="000000" w:themeColor="text1"/>
          <w:kern w:val="0"/>
          <w14:ligatures w14:val="none"/>
        </w:rPr>
      </w:pPr>
    </w:p>
    <w:p w14:paraId="27674C4A" w14:textId="77777777" w:rsidR="0075651D" w:rsidRDefault="0075651D" w:rsidP="0075651D">
      <w:pPr>
        <w:jc w:val="center"/>
        <w:rPr>
          <w:rFonts w:ascii="Calibri" w:eastAsia="Times New Roman" w:hAnsi="Calibri" w:cs="Calibri"/>
          <w:b/>
          <w:bCs/>
          <w:color w:val="000000" w:themeColor="text1"/>
          <w:kern w:val="0"/>
          <w14:ligatures w14:val="none"/>
        </w:rPr>
      </w:pPr>
    </w:p>
    <w:p w14:paraId="633C3A38" w14:textId="77777777" w:rsidR="0075651D" w:rsidRDefault="0075651D" w:rsidP="0075651D">
      <w:pPr>
        <w:jc w:val="center"/>
        <w:rPr>
          <w:rFonts w:ascii="Calibri" w:eastAsia="Times New Roman" w:hAnsi="Calibri" w:cs="Calibri"/>
          <w:b/>
          <w:bCs/>
          <w:color w:val="000000" w:themeColor="text1"/>
          <w:kern w:val="0"/>
          <w14:ligatures w14:val="none"/>
        </w:rPr>
      </w:pPr>
    </w:p>
    <w:p w14:paraId="43C122B7" w14:textId="77777777" w:rsidR="0075651D" w:rsidRPr="0075651D" w:rsidRDefault="0075651D" w:rsidP="0075651D">
      <w:pPr>
        <w:jc w:val="center"/>
        <w:rPr>
          <w:rFonts w:ascii="Calibri" w:eastAsia="Times New Roman" w:hAnsi="Calibri" w:cs="Calibri"/>
          <w:b/>
          <w:bCs/>
          <w:color w:val="000000" w:themeColor="text1"/>
          <w:kern w:val="0"/>
          <w14:ligatures w14:val="none"/>
        </w:rPr>
      </w:pPr>
    </w:p>
    <w:p w14:paraId="50409765" w14:textId="635DA33D" w:rsidR="0075651D" w:rsidRPr="0075651D" w:rsidRDefault="0075651D" w:rsidP="0075651D">
      <w:pPr>
        <w:jc w:val="center"/>
        <w:rPr>
          <w:rFonts w:ascii="Calibri" w:eastAsia="Times New Roman" w:hAnsi="Calibri" w:cs="Calibri"/>
          <w:color w:val="000000" w:themeColor="text1"/>
          <w:kern w:val="0"/>
          <w:sz w:val="22"/>
          <w:szCs w:val="22"/>
          <w14:ligatures w14:val="none"/>
        </w:rPr>
      </w:pPr>
      <w:r w:rsidRPr="0075651D">
        <w:rPr>
          <w:rFonts w:ascii="Calibri" w:eastAsia="Times New Roman" w:hAnsi="Calibri" w:cs="Calibri"/>
          <w:color w:val="000000" w:themeColor="text1"/>
          <w:kern w:val="0"/>
          <w:sz w:val="22"/>
          <w:szCs w:val="22"/>
          <w14:ligatures w14:val="none"/>
        </w:rPr>
        <w:t xml:space="preserve">Kathryn Anderson, </w:t>
      </w:r>
      <w:proofErr w:type="spellStart"/>
      <w:r w:rsidRPr="0075651D">
        <w:rPr>
          <w:rFonts w:ascii="Calibri" w:eastAsia="Times New Roman" w:hAnsi="Calibri" w:cs="Calibri"/>
          <w:color w:val="000000" w:themeColor="text1"/>
          <w:kern w:val="0"/>
          <w:sz w:val="22"/>
          <w:szCs w:val="22"/>
          <w14:ligatures w14:val="none"/>
        </w:rPr>
        <w:t>Kirubel</w:t>
      </w:r>
      <w:proofErr w:type="spellEnd"/>
      <w:r w:rsidRPr="0075651D">
        <w:rPr>
          <w:rFonts w:ascii="Calibri" w:eastAsia="Times New Roman" w:hAnsi="Calibri" w:cs="Calibri"/>
          <w:color w:val="000000" w:themeColor="text1"/>
          <w:kern w:val="0"/>
          <w:sz w:val="22"/>
          <w:szCs w:val="22"/>
          <w14:ligatures w14:val="none"/>
        </w:rPr>
        <w:t xml:space="preserve"> Bekele, </w:t>
      </w:r>
      <w:proofErr w:type="spellStart"/>
      <w:r w:rsidRPr="0075651D">
        <w:rPr>
          <w:rFonts w:ascii="Calibri" w:eastAsia="Times New Roman" w:hAnsi="Calibri" w:cs="Calibri"/>
          <w:color w:val="000000" w:themeColor="text1"/>
          <w:kern w:val="0"/>
          <w:sz w:val="22"/>
          <w:szCs w:val="22"/>
          <w14:ligatures w14:val="none"/>
        </w:rPr>
        <w:t>Novleen</w:t>
      </w:r>
      <w:proofErr w:type="spellEnd"/>
      <w:r w:rsidRPr="0075651D">
        <w:rPr>
          <w:rFonts w:ascii="Calibri" w:eastAsia="Times New Roman" w:hAnsi="Calibri" w:cs="Calibri"/>
          <w:color w:val="000000" w:themeColor="text1"/>
          <w:kern w:val="0"/>
          <w:sz w:val="22"/>
          <w:szCs w:val="22"/>
          <w14:ligatures w14:val="none"/>
        </w:rPr>
        <w:t xml:space="preserve"> Cheema, Thomas Hoover &amp; Will </w:t>
      </w:r>
      <w:proofErr w:type="spellStart"/>
      <w:r w:rsidRPr="0075651D">
        <w:rPr>
          <w:rFonts w:ascii="Calibri" w:eastAsia="Times New Roman" w:hAnsi="Calibri" w:cs="Calibri"/>
          <w:color w:val="000000" w:themeColor="text1"/>
          <w:kern w:val="0"/>
          <w:sz w:val="22"/>
          <w:szCs w:val="22"/>
          <w14:ligatures w14:val="none"/>
        </w:rPr>
        <w:t>Salvi</w:t>
      </w:r>
      <w:proofErr w:type="spellEnd"/>
      <w:r w:rsidRPr="0075651D">
        <w:rPr>
          <w:rFonts w:ascii="Calibri" w:eastAsia="Times New Roman" w:hAnsi="Calibri" w:cs="Calibri"/>
          <w:color w:val="000000" w:themeColor="text1"/>
          <w:kern w:val="0"/>
          <w:sz w:val="22"/>
          <w:szCs w:val="22"/>
          <w14:ligatures w14:val="none"/>
        </w:rPr>
        <w:t xml:space="preserve"> </w:t>
      </w:r>
    </w:p>
    <w:p w14:paraId="3BB23CF7" w14:textId="77777777" w:rsidR="0075651D" w:rsidRPr="0075651D" w:rsidRDefault="0075651D" w:rsidP="0075651D">
      <w:pPr>
        <w:rPr>
          <w:rFonts w:ascii="Calibri" w:eastAsia="Times New Roman" w:hAnsi="Calibri" w:cs="Calibri"/>
          <w:color w:val="000000" w:themeColor="text1"/>
          <w:kern w:val="0"/>
          <w14:ligatures w14:val="none"/>
        </w:rPr>
      </w:pPr>
    </w:p>
    <w:p w14:paraId="3DBB4E7E" w14:textId="7EB6C037" w:rsidR="0075651D" w:rsidRPr="0075651D" w:rsidRDefault="0075651D" w:rsidP="0075651D">
      <w:pPr>
        <w:jc w:val="center"/>
        <w:rPr>
          <w:rFonts w:ascii="Calibri" w:eastAsia="Times New Roman" w:hAnsi="Calibri" w:cs="Calibri"/>
          <w:color w:val="000000" w:themeColor="text1"/>
          <w:kern w:val="0"/>
          <w:sz w:val="20"/>
          <w:szCs w:val="20"/>
          <w14:ligatures w14:val="none"/>
        </w:rPr>
      </w:pPr>
      <w:r w:rsidRPr="0075651D">
        <w:rPr>
          <w:rFonts w:ascii="Calibri" w:eastAsia="Times New Roman" w:hAnsi="Calibri" w:cs="Calibri"/>
          <w:color w:val="000000" w:themeColor="text1"/>
          <w:kern w:val="0"/>
          <w:sz w:val="20"/>
          <w:szCs w:val="20"/>
          <w14:ligatures w14:val="none"/>
        </w:rPr>
        <w:t>MGMT 6600 – Using Data to Lead Change</w:t>
      </w:r>
    </w:p>
    <w:p w14:paraId="4047F953" w14:textId="171AC755" w:rsidR="0075651D" w:rsidRDefault="0075651D" w:rsidP="0075651D">
      <w:pPr>
        <w:jc w:val="center"/>
        <w:rPr>
          <w:rFonts w:ascii="Calibri" w:eastAsia="Times New Roman" w:hAnsi="Calibri" w:cs="Calibri"/>
          <w:color w:val="000000" w:themeColor="text1"/>
          <w:kern w:val="0"/>
          <w:sz w:val="20"/>
          <w:szCs w:val="20"/>
          <w14:ligatures w14:val="none"/>
        </w:rPr>
      </w:pPr>
      <w:r w:rsidRPr="0075651D">
        <w:rPr>
          <w:rFonts w:ascii="Calibri" w:eastAsia="Times New Roman" w:hAnsi="Calibri" w:cs="Calibri"/>
          <w:color w:val="000000" w:themeColor="text1"/>
          <w:kern w:val="0"/>
          <w:sz w:val="20"/>
          <w:szCs w:val="20"/>
          <w14:ligatures w14:val="none"/>
        </w:rPr>
        <w:t>OPAN 6600 – Visualization and Storytelling</w:t>
      </w:r>
    </w:p>
    <w:p w14:paraId="2413A865" w14:textId="77777777" w:rsidR="0075651D" w:rsidRDefault="0075651D" w:rsidP="0075651D">
      <w:pPr>
        <w:jc w:val="center"/>
        <w:rPr>
          <w:rFonts w:ascii="Calibri" w:eastAsia="Times New Roman" w:hAnsi="Calibri" w:cs="Calibri"/>
          <w:color w:val="000000" w:themeColor="text1"/>
          <w:kern w:val="0"/>
          <w:sz w:val="20"/>
          <w:szCs w:val="20"/>
          <w14:ligatures w14:val="none"/>
        </w:rPr>
      </w:pPr>
    </w:p>
    <w:p w14:paraId="4986CE73" w14:textId="1925B20A" w:rsidR="0075651D" w:rsidRPr="0075651D" w:rsidRDefault="0075651D" w:rsidP="0075651D">
      <w:pPr>
        <w:jc w:val="center"/>
        <w:rPr>
          <w:rFonts w:ascii="Calibri" w:eastAsia="Times New Roman" w:hAnsi="Calibri" w:cs="Calibri"/>
          <w:color w:val="000000" w:themeColor="text1"/>
          <w:kern w:val="0"/>
          <w:sz w:val="20"/>
          <w:szCs w:val="20"/>
          <w14:ligatures w14:val="none"/>
        </w:rPr>
      </w:pPr>
      <w:r>
        <w:rPr>
          <w:rFonts w:ascii="Calibri" w:eastAsia="Times New Roman" w:hAnsi="Calibri" w:cs="Calibri"/>
          <w:color w:val="000000" w:themeColor="text1"/>
          <w:kern w:val="0"/>
          <w:sz w:val="20"/>
          <w:szCs w:val="20"/>
          <w14:ligatures w14:val="none"/>
        </w:rPr>
        <w:t>August 12, 2023</w:t>
      </w:r>
    </w:p>
    <w:p w14:paraId="784D0879" w14:textId="77777777" w:rsidR="0075651D" w:rsidRDefault="0075651D" w:rsidP="0075651D">
      <w:pPr>
        <w:jc w:val="center"/>
        <w:rPr>
          <w:rFonts w:ascii="Calibri" w:eastAsia="Times New Roman" w:hAnsi="Calibri" w:cs="Calibri"/>
          <w:color w:val="000000"/>
          <w:kern w:val="0"/>
          <w14:ligatures w14:val="none"/>
        </w:rPr>
      </w:pPr>
    </w:p>
    <w:p w14:paraId="195159FC" w14:textId="77777777" w:rsidR="0075651D" w:rsidRDefault="0075651D" w:rsidP="0075651D">
      <w:pPr>
        <w:jc w:val="center"/>
        <w:rPr>
          <w:rFonts w:ascii="Calibri" w:eastAsia="Times New Roman" w:hAnsi="Calibri" w:cs="Calibri"/>
          <w:color w:val="000000"/>
          <w:kern w:val="0"/>
          <w14:ligatures w14:val="none"/>
        </w:rPr>
      </w:pPr>
    </w:p>
    <w:p w14:paraId="533E95B8" w14:textId="77777777" w:rsidR="0075651D" w:rsidRDefault="0075651D" w:rsidP="0075651D">
      <w:pPr>
        <w:jc w:val="center"/>
        <w:rPr>
          <w:rFonts w:ascii="Calibri" w:eastAsia="Times New Roman" w:hAnsi="Calibri" w:cs="Calibri"/>
          <w:color w:val="000000"/>
          <w:kern w:val="0"/>
          <w14:ligatures w14:val="none"/>
        </w:rPr>
      </w:pPr>
    </w:p>
    <w:p w14:paraId="33C5E6F7" w14:textId="77777777" w:rsidR="0075651D" w:rsidRDefault="0075651D" w:rsidP="0075651D">
      <w:pPr>
        <w:jc w:val="center"/>
        <w:rPr>
          <w:rFonts w:ascii="Calibri" w:eastAsia="Times New Roman" w:hAnsi="Calibri" w:cs="Calibri"/>
          <w:color w:val="000000"/>
          <w:kern w:val="0"/>
          <w14:ligatures w14:val="none"/>
        </w:rPr>
      </w:pPr>
    </w:p>
    <w:p w14:paraId="33905C77" w14:textId="77777777" w:rsidR="0075651D" w:rsidRDefault="0075651D" w:rsidP="0075651D">
      <w:pPr>
        <w:jc w:val="center"/>
        <w:rPr>
          <w:rFonts w:ascii="Calibri" w:eastAsia="Times New Roman" w:hAnsi="Calibri" w:cs="Calibri"/>
          <w:color w:val="000000"/>
          <w:kern w:val="0"/>
          <w14:ligatures w14:val="none"/>
        </w:rPr>
      </w:pPr>
    </w:p>
    <w:p w14:paraId="335A396B" w14:textId="77777777" w:rsidR="0075651D" w:rsidRDefault="0075651D" w:rsidP="0075651D">
      <w:pPr>
        <w:jc w:val="center"/>
        <w:rPr>
          <w:rFonts w:ascii="Calibri" w:eastAsia="Times New Roman" w:hAnsi="Calibri" w:cs="Calibri"/>
          <w:color w:val="000000"/>
          <w:kern w:val="0"/>
          <w14:ligatures w14:val="none"/>
        </w:rPr>
      </w:pPr>
    </w:p>
    <w:p w14:paraId="32E47560" w14:textId="77777777" w:rsidR="0075651D" w:rsidRDefault="0075651D" w:rsidP="0075651D">
      <w:pPr>
        <w:jc w:val="center"/>
        <w:rPr>
          <w:rFonts w:ascii="Calibri" w:eastAsia="Times New Roman" w:hAnsi="Calibri" w:cs="Calibri"/>
          <w:color w:val="000000"/>
          <w:kern w:val="0"/>
          <w14:ligatures w14:val="none"/>
        </w:rPr>
      </w:pPr>
    </w:p>
    <w:p w14:paraId="6A7F1E19" w14:textId="77777777" w:rsidR="0075651D" w:rsidRDefault="0075651D" w:rsidP="0075651D">
      <w:pPr>
        <w:jc w:val="center"/>
        <w:rPr>
          <w:rFonts w:ascii="Calibri" w:eastAsia="Times New Roman" w:hAnsi="Calibri" w:cs="Calibri"/>
          <w:color w:val="000000"/>
          <w:kern w:val="0"/>
          <w14:ligatures w14:val="none"/>
        </w:rPr>
      </w:pPr>
    </w:p>
    <w:p w14:paraId="426DE1D5" w14:textId="77777777" w:rsidR="0075651D" w:rsidRDefault="0075651D" w:rsidP="0075651D">
      <w:pPr>
        <w:jc w:val="center"/>
        <w:rPr>
          <w:rFonts w:ascii="Calibri" w:eastAsia="Times New Roman" w:hAnsi="Calibri" w:cs="Calibri"/>
          <w:color w:val="000000"/>
          <w:kern w:val="0"/>
          <w14:ligatures w14:val="none"/>
        </w:rPr>
      </w:pPr>
    </w:p>
    <w:p w14:paraId="45F69025" w14:textId="77777777" w:rsidR="0075651D" w:rsidRDefault="0075651D" w:rsidP="0075651D">
      <w:pPr>
        <w:jc w:val="center"/>
        <w:rPr>
          <w:rFonts w:ascii="Calibri" w:eastAsia="Times New Roman" w:hAnsi="Calibri" w:cs="Calibri"/>
          <w:color w:val="000000"/>
          <w:kern w:val="0"/>
          <w14:ligatures w14:val="none"/>
        </w:rPr>
      </w:pPr>
    </w:p>
    <w:p w14:paraId="1338367F" w14:textId="77777777" w:rsidR="0075651D" w:rsidRDefault="0075651D" w:rsidP="0075651D">
      <w:pPr>
        <w:jc w:val="center"/>
        <w:rPr>
          <w:rFonts w:ascii="Calibri" w:eastAsia="Times New Roman" w:hAnsi="Calibri" w:cs="Calibri"/>
          <w:color w:val="000000"/>
          <w:kern w:val="0"/>
          <w14:ligatures w14:val="none"/>
        </w:rPr>
      </w:pPr>
    </w:p>
    <w:p w14:paraId="0AD85FF2" w14:textId="77777777" w:rsidR="0075651D" w:rsidRDefault="0075651D" w:rsidP="0075651D">
      <w:pPr>
        <w:jc w:val="center"/>
        <w:rPr>
          <w:rFonts w:ascii="Calibri" w:eastAsia="Times New Roman" w:hAnsi="Calibri" w:cs="Calibri"/>
          <w:color w:val="000000"/>
          <w:kern w:val="0"/>
          <w14:ligatures w14:val="none"/>
        </w:rPr>
      </w:pPr>
    </w:p>
    <w:p w14:paraId="645E56F2" w14:textId="77777777" w:rsidR="0075651D" w:rsidRDefault="0075651D" w:rsidP="0075651D">
      <w:pPr>
        <w:jc w:val="center"/>
        <w:rPr>
          <w:rFonts w:ascii="Calibri" w:eastAsia="Times New Roman" w:hAnsi="Calibri" w:cs="Calibri"/>
          <w:color w:val="000000"/>
          <w:kern w:val="0"/>
          <w14:ligatures w14:val="none"/>
        </w:rPr>
      </w:pPr>
    </w:p>
    <w:p w14:paraId="6690ADBF" w14:textId="77777777" w:rsidR="0075651D" w:rsidRDefault="0075651D" w:rsidP="0075651D">
      <w:pPr>
        <w:jc w:val="center"/>
        <w:rPr>
          <w:rFonts w:ascii="Calibri" w:eastAsia="Times New Roman" w:hAnsi="Calibri" w:cs="Calibri"/>
          <w:color w:val="000000"/>
          <w:kern w:val="0"/>
          <w14:ligatures w14:val="none"/>
        </w:rPr>
      </w:pPr>
    </w:p>
    <w:p w14:paraId="0C9DFF09" w14:textId="77777777" w:rsidR="0075651D" w:rsidRDefault="0075651D" w:rsidP="0075651D">
      <w:pPr>
        <w:jc w:val="center"/>
        <w:rPr>
          <w:rFonts w:ascii="Calibri" w:eastAsia="Times New Roman" w:hAnsi="Calibri" w:cs="Calibri"/>
          <w:color w:val="000000"/>
          <w:kern w:val="0"/>
          <w14:ligatures w14:val="none"/>
        </w:rPr>
      </w:pPr>
    </w:p>
    <w:p w14:paraId="56D15C3A" w14:textId="77777777" w:rsidR="0075651D" w:rsidRDefault="0075651D" w:rsidP="0075651D">
      <w:pPr>
        <w:jc w:val="center"/>
        <w:rPr>
          <w:rFonts w:ascii="Calibri" w:eastAsia="Times New Roman" w:hAnsi="Calibri" w:cs="Calibri"/>
          <w:color w:val="000000"/>
          <w:kern w:val="0"/>
          <w14:ligatures w14:val="none"/>
        </w:rPr>
      </w:pPr>
    </w:p>
    <w:p w14:paraId="033C60C9" w14:textId="77777777" w:rsidR="0075651D" w:rsidRDefault="0075651D" w:rsidP="0075651D">
      <w:pPr>
        <w:jc w:val="center"/>
        <w:rPr>
          <w:rFonts w:ascii="Calibri" w:eastAsia="Times New Roman" w:hAnsi="Calibri" w:cs="Calibri"/>
          <w:color w:val="000000"/>
          <w:kern w:val="0"/>
          <w14:ligatures w14:val="none"/>
        </w:rPr>
      </w:pPr>
    </w:p>
    <w:p w14:paraId="14326C05" w14:textId="77777777" w:rsidR="0075651D" w:rsidRDefault="0075651D" w:rsidP="0075651D">
      <w:pPr>
        <w:jc w:val="center"/>
        <w:rPr>
          <w:rFonts w:ascii="Calibri" w:eastAsia="Times New Roman" w:hAnsi="Calibri" w:cs="Calibri"/>
          <w:color w:val="000000"/>
          <w:kern w:val="0"/>
          <w14:ligatures w14:val="none"/>
        </w:rPr>
      </w:pPr>
    </w:p>
    <w:p w14:paraId="3F03D317" w14:textId="7B0DF1AD" w:rsidR="0075651D" w:rsidRPr="0075651D" w:rsidRDefault="0075651D" w:rsidP="0075651D">
      <w:pPr>
        <w:ind w:firstLine="720"/>
        <w:rPr>
          <w:rFonts w:ascii="Times New Roman" w:eastAsia="Times New Roman" w:hAnsi="Times New Roman" w:cs="Times New Roman"/>
          <w:color w:val="000000"/>
          <w:kern w:val="0"/>
          <w14:ligatures w14:val="none"/>
        </w:rPr>
      </w:pPr>
      <w:r w:rsidRPr="0075651D">
        <w:rPr>
          <w:rFonts w:ascii="Calibri" w:eastAsia="Times New Roman" w:hAnsi="Calibri" w:cs="Calibri"/>
          <w:color w:val="000000"/>
          <w:kern w:val="0"/>
          <w14:ligatures w14:val="none"/>
        </w:rPr>
        <w:lastRenderedPageBreak/>
        <w:t xml:space="preserve">Through our research with BSR Insurance’s data, we examined how susceptibility to change affects well-being. We also </w:t>
      </w:r>
      <w:r w:rsidRPr="0075651D">
        <w:rPr>
          <w:rFonts w:ascii="Calibri" w:eastAsia="Times New Roman" w:hAnsi="Calibri" w:cs="Calibri"/>
          <w:color w:val="000000"/>
          <w:kern w:val="0"/>
          <w14:ligatures w14:val="none"/>
        </w:rPr>
        <w:t>investigated</w:t>
      </w:r>
      <w:r w:rsidRPr="0075651D">
        <w:rPr>
          <w:rFonts w:ascii="Calibri" w:eastAsia="Times New Roman" w:hAnsi="Calibri" w:cs="Calibri"/>
          <w:color w:val="000000"/>
          <w:kern w:val="0"/>
          <w14:ligatures w14:val="none"/>
        </w:rPr>
        <w:t xml:space="preserve"> its impact on fitness interventions, BMI, and exercise levels, along with assessing how these interventions impact in-person and remote work dynamics regarding employee satisfaction and engagement. Using the employees’ Likert-based responses to questions of change readiness and commitment, we identified that Change Susceptibility is a key component in highlighting disparities in willingness, interventions, and overall performance.</w:t>
      </w:r>
    </w:p>
    <w:p w14:paraId="10C5DE71" w14:textId="3006AB49" w:rsidR="0075651D" w:rsidRPr="0075651D" w:rsidRDefault="0075651D" w:rsidP="0075651D">
      <w:pPr>
        <w:ind w:firstLine="720"/>
        <w:rPr>
          <w:rFonts w:ascii="Times New Roman" w:eastAsia="Times New Roman" w:hAnsi="Times New Roman" w:cs="Times New Roman"/>
          <w:color w:val="000000"/>
          <w:kern w:val="0"/>
          <w14:ligatures w14:val="none"/>
        </w:rPr>
      </w:pPr>
      <w:r w:rsidRPr="0075651D">
        <w:rPr>
          <w:rFonts w:ascii="Calibri" w:eastAsia="Times New Roman" w:hAnsi="Calibri" w:cs="Calibri"/>
          <w:color w:val="000000"/>
          <w:kern w:val="0"/>
          <w14:ligatures w14:val="none"/>
        </w:rPr>
        <w:t>Referring to the first and second sheets in Tableau, we examined Change Susceptibility in relation to health improvement, specifically in terms of fitness and sleep. The tree map demonstrates the relationship between an employee’s BMI variation and their receptivity to change, as well as daily exercise levels and receptivity to change. In comparing results before and after the intervention, the visualization reveals that employees more receptive to change tended to have a larger difference in BMI compared to those with higher BMIs who were moderately resistant to change. Meanwhile, individuals neutral to change showed minimal shifts in both factors. Under a similar scope, the second correlation shows that higher levels of Change Susceptibility resulted in greater sleep improvement. This correlation also indicates that perhaps the quality-based intervention was more effective than those focused on quantity of sleep. Ultimately, both visualizations demonstrate the significance of Change Susceptibility in monitoring improvement based on sleep and fitness-based interventions. </w:t>
      </w:r>
    </w:p>
    <w:p w14:paraId="11F35AAA" w14:textId="37BC77B9" w:rsidR="0075651D" w:rsidRPr="0075651D" w:rsidRDefault="0075651D" w:rsidP="0075651D">
      <w:pPr>
        <w:ind w:firstLine="720"/>
        <w:rPr>
          <w:rFonts w:ascii="Times New Roman" w:eastAsia="Times New Roman" w:hAnsi="Times New Roman" w:cs="Times New Roman"/>
          <w:color w:val="000000"/>
          <w:kern w:val="0"/>
          <w14:ligatures w14:val="none"/>
        </w:rPr>
      </w:pPr>
      <w:r w:rsidRPr="0075651D">
        <w:rPr>
          <w:rFonts w:ascii="Calibri" w:eastAsia="Times New Roman" w:hAnsi="Calibri" w:cs="Calibri"/>
          <w:color w:val="000000"/>
          <w:kern w:val="0"/>
          <w14:ligatures w14:val="none"/>
        </w:rPr>
        <w:t>The third visualization encompasses the intersection between BMI and sleep quality while observing the effects on performance. This addresses the question of</w:t>
      </w:r>
      <w:r>
        <w:rPr>
          <w:rFonts w:ascii="Calibri" w:eastAsia="Times New Roman" w:hAnsi="Calibri" w:cs="Calibri"/>
          <w:color w:val="000000"/>
          <w:kern w:val="0"/>
          <w14:ligatures w14:val="none"/>
        </w:rPr>
        <w:t xml:space="preserve"> whether</w:t>
      </w:r>
      <w:r w:rsidRPr="0075651D">
        <w:rPr>
          <w:rFonts w:ascii="Calibri" w:eastAsia="Times New Roman" w:hAnsi="Calibri" w:cs="Calibri"/>
          <w:color w:val="000000"/>
          <w:kern w:val="0"/>
          <w14:ligatures w14:val="none"/>
        </w:rPr>
        <w:t xml:space="preserve"> BMI and sleep quality be used as a predictor for performance</w:t>
      </w:r>
      <w:r>
        <w:rPr>
          <w:rFonts w:ascii="Calibri" w:eastAsia="Times New Roman" w:hAnsi="Calibri" w:cs="Calibri"/>
          <w:color w:val="000000"/>
          <w:kern w:val="0"/>
          <w14:ligatures w14:val="none"/>
        </w:rPr>
        <w:t xml:space="preserve">. </w:t>
      </w:r>
      <w:proofErr w:type="gramStart"/>
      <w:r w:rsidRPr="0075651D">
        <w:rPr>
          <w:rFonts w:ascii="Calibri" w:eastAsia="Times New Roman" w:hAnsi="Calibri" w:cs="Calibri"/>
          <w:color w:val="000000"/>
          <w:kern w:val="0"/>
          <w14:ligatures w14:val="none"/>
        </w:rPr>
        <w:t>Examining the bar chart, it</w:t>
      </w:r>
      <w:proofErr w:type="gramEnd"/>
      <w:r w:rsidRPr="0075651D">
        <w:rPr>
          <w:rFonts w:ascii="Calibri" w:eastAsia="Times New Roman" w:hAnsi="Calibri" w:cs="Calibri"/>
          <w:color w:val="000000"/>
          <w:kern w:val="0"/>
          <w14:ligatures w14:val="none"/>
        </w:rPr>
        <w:t xml:space="preserve"> becomes evident that employees with the least positive change in BMI and sleep quality exhibited the lowest performance levels. Conversely, those with the lowest BMI and highest sleep quality demonstrated the greatest increased performance. </w:t>
      </w:r>
    </w:p>
    <w:p w14:paraId="3FE9D56B" w14:textId="2412C211" w:rsidR="0075651D" w:rsidRPr="0075651D" w:rsidRDefault="0075651D" w:rsidP="0075651D">
      <w:pPr>
        <w:ind w:firstLine="720"/>
        <w:rPr>
          <w:rFonts w:ascii="Times New Roman" w:eastAsia="Times New Roman" w:hAnsi="Times New Roman" w:cs="Times New Roman"/>
          <w:color w:val="000000"/>
          <w:kern w:val="0"/>
          <w14:ligatures w14:val="none"/>
        </w:rPr>
      </w:pPr>
      <w:r w:rsidRPr="0075651D">
        <w:rPr>
          <w:rFonts w:ascii="Calibri" w:eastAsia="Times New Roman" w:hAnsi="Calibri" w:cs="Calibri"/>
          <w:color w:val="000000"/>
          <w:kern w:val="0"/>
          <w14:ligatures w14:val="none"/>
        </w:rPr>
        <w:t>While previous visualizations show an improvement in health through Change Susceptibility, it is important to consider the effects of implementing the health pilot program to employees who work from home. We evaluated this by questioning the engagement levels of remote employees. In a histogram based on reported levels of engagement, we noticed that remote workers followed a more right-skewed distribution than that for in-person workers. This suggests that a greater number of remote workers tended to be less engaged compared to their in-person counterparts. Applying the lens of Change Susceptibility to this histogram, we see that employees who were firmly open to change were more likely to be engaged in work. As a result, we can infer that implementing the health intervention would be successful for remote workers, so long as BSR Insurance implements strategies of increasing Change Susceptibility. </w:t>
      </w:r>
    </w:p>
    <w:p w14:paraId="08AD436A" w14:textId="2315B37B" w:rsidR="0075651D" w:rsidRPr="0075651D" w:rsidRDefault="0075651D" w:rsidP="0075651D">
      <w:pPr>
        <w:ind w:firstLine="360"/>
        <w:rPr>
          <w:rFonts w:ascii="Times New Roman" w:eastAsia="Times New Roman" w:hAnsi="Times New Roman" w:cs="Times New Roman"/>
          <w:color w:val="000000"/>
          <w:kern w:val="0"/>
          <w14:ligatures w14:val="none"/>
        </w:rPr>
      </w:pPr>
      <w:r w:rsidRPr="0075651D">
        <w:rPr>
          <w:rFonts w:ascii="Calibri" w:eastAsia="Times New Roman" w:hAnsi="Calibri" w:cs="Calibri"/>
          <w:color w:val="000000"/>
          <w:kern w:val="0"/>
          <w14:ligatures w14:val="none"/>
        </w:rPr>
        <w:t xml:space="preserve">Based on the anticipated cost-savings and improved productivity, an organization-wide rollout of the health pilot program is recommended. However, to optimize its impact, it is essential to ensure holistic adoption of the process. This can be done by two primary influencing factors. Because middle management serves as the connective tissue between upper executives and the individual contributors of the workforce, their buy-in is pivotal. Furthermore, requesting a verbal commitment to the program from the participant in front of their coworkers will enhance the probability of buy-in as it involves an active, public, and freely chosen to partake. </w:t>
      </w:r>
    </w:p>
    <w:p w14:paraId="391437B4" w14:textId="77C6AD20" w:rsidR="0075651D" w:rsidRPr="0075651D" w:rsidRDefault="0075651D" w:rsidP="0075651D">
      <w:pPr>
        <w:pStyle w:val="ListParagraph"/>
        <w:jc w:val="center"/>
        <w:rPr>
          <w:rFonts w:eastAsia="Times New Roman" w:cstheme="minorHAnsi"/>
          <w:b/>
          <w:bCs/>
          <w:kern w:val="0"/>
          <w14:ligatures w14:val="none"/>
        </w:rPr>
      </w:pPr>
      <w:r w:rsidRPr="0075651D">
        <w:rPr>
          <w:rFonts w:eastAsia="Times New Roman" w:cstheme="minorHAnsi"/>
          <w:b/>
          <w:bCs/>
          <w:kern w:val="0"/>
          <w14:ligatures w14:val="none"/>
        </w:rPr>
        <w:lastRenderedPageBreak/>
        <w:t>Appendix</w:t>
      </w:r>
    </w:p>
    <w:p w14:paraId="54E93F3E" w14:textId="77777777" w:rsidR="0075651D" w:rsidRPr="0075651D" w:rsidRDefault="0075651D" w:rsidP="0075651D">
      <w:pPr>
        <w:pStyle w:val="ListParagraph"/>
        <w:jc w:val="center"/>
        <w:rPr>
          <w:rFonts w:eastAsia="Times New Roman" w:cstheme="minorHAnsi"/>
          <w:kern w:val="0"/>
          <w:sz w:val="16"/>
          <w:szCs w:val="16"/>
          <w14:ligatures w14:val="none"/>
        </w:rPr>
      </w:pPr>
    </w:p>
    <w:p w14:paraId="6165CF10" w14:textId="69889DA2" w:rsidR="0075651D" w:rsidRPr="0075651D" w:rsidRDefault="0075651D" w:rsidP="0075651D">
      <w:pPr>
        <w:pStyle w:val="ListParagraph"/>
        <w:numPr>
          <w:ilvl w:val="0"/>
          <w:numId w:val="8"/>
        </w:numPr>
        <w:rPr>
          <w:rFonts w:ascii="Times New Roman" w:eastAsia="Times New Roman" w:hAnsi="Times New Roman" w:cs="Times New Roman"/>
          <w:kern w:val="0"/>
          <w:sz w:val="22"/>
          <w:szCs w:val="22"/>
          <w14:ligatures w14:val="none"/>
        </w:rPr>
      </w:pPr>
      <w:r w:rsidRPr="0075651D">
        <w:rPr>
          <w:rFonts w:ascii="Calibri" w:hAnsi="Calibri" w:cs="Calibri"/>
          <w:b/>
          <w:bCs/>
          <w:sz w:val="22"/>
          <w:szCs w:val="22"/>
          <w:u w:val="single"/>
        </w:rPr>
        <w:t>Questions Addressed</w:t>
      </w:r>
      <w:r w:rsidRPr="0075651D">
        <w:rPr>
          <w:rFonts w:ascii="Calibri" w:hAnsi="Calibri" w:cs="Calibri"/>
          <w:b/>
          <w:bCs/>
          <w:sz w:val="22"/>
          <w:szCs w:val="22"/>
        </w:rPr>
        <w:t>.</w:t>
      </w:r>
    </w:p>
    <w:p w14:paraId="19C58144" w14:textId="77777777" w:rsidR="0075651D" w:rsidRPr="0075651D" w:rsidRDefault="0075651D" w:rsidP="0075651D">
      <w:pPr>
        <w:pStyle w:val="ListParagraph"/>
        <w:rPr>
          <w:rFonts w:ascii="Calibri" w:hAnsi="Calibri" w:cs="Calibri"/>
          <w:b/>
          <w:bCs/>
          <w:sz w:val="16"/>
          <w:szCs w:val="16"/>
        </w:rPr>
      </w:pPr>
    </w:p>
    <w:p w14:paraId="48FCC91F" w14:textId="77777777" w:rsidR="0075651D" w:rsidRPr="0075651D" w:rsidRDefault="0075651D" w:rsidP="0075651D">
      <w:pPr>
        <w:pStyle w:val="ListParagraph"/>
        <w:numPr>
          <w:ilvl w:val="0"/>
          <w:numId w:val="9"/>
        </w:numPr>
        <w:ind w:left="1080"/>
        <w:rPr>
          <w:rFonts w:ascii="Calibri" w:hAnsi="Calibri" w:cs="Calibri"/>
          <w:sz w:val="22"/>
          <w:szCs w:val="22"/>
        </w:rPr>
      </w:pPr>
      <w:r w:rsidRPr="0075651D">
        <w:rPr>
          <w:rFonts w:ascii="Calibri" w:hAnsi="Calibri" w:cs="Calibri"/>
          <w:b/>
          <w:bCs/>
          <w:sz w:val="22"/>
          <w:szCs w:val="22"/>
          <w:u w:val="single"/>
        </w:rPr>
        <w:t>Sheet 1</w:t>
      </w:r>
      <w:r w:rsidRPr="0075651D">
        <w:rPr>
          <w:rFonts w:ascii="Calibri" w:hAnsi="Calibri" w:cs="Calibri"/>
          <w:b/>
          <w:bCs/>
          <w:sz w:val="22"/>
          <w:szCs w:val="22"/>
        </w:rPr>
        <w:t xml:space="preserve">. </w:t>
      </w:r>
      <w:r w:rsidRPr="0075651D">
        <w:rPr>
          <w:rFonts w:ascii="Calibri" w:hAnsi="Calibri" w:cs="Calibri"/>
          <w:sz w:val="22"/>
          <w:szCs w:val="22"/>
        </w:rPr>
        <w:t xml:space="preserve">How much of an effect does Change Susceptibility have on BMI and Fitness? </w:t>
      </w:r>
    </w:p>
    <w:p w14:paraId="24BC85AD" w14:textId="77777777" w:rsidR="0075651D" w:rsidRPr="0075651D" w:rsidRDefault="0075651D" w:rsidP="0075651D">
      <w:pPr>
        <w:pStyle w:val="ListParagraph"/>
        <w:numPr>
          <w:ilvl w:val="0"/>
          <w:numId w:val="9"/>
        </w:numPr>
        <w:ind w:left="1080"/>
        <w:rPr>
          <w:rFonts w:ascii="Calibri" w:hAnsi="Calibri" w:cs="Calibri"/>
          <w:sz w:val="22"/>
          <w:szCs w:val="22"/>
        </w:rPr>
      </w:pPr>
      <w:r w:rsidRPr="0075651D">
        <w:rPr>
          <w:rFonts w:ascii="Calibri" w:hAnsi="Calibri" w:cs="Calibri"/>
          <w:b/>
          <w:bCs/>
          <w:sz w:val="22"/>
          <w:szCs w:val="22"/>
          <w:u w:val="single"/>
        </w:rPr>
        <w:t>Sheet 2</w:t>
      </w:r>
      <w:r w:rsidRPr="0075651D">
        <w:rPr>
          <w:rFonts w:ascii="Calibri" w:hAnsi="Calibri" w:cs="Calibri"/>
          <w:b/>
          <w:bCs/>
          <w:sz w:val="22"/>
          <w:szCs w:val="22"/>
        </w:rPr>
        <w:t>.</w:t>
      </w:r>
      <w:r w:rsidRPr="0075651D">
        <w:rPr>
          <w:rFonts w:ascii="Calibri" w:hAnsi="Calibri" w:cs="Calibri"/>
          <w:sz w:val="22"/>
          <w:szCs w:val="22"/>
        </w:rPr>
        <w:t xml:space="preserve"> Was the sleep intervention more effective for quality of sleep, hours of sleep or neither? </w:t>
      </w:r>
    </w:p>
    <w:p w14:paraId="6F610866" w14:textId="77777777" w:rsidR="0075651D" w:rsidRPr="0075651D" w:rsidRDefault="0075651D" w:rsidP="0075651D">
      <w:pPr>
        <w:pStyle w:val="ListParagraph"/>
        <w:numPr>
          <w:ilvl w:val="0"/>
          <w:numId w:val="9"/>
        </w:numPr>
        <w:ind w:left="1080"/>
        <w:rPr>
          <w:rFonts w:ascii="Calibri" w:hAnsi="Calibri" w:cs="Calibri"/>
          <w:sz w:val="22"/>
          <w:szCs w:val="22"/>
        </w:rPr>
      </w:pPr>
      <w:r w:rsidRPr="0075651D">
        <w:rPr>
          <w:rFonts w:ascii="Calibri" w:hAnsi="Calibri" w:cs="Calibri"/>
          <w:b/>
          <w:bCs/>
          <w:sz w:val="22"/>
          <w:szCs w:val="22"/>
          <w:u w:val="single"/>
        </w:rPr>
        <w:t>Sheet 3</w:t>
      </w:r>
      <w:r w:rsidRPr="0075651D">
        <w:rPr>
          <w:rFonts w:ascii="Calibri" w:hAnsi="Calibri" w:cs="Calibri"/>
          <w:b/>
          <w:bCs/>
          <w:sz w:val="22"/>
          <w:szCs w:val="22"/>
        </w:rPr>
        <w:t>.</w:t>
      </w:r>
      <w:r w:rsidRPr="0075651D">
        <w:rPr>
          <w:rFonts w:ascii="Calibri" w:hAnsi="Calibri" w:cs="Calibri"/>
          <w:sz w:val="22"/>
          <w:szCs w:val="22"/>
        </w:rPr>
        <w:t xml:space="preserve"> Can BMI and Sleep Quality be Used as a predictor for performance?</w:t>
      </w:r>
    </w:p>
    <w:p w14:paraId="788C26FD" w14:textId="77777777" w:rsidR="0075651D" w:rsidRPr="0075651D" w:rsidRDefault="0075651D" w:rsidP="0075651D">
      <w:pPr>
        <w:pStyle w:val="ListParagraph"/>
        <w:numPr>
          <w:ilvl w:val="0"/>
          <w:numId w:val="9"/>
        </w:numPr>
        <w:ind w:left="1080"/>
        <w:rPr>
          <w:rFonts w:ascii="Calibri" w:hAnsi="Calibri" w:cs="Calibri"/>
          <w:sz w:val="22"/>
          <w:szCs w:val="22"/>
        </w:rPr>
      </w:pPr>
      <w:r w:rsidRPr="0075651D">
        <w:rPr>
          <w:rFonts w:ascii="Calibri" w:hAnsi="Calibri" w:cs="Calibri"/>
          <w:b/>
          <w:bCs/>
          <w:sz w:val="22"/>
          <w:szCs w:val="22"/>
          <w:u w:val="single"/>
        </w:rPr>
        <w:t>Sheet 4</w:t>
      </w:r>
      <w:r w:rsidRPr="0075651D">
        <w:rPr>
          <w:rFonts w:ascii="Calibri" w:hAnsi="Calibri" w:cs="Calibri"/>
          <w:b/>
          <w:bCs/>
          <w:sz w:val="22"/>
          <w:szCs w:val="22"/>
        </w:rPr>
        <w:t>.</w:t>
      </w:r>
      <w:r w:rsidRPr="0075651D">
        <w:rPr>
          <w:rFonts w:ascii="Calibri" w:hAnsi="Calibri" w:cs="Calibri"/>
          <w:sz w:val="22"/>
          <w:szCs w:val="22"/>
        </w:rPr>
        <w:t xml:space="preserve"> How engaged are remote workers?</w:t>
      </w:r>
    </w:p>
    <w:p w14:paraId="33C0B45E" w14:textId="77777777" w:rsidR="0075651D" w:rsidRPr="0075651D" w:rsidRDefault="0075651D" w:rsidP="0075651D">
      <w:pPr>
        <w:pStyle w:val="ListParagraph"/>
        <w:numPr>
          <w:ilvl w:val="0"/>
          <w:numId w:val="9"/>
        </w:numPr>
        <w:ind w:left="1080"/>
        <w:rPr>
          <w:rFonts w:ascii="Calibri" w:hAnsi="Calibri" w:cs="Calibri"/>
          <w:sz w:val="22"/>
          <w:szCs w:val="22"/>
        </w:rPr>
      </w:pPr>
      <w:r w:rsidRPr="0075651D">
        <w:rPr>
          <w:rFonts w:ascii="Calibri" w:hAnsi="Calibri" w:cs="Calibri"/>
          <w:b/>
          <w:bCs/>
          <w:sz w:val="22"/>
          <w:szCs w:val="22"/>
          <w:u w:val="single"/>
        </w:rPr>
        <w:t>Sheet 5</w:t>
      </w:r>
      <w:r w:rsidRPr="0075651D">
        <w:rPr>
          <w:rFonts w:ascii="Calibri" w:hAnsi="Calibri" w:cs="Calibri"/>
          <w:b/>
          <w:bCs/>
          <w:sz w:val="22"/>
          <w:szCs w:val="22"/>
        </w:rPr>
        <w:t>.</w:t>
      </w:r>
      <w:r w:rsidRPr="0075651D">
        <w:rPr>
          <w:rFonts w:ascii="Calibri" w:hAnsi="Calibri" w:cs="Calibri"/>
          <w:sz w:val="22"/>
          <w:szCs w:val="22"/>
        </w:rPr>
        <w:t xml:space="preserve"> Which demographics can provide insight into employees’ smoking levels? </w:t>
      </w:r>
    </w:p>
    <w:p w14:paraId="02D448C1" w14:textId="77777777" w:rsidR="0075651D" w:rsidRPr="0075651D" w:rsidRDefault="0075651D" w:rsidP="0075651D">
      <w:pPr>
        <w:pStyle w:val="ListParagraph"/>
        <w:numPr>
          <w:ilvl w:val="0"/>
          <w:numId w:val="9"/>
        </w:numPr>
        <w:ind w:left="1080"/>
        <w:rPr>
          <w:rFonts w:ascii="Calibri" w:hAnsi="Calibri" w:cs="Calibri"/>
          <w:sz w:val="22"/>
          <w:szCs w:val="22"/>
        </w:rPr>
      </w:pPr>
      <w:r w:rsidRPr="0075651D">
        <w:rPr>
          <w:rFonts w:ascii="Calibri" w:hAnsi="Calibri" w:cs="Calibri"/>
          <w:b/>
          <w:bCs/>
          <w:sz w:val="22"/>
          <w:szCs w:val="22"/>
          <w:u w:val="single"/>
        </w:rPr>
        <w:t>Sheet 6</w:t>
      </w:r>
      <w:r w:rsidRPr="0075651D">
        <w:rPr>
          <w:rFonts w:ascii="Calibri" w:hAnsi="Calibri" w:cs="Calibri"/>
          <w:b/>
          <w:bCs/>
          <w:sz w:val="22"/>
          <w:szCs w:val="22"/>
        </w:rPr>
        <w:t xml:space="preserve">. </w:t>
      </w:r>
      <w:r w:rsidRPr="0075651D">
        <w:rPr>
          <w:rFonts w:ascii="Calibri" w:hAnsi="Calibri" w:cs="Calibri"/>
          <w:sz w:val="22"/>
          <w:szCs w:val="22"/>
        </w:rPr>
        <w:t xml:space="preserve">Which employees are more likely to stay with the company and is remote work a factor? </w:t>
      </w:r>
    </w:p>
    <w:p w14:paraId="24F7B5FC" w14:textId="77777777" w:rsidR="0075651D" w:rsidRPr="0075651D" w:rsidRDefault="0075651D" w:rsidP="0075651D">
      <w:pPr>
        <w:rPr>
          <w:rFonts w:ascii="Calibri" w:hAnsi="Calibri" w:cs="Calibri"/>
          <w:sz w:val="16"/>
          <w:szCs w:val="16"/>
        </w:rPr>
      </w:pPr>
    </w:p>
    <w:p w14:paraId="4E0D3BEC" w14:textId="77777777" w:rsidR="0075651D" w:rsidRPr="0075651D" w:rsidRDefault="0075651D" w:rsidP="0075651D">
      <w:pPr>
        <w:pStyle w:val="ListParagraph"/>
        <w:numPr>
          <w:ilvl w:val="0"/>
          <w:numId w:val="8"/>
        </w:numPr>
        <w:rPr>
          <w:rFonts w:ascii="Calibri" w:hAnsi="Calibri" w:cs="Calibri"/>
          <w:b/>
          <w:bCs/>
          <w:sz w:val="22"/>
          <w:szCs w:val="22"/>
        </w:rPr>
      </w:pPr>
      <w:r w:rsidRPr="0075651D">
        <w:rPr>
          <w:rFonts w:ascii="Calibri" w:hAnsi="Calibri" w:cs="Calibri"/>
          <w:b/>
          <w:bCs/>
          <w:sz w:val="22"/>
          <w:szCs w:val="22"/>
          <w:u w:val="single"/>
        </w:rPr>
        <w:t>Calculated Fields</w:t>
      </w:r>
      <w:r w:rsidRPr="0075651D">
        <w:rPr>
          <w:rFonts w:ascii="Calibri" w:hAnsi="Calibri" w:cs="Calibri"/>
          <w:b/>
          <w:bCs/>
          <w:sz w:val="22"/>
          <w:szCs w:val="22"/>
        </w:rPr>
        <w:t>.</w:t>
      </w:r>
    </w:p>
    <w:p w14:paraId="249AC9E7" w14:textId="77777777" w:rsidR="0075651D" w:rsidRPr="0075651D" w:rsidRDefault="0075651D" w:rsidP="0075651D">
      <w:pPr>
        <w:pStyle w:val="ListParagraph"/>
        <w:rPr>
          <w:rFonts w:ascii="Calibri" w:hAnsi="Calibri" w:cs="Calibri"/>
          <w:b/>
          <w:bCs/>
          <w:sz w:val="16"/>
          <w:szCs w:val="16"/>
        </w:rPr>
      </w:pPr>
    </w:p>
    <w:p w14:paraId="6CC0A021" w14:textId="77777777" w:rsidR="0075651D" w:rsidRPr="0075651D" w:rsidRDefault="0075651D" w:rsidP="0075651D">
      <w:pPr>
        <w:pStyle w:val="ListParagraph"/>
        <w:numPr>
          <w:ilvl w:val="0"/>
          <w:numId w:val="4"/>
        </w:numPr>
        <w:ind w:left="1080"/>
        <w:rPr>
          <w:rFonts w:ascii="Calibri" w:hAnsi="Calibri" w:cs="Calibri"/>
          <w:sz w:val="22"/>
          <w:szCs w:val="22"/>
        </w:rPr>
      </w:pPr>
      <w:r w:rsidRPr="0075651D">
        <w:rPr>
          <w:rFonts w:ascii="Calibri" w:hAnsi="Calibri" w:cs="Calibri"/>
          <w:b/>
          <w:bCs/>
          <w:sz w:val="22"/>
          <w:szCs w:val="22"/>
          <w:u w:val="single"/>
        </w:rPr>
        <w:t>BMI Difference</w:t>
      </w:r>
      <w:r w:rsidRPr="0075651D">
        <w:rPr>
          <w:rFonts w:ascii="Calibri" w:hAnsi="Calibri" w:cs="Calibri"/>
          <w:b/>
          <w:bCs/>
          <w:sz w:val="22"/>
          <w:szCs w:val="22"/>
        </w:rPr>
        <w:t xml:space="preserve">. </w:t>
      </w:r>
      <w:r w:rsidRPr="0075651D">
        <w:rPr>
          <w:rFonts w:ascii="Calibri" w:hAnsi="Calibri" w:cs="Calibri"/>
          <w:sz w:val="22"/>
          <w:szCs w:val="22"/>
        </w:rPr>
        <w:t xml:space="preserve">In considering the impact of Change Susceptibility on BMI, this field considers the Pre-BMI and Post-BMI variables to determine the effect of the BSR health intervention on employee BMI </w:t>
      </w:r>
      <w:r w:rsidRPr="0075651D">
        <w:rPr>
          <w:rFonts w:ascii="Calibri" w:hAnsi="Calibri" w:cs="Calibri"/>
          <w:i/>
          <w:iCs/>
          <w:sz w:val="22"/>
          <w:szCs w:val="22"/>
        </w:rPr>
        <w:t>(Sheet 1)</w:t>
      </w:r>
      <w:r w:rsidRPr="0075651D">
        <w:rPr>
          <w:rFonts w:ascii="Calibri" w:hAnsi="Calibri" w:cs="Calibri"/>
          <w:sz w:val="22"/>
          <w:szCs w:val="22"/>
        </w:rPr>
        <w:t xml:space="preserve">. BMI Difference is also considered in relation to employee performance </w:t>
      </w:r>
      <w:r w:rsidRPr="0075651D">
        <w:rPr>
          <w:rFonts w:ascii="Calibri" w:hAnsi="Calibri" w:cs="Calibri"/>
          <w:i/>
          <w:iCs/>
          <w:sz w:val="22"/>
          <w:szCs w:val="22"/>
        </w:rPr>
        <w:t>(Sheet 3)</w:t>
      </w:r>
      <w:r w:rsidRPr="0075651D">
        <w:rPr>
          <w:rFonts w:ascii="Calibri" w:hAnsi="Calibri" w:cs="Calibri"/>
          <w:sz w:val="22"/>
          <w:szCs w:val="22"/>
        </w:rPr>
        <w:t xml:space="preserve">. We calculated this value by subtracting the Post-BMI from the Pre-BMI. </w:t>
      </w:r>
    </w:p>
    <w:p w14:paraId="34CBF232" w14:textId="77777777" w:rsidR="0075651D" w:rsidRPr="0075651D" w:rsidRDefault="0075651D" w:rsidP="0075651D">
      <w:pPr>
        <w:pStyle w:val="ListParagraph"/>
        <w:ind w:left="1080"/>
        <w:rPr>
          <w:rFonts w:ascii="Calibri" w:hAnsi="Calibri" w:cs="Calibri"/>
          <w:b/>
          <w:bCs/>
          <w:sz w:val="16"/>
          <w:szCs w:val="16"/>
        </w:rPr>
      </w:pPr>
    </w:p>
    <w:p w14:paraId="0F174AB3" w14:textId="77777777" w:rsidR="0075651D" w:rsidRPr="0075651D" w:rsidRDefault="0075651D" w:rsidP="0075651D">
      <w:pPr>
        <w:pStyle w:val="ListParagraph"/>
        <w:ind w:left="1080"/>
        <w:rPr>
          <w:rFonts w:ascii="Calibri" w:hAnsi="Calibri" w:cs="Calibri"/>
          <w:i/>
          <w:iCs/>
          <w:sz w:val="22"/>
          <w:szCs w:val="22"/>
        </w:rPr>
      </w:pPr>
      <w:r w:rsidRPr="0075651D">
        <w:rPr>
          <w:rFonts w:ascii="Calibri" w:hAnsi="Calibri" w:cs="Calibri"/>
          <w:i/>
          <w:iCs/>
          <w:sz w:val="22"/>
          <w:szCs w:val="22"/>
        </w:rPr>
        <w:t>Post-BMI – Pre-BMI</w:t>
      </w:r>
    </w:p>
    <w:p w14:paraId="0B996309" w14:textId="77777777" w:rsidR="0075651D" w:rsidRPr="0075651D" w:rsidRDefault="0075651D" w:rsidP="0075651D">
      <w:pPr>
        <w:pStyle w:val="ListParagraph"/>
        <w:ind w:left="1080"/>
        <w:rPr>
          <w:rFonts w:ascii="Calibri" w:hAnsi="Calibri" w:cs="Calibri"/>
          <w:i/>
          <w:iCs/>
          <w:sz w:val="16"/>
          <w:szCs w:val="16"/>
        </w:rPr>
      </w:pPr>
    </w:p>
    <w:p w14:paraId="167917FB" w14:textId="77777777" w:rsidR="0075651D" w:rsidRPr="0075651D" w:rsidRDefault="0075651D" w:rsidP="0075651D">
      <w:pPr>
        <w:pStyle w:val="ListParagraph"/>
        <w:numPr>
          <w:ilvl w:val="0"/>
          <w:numId w:val="4"/>
        </w:numPr>
        <w:ind w:left="1080"/>
        <w:rPr>
          <w:rFonts w:ascii="Calibri" w:hAnsi="Calibri" w:cs="Calibri"/>
          <w:sz w:val="22"/>
          <w:szCs w:val="22"/>
        </w:rPr>
      </w:pPr>
      <w:r w:rsidRPr="0075651D">
        <w:rPr>
          <w:rFonts w:ascii="Calibri" w:hAnsi="Calibri" w:cs="Calibri"/>
          <w:b/>
          <w:bCs/>
          <w:sz w:val="22"/>
          <w:szCs w:val="22"/>
          <w:u w:val="single"/>
        </w:rPr>
        <w:t>Daily Exercise Difference</w:t>
      </w:r>
      <w:r w:rsidRPr="0075651D">
        <w:rPr>
          <w:rFonts w:ascii="Calibri" w:hAnsi="Calibri" w:cs="Calibri"/>
          <w:b/>
          <w:bCs/>
          <w:sz w:val="22"/>
          <w:szCs w:val="22"/>
        </w:rPr>
        <w:t xml:space="preserve">. </w:t>
      </w:r>
      <w:r w:rsidRPr="0075651D">
        <w:rPr>
          <w:rFonts w:ascii="Calibri" w:hAnsi="Calibri" w:cs="Calibri"/>
          <w:sz w:val="22"/>
          <w:szCs w:val="22"/>
        </w:rPr>
        <w:t xml:space="preserve">We subtracted the Pre-Daily Exercise (Min) from the Post-Daily Exercise to calculate the overall difference in exercise. This field provides a scale for us to determine the health intervention’s effects on employee fitness, which are ultimately assessed in relation to Change Susceptibility </w:t>
      </w:r>
      <w:r w:rsidRPr="0075651D">
        <w:rPr>
          <w:rFonts w:ascii="Calibri" w:hAnsi="Calibri" w:cs="Calibri"/>
          <w:i/>
          <w:iCs/>
          <w:sz w:val="22"/>
          <w:szCs w:val="22"/>
        </w:rPr>
        <w:t>(Sheet 1)</w:t>
      </w:r>
      <w:r w:rsidRPr="0075651D">
        <w:rPr>
          <w:rFonts w:ascii="Calibri" w:hAnsi="Calibri" w:cs="Calibri"/>
          <w:sz w:val="22"/>
          <w:szCs w:val="22"/>
        </w:rPr>
        <w:t xml:space="preserve">. </w:t>
      </w:r>
    </w:p>
    <w:p w14:paraId="3E99A524" w14:textId="77777777" w:rsidR="0075651D" w:rsidRPr="0075651D" w:rsidRDefault="0075651D" w:rsidP="0075651D">
      <w:pPr>
        <w:pStyle w:val="ListParagraph"/>
        <w:ind w:left="1080"/>
        <w:rPr>
          <w:rFonts w:ascii="Calibri" w:hAnsi="Calibri" w:cs="Calibri"/>
          <w:sz w:val="16"/>
          <w:szCs w:val="16"/>
        </w:rPr>
      </w:pPr>
    </w:p>
    <w:p w14:paraId="27612F52" w14:textId="77777777" w:rsidR="0075651D" w:rsidRPr="0075651D" w:rsidRDefault="0075651D" w:rsidP="0075651D">
      <w:pPr>
        <w:pStyle w:val="ListParagraph"/>
        <w:ind w:left="1080"/>
        <w:rPr>
          <w:rFonts w:ascii="Calibri" w:hAnsi="Calibri" w:cs="Calibri"/>
          <w:i/>
          <w:iCs/>
          <w:sz w:val="22"/>
          <w:szCs w:val="22"/>
        </w:rPr>
      </w:pPr>
      <w:r w:rsidRPr="0075651D">
        <w:rPr>
          <w:rFonts w:ascii="Calibri" w:hAnsi="Calibri" w:cs="Calibri"/>
          <w:i/>
          <w:iCs/>
          <w:sz w:val="22"/>
          <w:szCs w:val="22"/>
        </w:rPr>
        <w:t>[Post: Daily exercise]</w:t>
      </w:r>
      <w:proofErr w:type="gramStart"/>
      <w:r w:rsidRPr="0075651D">
        <w:rPr>
          <w:rFonts w:ascii="Calibri" w:hAnsi="Calibri" w:cs="Calibri"/>
          <w:i/>
          <w:iCs/>
          <w:sz w:val="22"/>
          <w:szCs w:val="22"/>
        </w:rPr>
        <w:t>-[</w:t>
      </w:r>
      <w:proofErr w:type="gramEnd"/>
      <w:r w:rsidRPr="0075651D">
        <w:rPr>
          <w:rFonts w:ascii="Calibri" w:hAnsi="Calibri" w:cs="Calibri"/>
          <w:i/>
          <w:iCs/>
          <w:sz w:val="22"/>
          <w:szCs w:val="22"/>
        </w:rPr>
        <w:t>Pre: Daily exercise (Min)]</w:t>
      </w:r>
    </w:p>
    <w:p w14:paraId="56611D14" w14:textId="77777777" w:rsidR="0075651D" w:rsidRPr="0075651D" w:rsidRDefault="0075651D" w:rsidP="0075651D">
      <w:pPr>
        <w:ind w:left="1080"/>
        <w:rPr>
          <w:rFonts w:ascii="Calibri" w:hAnsi="Calibri" w:cs="Calibri"/>
          <w:i/>
          <w:iCs/>
          <w:sz w:val="16"/>
          <w:szCs w:val="16"/>
        </w:rPr>
      </w:pPr>
    </w:p>
    <w:p w14:paraId="66A55C42" w14:textId="77777777" w:rsidR="0075651D" w:rsidRPr="0075651D" w:rsidRDefault="0075651D" w:rsidP="0075651D">
      <w:pPr>
        <w:pStyle w:val="ListParagraph"/>
        <w:numPr>
          <w:ilvl w:val="0"/>
          <w:numId w:val="4"/>
        </w:numPr>
        <w:ind w:left="1080"/>
        <w:rPr>
          <w:rFonts w:ascii="Calibri" w:hAnsi="Calibri" w:cs="Calibri"/>
          <w:i/>
          <w:iCs/>
          <w:sz w:val="22"/>
          <w:szCs w:val="22"/>
        </w:rPr>
      </w:pPr>
      <w:r w:rsidRPr="0075651D">
        <w:rPr>
          <w:rFonts w:ascii="Calibri" w:hAnsi="Calibri" w:cs="Calibri"/>
          <w:b/>
          <w:bCs/>
          <w:sz w:val="22"/>
          <w:szCs w:val="22"/>
          <w:u w:val="single"/>
        </w:rPr>
        <w:t>Total Change Commitment</w:t>
      </w:r>
      <w:r w:rsidRPr="0075651D">
        <w:rPr>
          <w:rFonts w:ascii="Calibri" w:hAnsi="Calibri" w:cs="Calibri"/>
          <w:b/>
          <w:bCs/>
          <w:sz w:val="22"/>
          <w:szCs w:val="22"/>
        </w:rPr>
        <w:t xml:space="preserve">. </w:t>
      </w:r>
      <w:r w:rsidRPr="0075651D">
        <w:rPr>
          <w:rFonts w:ascii="Calibri" w:hAnsi="Calibri" w:cs="Calibri"/>
          <w:sz w:val="22"/>
          <w:szCs w:val="22"/>
        </w:rPr>
        <w:t xml:space="preserve">To assess overall Change Susceptibility, we added the employee’s responses to each of the Change Commitment questions. These five responses to Likert-style questions provided a scale for us to evaluate openness to change in terms of BMI, sleep, and remote work </w:t>
      </w:r>
      <w:r w:rsidRPr="0075651D">
        <w:rPr>
          <w:rFonts w:ascii="Calibri" w:hAnsi="Calibri" w:cs="Calibri"/>
          <w:i/>
          <w:iCs/>
          <w:sz w:val="22"/>
          <w:szCs w:val="22"/>
        </w:rPr>
        <w:t>(Sheet 1, Sheet 2, Sheet 4)</w:t>
      </w:r>
      <w:r w:rsidRPr="0075651D">
        <w:rPr>
          <w:rFonts w:ascii="Calibri" w:hAnsi="Calibri" w:cs="Calibri"/>
          <w:sz w:val="22"/>
          <w:szCs w:val="22"/>
        </w:rPr>
        <w:t>.</w:t>
      </w:r>
    </w:p>
    <w:p w14:paraId="70D14191" w14:textId="77777777" w:rsidR="0075651D" w:rsidRPr="0075651D" w:rsidRDefault="0075651D" w:rsidP="0075651D">
      <w:pPr>
        <w:pStyle w:val="ListParagraph"/>
        <w:ind w:left="1080"/>
        <w:rPr>
          <w:rFonts w:ascii="Calibri" w:hAnsi="Calibri" w:cs="Calibri"/>
          <w:i/>
          <w:iCs/>
          <w:sz w:val="16"/>
          <w:szCs w:val="16"/>
        </w:rPr>
      </w:pPr>
    </w:p>
    <w:p w14:paraId="26CD3F9A" w14:textId="77777777" w:rsidR="0075651D" w:rsidRPr="0075651D" w:rsidRDefault="0075651D" w:rsidP="0075651D">
      <w:pPr>
        <w:ind w:left="1080"/>
        <w:rPr>
          <w:rFonts w:ascii="Calibri" w:hAnsi="Calibri" w:cs="Calibri"/>
          <w:i/>
          <w:iCs/>
          <w:sz w:val="22"/>
          <w:szCs w:val="22"/>
        </w:rPr>
      </w:pPr>
      <w:r w:rsidRPr="0075651D">
        <w:rPr>
          <w:rFonts w:ascii="Calibri" w:hAnsi="Calibri" w:cs="Calibri"/>
          <w:i/>
          <w:iCs/>
          <w:sz w:val="22"/>
          <w:szCs w:val="22"/>
        </w:rPr>
        <w:t>[Change commitment 1 (1-5</w:t>
      </w:r>
      <w:proofErr w:type="gramStart"/>
      <w:r w:rsidRPr="0075651D">
        <w:rPr>
          <w:rFonts w:ascii="Calibri" w:hAnsi="Calibri" w:cs="Calibri"/>
          <w:i/>
          <w:iCs/>
          <w:sz w:val="22"/>
          <w:szCs w:val="22"/>
        </w:rPr>
        <w:t>)]+</w:t>
      </w:r>
      <w:proofErr w:type="gramEnd"/>
      <w:r w:rsidRPr="0075651D">
        <w:rPr>
          <w:rFonts w:ascii="Calibri" w:hAnsi="Calibri" w:cs="Calibri"/>
          <w:i/>
          <w:iCs/>
          <w:sz w:val="22"/>
          <w:szCs w:val="22"/>
        </w:rPr>
        <w:t>[Change commitment 2 (1-5)]+[Change commitment 3 (1-5)]+[Change commitment 4 (1-5)]+[Change commitment 5 (1-5)]</w:t>
      </w:r>
    </w:p>
    <w:p w14:paraId="2B0DCE63" w14:textId="77777777" w:rsidR="0075651D" w:rsidRPr="0075651D" w:rsidRDefault="0075651D" w:rsidP="0075651D">
      <w:pPr>
        <w:ind w:left="1080"/>
        <w:rPr>
          <w:rFonts w:ascii="Calibri" w:hAnsi="Calibri" w:cs="Calibri"/>
          <w:i/>
          <w:iCs/>
          <w:sz w:val="16"/>
          <w:szCs w:val="16"/>
        </w:rPr>
      </w:pPr>
    </w:p>
    <w:p w14:paraId="4BB384D4" w14:textId="77777777" w:rsidR="0075651D" w:rsidRPr="0075651D" w:rsidRDefault="0075651D" w:rsidP="0075651D">
      <w:pPr>
        <w:pStyle w:val="ListParagraph"/>
        <w:numPr>
          <w:ilvl w:val="0"/>
          <w:numId w:val="4"/>
        </w:numPr>
        <w:ind w:left="1080"/>
        <w:rPr>
          <w:rFonts w:ascii="Calibri" w:hAnsi="Calibri" w:cs="Calibri"/>
          <w:i/>
          <w:iCs/>
          <w:sz w:val="22"/>
          <w:szCs w:val="22"/>
        </w:rPr>
      </w:pPr>
      <w:r w:rsidRPr="0075651D">
        <w:rPr>
          <w:rFonts w:ascii="Calibri" w:hAnsi="Calibri" w:cs="Calibri"/>
          <w:b/>
          <w:bCs/>
          <w:sz w:val="22"/>
          <w:szCs w:val="22"/>
          <w:u w:val="single"/>
        </w:rPr>
        <w:t>Total Change Readiness</w:t>
      </w:r>
      <w:r w:rsidRPr="0075651D">
        <w:rPr>
          <w:rFonts w:ascii="Calibri" w:hAnsi="Calibri" w:cs="Calibri"/>
          <w:b/>
          <w:bCs/>
          <w:sz w:val="22"/>
          <w:szCs w:val="22"/>
        </w:rPr>
        <w:t xml:space="preserve">. </w:t>
      </w:r>
      <w:proofErr w:type="gramStart"/>
      <w:r w:rsidRPr="0075651D">
        <w:rPr>
          <w:rFonts w:ascii="Calibri" w:hAnsi="Calibri" w:cs="Calibri"/>
          <w:sz w:val="22"/>
          <w:szCs w:val="22"/>
        </w:rPr>
        <w:t>Similar to</w:t>
      </w:r>
      <w:proofErr w:type="gramEnd"/>
      <w:r w:rsidRPr="0075651D">
        <w:rPr>
          <w:rFonts w:ascii="Calibri" w:hAnsi="Calibri" w:cs="Calibri"/>
          <w:sz w:val="22"/>
          <w:szCs w:val="22"/>
        </w:rPr>
        <w:t xml:space="preserve"> our calculation for Total Change Commitment, we took the sum of responses to Change Readiness questions to ultimately consider variables in relation to Change Susceptibility </w:t>
      </w:r>
      <w:r w:rsidRPr="0075651D">
        <w:rPr>
          <w:rFonts w:ascii="Calibri" w:hAnsi="Calibri" w:cs="Calibri"/>
          <w:i/>
          <w:iCs/>
          <w:sz w:val="22"/>
          <w:szCs w:val="22"/>
        </w:rPr>
        <w:t>(Sheet 1, Sheet 2, Sheet 4)</w:t>
      </w:r>
      <w:r w:rsidRPr="0075651D">
        <w:rPr>
          <w:rFonts w:ascii="Calibri" w:hAnsi="Calibri" w:cs="Calibri"/>
          <w:sz w:val="22"/>
          <w:szCs w:val="22"/>
        </w:rPr>
        <w:t>.</w:t>
      </w:r>
    </w:p>
    <w:p w14:paraId="40FBA330" w14:textId="77777777" w:rsidR="0075651D" w:rsidRPr="0075651D" w:rsidRDefault="0075651D" w:rsidP="0075651D">
      <w:pPr>
        <w:pStyle w:val="ListParagraph"/>
        <w:ind w:left="1080"/>
        <w:rPr>
          <w:rFonts w:ascii="Calibri" w:hAnsi="Calibri" w:cs="Calibri"/>
          <w:i/>
          <w:iCs/>
          <w:sz w:val="16"/>
          <w:szCs w:val="16"/>
        </w:rPr>
      </w:pPr>
    </w:p>
    <w:p w14:paraId="10B0510A" w14:textId="77777777" w:rsidR="0075651D" w:rsidRPr="0075651D" w:rsidRDefault="0075651D" w:rsidP="0075651D">
      <w:pPr>
        <w:pStyle w:val="ListParagraph"/>
        <w:ind w:left="1080"/>
        <w:rPr>
          <w:rFonts w:ascii="Calibri" w:hAnsi="Calibri" w:cs="Calibri"/>
          <w:i/>
          <w:iCs/>
          <w:sz w:val="22"/>
          <w:szCs w:val="22"/>
        </w:rPr>
      </w:pPr>
      <w:r w:rsidRPr="0075651D">
        <w:rPr>
          <w:rFonts w:ascii="Calibri" w:hAnsi="Calibri" w:cs="Calibri"/>
          <w:i/>
          <w:iCs/>
          <w:sz w:val="22"/>
          <w:szCs w:val="22"/>
        </w:rPr>
        <w:t>[Change readiness 1 (1-5</w:t>
      </w:r>
      <w:proofErr w:type="gramStart"/>
      <w:r w:rsidRPr="0075651D">
        <w:rPr>
          <w:rFonts w:ascii="Calibri" w:hAnsi="Calibri" w:cs="Calibri"/>
          <w:i/>
          <w:iCs/>
          <w:sz w:val="22"/>
          <w:szCs w:val="22"/>
        </w:rPr>
        <w:t>)]+</w:t>
      </w:r>
      <w:proofErr w:type="gramEnd"/>
      <w:r w:rsidRPr="0075651D">
        <w:rPr>
          <w:rFonts w:ascii="Calibri" w:hAnsi="Calibri" w:cs="Calibri"/>
          <w:i/>
          <w:iCs/>
          <w:sz w:val="22"/>
          <w:szCs w:val="22"/>
        </w:rPr>
        <w:t>[Change readiness 2 (1-5)]+[Change readiness 3 (1-5)]+[Change readiness 4 (1-5)]+[Change readiness 5 (1-5)]</w:t>
      </w:r>
    </w:p>
    <w:p w14:paraId="5721B5FD" w14:textId="77777777" w:rsidR="0075651D" w:rsidRPr="0075651D" w:rsidRDefault="0075651D" w:rsidP="0075651D">
      <w:pPr>
        <w:ind w:left="1080"/>
        <w:rPr>
          <w:rFonts w:ascii="Calibri" w:hAnsi="Calibri" w:cs="Calibri"/>
          <w:i/>
          <w:iCs/>
          <w:sz w:val="16"/>
          <w:szCs w:val="16"/>
        </w:rPr>
      </w:pPr>
    </w:p>
    <w:p w14:paraId="434F7E15" w14:textId="77777777" w:rsidR="0075651D" w:rsidRPr="0075651D" w:rsidRDefault="0075651D" w:rsidP="0075651D">
      <w:pPr>
        <w:pStyle w:val="ListParagraph"/>
        <w:numPr>
          <w:ilvl w:val="0"/>
          <w:numId w:val="4"/>
        </w:numPr>
        <w:ind w:left="1080"/>
        <w:rPr>
          <w:rFonts w:ascii="Calibri" w:hAnsi="Calibri" w:cs="Calibri"/>
          <w:i/>
          <w:iCs/>
          <w:sz w:val="22"/>
          <w:szCs w:val="22"/>
        </w:rPr>
      </w:pPr>
      <w:r w:rsidRPr="0075651D">
        <w:rPr>
          <w:rFonts w:ascii="Calibri" w:hAnsi="Calibri" w:cs="Calibri"/>
          <w:b/>
          <w:bCs/>
          <w:sz w:val="22"/>
          <w:szCs w:val="22"/>
          <w:u w:val="single"/>
        </w:rPr>
        <w:t>Change Susceptibility</w:t>
      </w:r>
      <w:r w:rsidRPr="0075651D">
        <w:rPr>
          <w:rFonts w:ascii="Calibri" w:hAnsi="Calibri" w:cs="Calibri"/>
          <w:b/>
          <w:bCs/>
          <w:sz w:val="22"/>
          <w:szCs w:val="22"/>
        </w:rPr>
        <w:t xml:space="preserve">. </w:t>
      </w:r>
      <w:r w:rsidRPr="0075651D">
        <w:rPr>
          <w:rFonts w:ascii="Calibri" w:hAnsi="Calibri" w:cs="Calibri"/>
          <w:sz w:val="22"/>
          <w:szCs w:val="22"/>
        </w:rPr>
        <w:t xml:space="preserve">Calculated by adding Total Change Commitment to Total Change Readiness, we used Change Susceptibility as a predictor for BMI and sleep improvement </w:t>
      </w:r>
      <w:r w:rsidRPr="0075651D">
        <w:rPr>
          <w:rFonts w:ascii="Calibri" w:hAnsi="Calibri" w:cs="Calibri"/>
          <w:i/>
          <w:iCs/>
          <w:sz w:val="22"/>
          <w:szCs w:val="22"/>
        </w:rPr>
        <w:t>(Sheet 1, Sheet 2)</w:t>
      </w:r>
      <w:r w:rsidRPr="0075651D">
        <w:rPr>
          <w:rFonts w:ascii="Calibri" w:hAnsi="Calibri" w:cs="Calibri"/>
          <w:sz w:val="22"/>
          <w:szCs w:val="22"/>
        </w:rPr>
        <w:t xml:space="preserve">. Additionally, we used Change Susceptibility as a filter for considering its effect on employee engagement for in-person and remote workers </w:t>
      </w:r>
      <w:r w:rsidRPr="0075651D">
        <w:rPr>
          <w:rFonts w:ascii="Calibri" w:hAnsi="Calibri" w:cs="Calibri"/>
          <w:i/>
          <w:iCs/>
          <w:sz w:val="22"/>
          <w:szCs w:val="22"/>
        </w:rPr>
        <w:t>(Sheet 4)</w:t>
      </w:r>
      <w:r w:rsidRPr="0075651D">
        <w:rPr>
          <w:rFonts w:ascii="Calibri" w:hAnsi="Calibri" w:cs="Calibri"/>
          <w:sz w:val="22"/>
          <w:szCs w:val="22"/>
        </w:rPr>
        <w:t>.</w:t>
      </w:r>
    </w:p>
    <w:p w14:paraId="5BA4B6EE" w14:textId="77777777" w:rsidR="0075651D" w:rsidRPr="0075651D" w:rsidRDefault="0075651D" w:rsidP="0075651D">
      <w:pPr>
        <w:pStyle w:val="ListParagraph"/>
        <w:ind w:left="1080"/>
        <w:rPr>
          <w:rFonts w:ascii="Calibri" w:hAnsi="Calibri" w:cs="Calibri"/>
          <w:i/>
          <w:iCs/>
          <w:sz w:val="16"/>
          <w:szCs w:val="16"/>
        </w:rPr>
      </w:pPr>
    </w:p>
    <w:p w14:paraId="0B28F14F" w14:textId="0C1B29ED" w:rsidR="0075651D" w:rsidRPr="0075651D" w:rsidRDefault="0075651D" w:rsidP="0075651D">
      <w:pPr>
        <w:pStyle w:val="ListParagraph"/>
        <w:ind w:left="1080"/>
        <w:rPr>
          <w:rFonts w:ascii="Calibri" w:hAnsi="Calibri" w:cs="Calibri"/>
          <w:i/>
          <w:iCs/>
          <w:sz w:val="22"/>
          <w:szCs w:val="22"/>
        </w:rPr>
      </w:pPr>
      <w:r w:rsidRPr="0075651D">
        <w:rPr>
          <w:rFonts w:ascii="Calibri" w:hAnsi="Calibri" w:cs="Calibri"/>
          <w:i/>
          <w:iCs/>
          <w:sz w:val="22"/>
          <w:szCs w:val="22"/>
        </w:rPr>
        <w:t xml:space="preserve">[Total Change </w:t>
      </w:r>
      <w:proofErr w:type="gramStart"/>
      <w:r w:rsidRPr="0075651D">
        <w:rPr>
          <w:rFonts w:ascii="Calibri" w:hAnsi="Calibri" w:cs="Calibri"/>
          <w:i/>
          <w:iCs/>
          <w:sz w:val="22"/>
          <w:szCs w:val="22"/>
        </w:rPr>
        <w:t>Commitment]+</w:t>
      </w:r>
      <w:proofErr w:type="gramEnd"/>
      <w:r w:rsidRPr="0075651D">
        <w:rPr>
          <w:rFonts w:ascii="Calibri" w:hAnsi="Calibri" w:cs="Calibri"/>
          <w:i/>
          <w:iCs/>
          <w:sz w:val="22"/>
          <w:szCs w:val="22"/>
        </w:rPr>
        <w:t>[Total Change Readiness]</w:t>
      </w:r>
    </w:p>
    <w:p w14:paraId="3CBE0F9C" w14:textId="77777777" w:rsidR="0075651D" w:rsidRPr="0075651D" w:rsidRDefault="0075651D" w:rsidP="0075651D">
      <w:pPr>
        <w:pStyle w:val="ListParagraph"/>
        <w:numPr>
          <w:ilvl w:val="0"/>
          <w:numId w:val="4"/>
        </w:numPr>
        <w:ind w:left="1080"/>
        <w:rPr>
          <w:rFonts w:ascii="Calibri" w:hAnsi="Calibri" w:cs="Calibri"/>
          <w:i/>
          <w:iCs/>
          <w:sz w:val="22"/>
          <w:szCs w:val="22"/>
        </w:rPr>
      </w:pPr>
      <w:r w:rsidRPr="0075651D">
        <w:rPr>
          <w:rFonts w:ascii="Calibri" w:hAnsi="Calibri" w:cs="Calibri"/>
          <w:b/>
          <w:bCs/>
          <w:sz w:val="22"/>
          <w:szCs w:val="22"/>
          <w:u w:val="single"/>
        </w:rPr>
        <w:lastRenderedPageBreak/>
        <w:t>Quality of Sleep Difference</w:t>
      </w:r>
      <w:r w:rsidRPr="0075651D">
        <w:rPr>
          <w:rFonts w:ascii="Calibri" w:hAnsi="Calibri" w:cs="Calibri"/>
          <w:b/>
          <w:bCs/>
          <w:sz w:val="22"/>
          <w:szCs w:val="22"/>
        </w:rPr>
        <w:t xml:space="preserve">. </w:t>
      </w:r>
      <w:r w:rsidRPr="0075651D">
        <w:rPr>
          <w:rFonts w:ascii="Calibri" w:hAnsi="Calibri" w:cs="Calibri"/>
          <w:sz w:val="22"/>
          <w:szCs w:val="22"/>
        </w:rPr>
        <w:t xml:space="preserve">To obtain a metric for examining openness to change in relation to sleep quality, we subtracted the Likert-scale response for pre-intervention quality of sleep from that for post-intervention quality of sleep </w:t>
      </w:r>
      <w:r w:rsidRPr="0075651D">
        <w:rPr>
          <w:rFonts w:ascii="Calibri" w:hAnsi="Calibri" w:cs="Calibri"/>
          <w:i/>
          <w:iCs/>
          <w:sz w:val="22"/>
          <w:szCs w:val="22"/>
        </w:rPr>
        <w:t>(Sheet 2)</w:t>
      </w:r>
      <w:r w:rsidRPr="0075651D">
        <w:rPr>
          <w:rFonts w:ascii="Calibri" w:hAnsi="Calibri" w:cs="Calibri"/>
          <w:sz w:val="22"/>
          <w:szCs w:val="22"/>
        </w:rPr>
        <w:t xml:space="preserve">. We also considered this metric in relation to performance </w:t>
      </w:r>
      <w:r w:rsidRPr="0075651D">
        <w:rPr>
          <w:rFonts w:ascii="Calibri" w:hAnsi="Calibri" w:cs="Calibri"/>
          <w:i/>
          <w:iCs/>
          <w:sz w:val="22"/>
          <w:szCs w:val="22"/>
        </w:rPr>
        <w:t>(Sheet 3)</w:t>
      </w:r>
      <w:r w:rsidRPr="0075651D">
        <w:rPr>
          <w:rFonts w:ascii="Calibri" w:hAnsi="Calibri" w:cs="Calibri"/>
          <w:sz w:val="22"/>
          <w:szCs w:val="22"/>
        </w:rPr>
        <w:t>.</w:t>
      </w:r>
    </w:p>
    <w:p w14:paraId="62699814" w14:textId="77777777" w:rsidR="0075651D" w:rsidRPr="0075651D" w:rsidRDefault="0075651D" w:rsidP="0075651D">
      <w:pPr>
        <w:pStyle w:val="ListParagraph"/>
        <w:ind w:left="1080"/>
        <w:rPr>
          <w:rFonts w:ascii="Calibri" w:hAnsi="Calibri" w:cs="Calibri"/>
          <w:i/>
          <w:iCs/>
          <w:sz w:val="16"/>
          <w:szCs w:val="16"/>
        </w:rPr>
      </w:pPr>
    </w:p>
    <w:p w14:paraId="07FC3141" w14:textId="77777777" w:rsidR="0075651D" w:rsidRPr="0075651D" w:rsidRDefault="0075651D" w:rsidP="0075651D">
      <w:pPr>
        <w:ind w:left="1080"/>
        <w:rPr>
          <w:rFonts w:ascii="Calibri" w:hAnsi="Calibri" w:cs="Calibri"/>
          <w:i/>
          <w:iCs/>
          <w:sz w:val="22"/>
          <w:szCs w:val="22"/>
        </w:rPr>
      </w:pPr>
      <w:r w:rsidRPr="0075651D">
        <w:rPr>
          <w:rFonts w:ascii="Calibri" w:hAnsi="Calibri" w:cs="Calibri"/>
          <w:i/>
          <w:iCs/>
          <w:sz w:val="22"/>
          <w:szCs w:val="22"/>
        </w:rPr>
        <w:t>[Post: Quality of sleep]</w:t>
      </w:r>
      <w:proofErr w:type="gramStart"/>
      <w:r w:rsidRPr="0075651D">
        <w:rPr>
          <w:rFonts w:ascii="Calibri" w:hAnsi="Calibri" w:cs="Calibri"/>
          <w:i/>
          <w:iCs/>
          <w:sz w:val="22"/>
          <w:szCs w:val="22"/>
        </w:rPr>
        <w:t>-[</w:t>
      </w:r>
      <w:proofErr w:type="gramEnd"/>
      <w:r w:rsidRPr="0075651D">
        <w:rPr>
          <w:rFonts w:ascii="Calibri" w:hAnsi="Calibri" w:cs="Calibri"/>
          <w:i/>
          <w:iCs/>
          <w:sz w:val="22"/>
          <w:szCs w:val="22"/>
        </w:rPr>
        <w:t>Pre: Quality of sleep]</w:t>
      </w:r>
    </w:p>
    <w:p w14:paraId="70FA32FF" w14:textId="77777777" w:rsidR="0075651D" w:rsidRPr="0075651D" w:rsidRDefault="0075651D" w:rsidP="0075651D">
      <w:pPr>
        <w:ind w:left="1080"/>
        <w:rPr>
          <w:rFonts w:ascii="Calibri" w:hAnsi="Calibri" w:cs="Calibri"/>
          <w:sz w:val="16"/>
          <w:szCs w:val="16"/>
        </w:rPr>
      </w:pPr>
    </w:p>
    <w:p w14:paraId="49835D2B" w14:textId="77777777" w:rsidR="0075651D" w:rsidRPr="0075651D" w:rsidRDefault="0075651D" w:rsidP="0075651D">
      <w:pPr>
        <w:pStyle w:val="ListParagraph"/>
        <w:numPr>
          <w:ilvl w:val="0"/>
          <w:numId w:val="4"/>
        </w:numPr>
        <w:ind w:left="1080"/>
        <w:rPr>
          <w:rFonts w:ascii="Calibri" w:hAnsi="Calibri" w:cs="Calibri"/>
          <w:sz w:val="22"/>
          <w:szCs w:val="22"/>
        </w:rPr>
      </w:pPr>
      <w:r w:rsidRPr="0075651D">
        <w:rPr>
          <w:rFonts w:ascii="Calibri" w:hAnsi="Calibri" w:cs="Calibri"/>
          <w:b/>
          <w:bCs/>
          <w:sz w:val="22"/>
          <w:szCs w:val="22"/>
          <w:u w:val="single"/>
        </w:rPr>
        <w:t>Hours of Sleep Difference</w:t>
      </w:r>
      <w:r w:rsidRPr="0075651D">
        <w:rPr>
          <w:rFonts w:ascii="Calibri" w:hAnsi="Calibri" w:cs="Calibri"/>
          <w:b/>
          <w:bCs/>
          <w:sz w:val="22"/>
          <w:szCs w:val="22"/>
        </w:rPr>
        <w:t xml:space="preserve">. </w:t>
      </w:r>
      <w:r w:rsidRPr="0075651D">
        <w:rPr>
          <w:rFonts w:ascii="Calibri" w:hAnsi="Calibri" w:cs="Calibri"/>
          <w:sz w:val="22"/>
          <w:szCs w:val="22"/>
        </w:rPr>
        <w:t xml:space="preserve">Examined alongside Quality of Sleep Difference, this field demonstrates the heath intervention’s effects of sleep quantity. This metric helps us answer the question of which incentive was more effective in improving sleeping habits </w:t>
      </w:r>
      <w:r w:rsidRPr="0075651D">
        <w:rPr>
          <w:rFonts w:ascii="Calibri" w:hAnsi="Calibri" w:cs="Calibri"/>
          <w:i/>
          <w:iCs/>
          <w:sz w:val="22"/>
          <w:szCs w:val="22"/>
        </w:rPr>
        <w:t>(Sheet 2)</w:t>
      </w:r>
      <w:r w:rsidRPr="0075651D">
        <w:rPr>
          <w:rFonts w:ascii="Calibri" w:hAnsi="Calibri" w:cs="Calibri"/>
          <w:sz w:val="22"/>
          <w:szCs w:val="22"/>
        </w:rPr>
        <w:t xml:space="preserve">. </w:t>
      </w:r>
    </w:p>
    <w:p w14:paraId="4F9A101D" w14:textId="77777777" w:rsidR="0075651D" w:rsidRPr="0075651D" w:rsidRDefault="0075651D" w:rsidP="0075651D">
      <w:pPr>
        <w:pStyle w:val="ListParagraph"/>
        <w:ind w:left="1080"/>
        <w:rPr>
          <w:rFonts w:ascii="Calibri" w:hAnsi="Calibri" w:cs="Calibri"/>
          <w:sz w:val="16"/>
          <w:szCs w:val="16"/>
        </w:rPr>
      </w:pPr>
    </w:p>
    <w:p w14:paraId="64690C0A" w14:textId="77777777" w:rsidR="0075651D" w:rsidRPr="0075651D" w:rsidRDefault="0075651D" w:rsidP="0075651D">
      <w:pPr>
        <w:pStyle w:val="ListParagraph"/>
        <w:ind w:left="1080"/>
        <w:rPr>
          <w:rFonts w:ascii="Calibri" w:hAnsi="Calibri" w:cs="Calibri"/>
          <w:i/>
          <w:iCs/>
          <w:sz w:val="22"/>
          <w:szCs w:val="22"/>
        </w:rPr>
      </w:pPr>
      <w:r w:rsidRPr="0075651D">
        <w:rPr>
          <w:rFonts w:ascii="Calibri" w:hAnsi="Calibri" w:cs="Calibri"/>
          <w:i/>
          <w:iCs/>
          <w:sz w:val="22"/>
          <w:szCs w:val="22"/>
        </w:rPr>
        <w:t>[Post: Hours of sleep]</w:t>
      </w:r>
      <w:proofErr w:type="gramStart"/>
      <w:r w:rsidRPr="0075651D">
        <w:rPr>
          <w:rFonts w:ascii="Calibri" w:hAnsi="Calibri" w:cs="Calibri"/>
          <w:i/>
          <w:iCs/>
          <w:sz w:val="22"/>
          <w:szCs w:val="22"/>
        </w:rPr>
        <w:t>-[</w:t>
      </w:r>
      <w:proofErr w:type="gramEnd"/>
      <w:r w:rsidRPr="0075651D">
        <w:rPr>
          <w:rFonts w:ascii="Calibri" w:hAnsi="Calibri" w:cs="Calibri"/>
          <w:i/>
          <w:iCs/>
          <w:sz w:val="22"/>
          <w:szCs w:val="22"/>
        </w:rPr>
        <w:t>Pre: Hours of sleep]</w:t>
      </w:r>
    </w:p>
    <w:p w14:paraId="2CFFBDDE" w14:textId="77777777" w:rsidR="0075651D" w:rsidRPr="0075651D" w:rsidRDefault="0075651D" w:rsidP="0075651D">
      <w:pPr>
        <w:ind w:left="1080"/>
        <w:rPr>
          <w:rFonts w:ascii="Calibri" w:hAnsi="Calibri" w:cs="Calibri"/>
          <w:sz w:val="16"/>
          <w:szCs w:val="16"/>
        </w:rPr>
      </w:pPr>
    </w:p>
    <w:p w14:paraId="6A23A624" w14:textId="77777777" w:rsidR="0075651D" w:rsidRPr="0075651D" w:rsidRDefault="0075651D" w:rsidP="0075651D">
      <w:pPr>
        <w:pStyle w:val="ListParagraph"/>
        <w:numPr>
          <w:ilvl w:val="0"/>
          <w:numId w:val="4"/>
        </w:numPr>
        <w:ind w:left="1080"/>
        <w:rPr>
          <w:rFonts w:ascii="Calibri" w:hAnsi="Calibri" w:cs="Calibri"/>
          <w:sz w:val="22"/>
          <w:szCs w:val="22"/>
        </w:rPr>
      </w:pPr>
      <w:r w:rsidRPr="0075651D">
        <w:rPr>
          <w:rFonts w:ascii="Calibri" w:hAnsi="Calibri" w:cs="Calibri"/>
          <w:b/>
          <w:bCs/>
          <w:sz w:val="22"/>
          <w:szCs w:val="22"/>
          <w:u w:val="single"/>
        </w:rPr>
        <w:t>Change Susceptibility Label</w:t>
      </w:r>
      <w:r w:rsidRPr="0075651D">
        <w:rPr>
          <w:rFonts w:ascii="Calibri" w:hAnsi="Calibri" w:cs="Calibri"/>
          <w:sz w:val="22"/>
          <w:szCs w:val="22"/>
        </w:rPr>
        <w:t xml:space="preserve">. We created this field to assign Likert-style values to our Change Susceptibility scale. Given that the summed responses range between 14-42, we used a range of six to divide the response categories along the scale. This field ultimately allows us to examine how openness to change impacts employee engagement </w:t>
      </w:r>
      <w:r w:rsidRPr="0075651D">
        <w:rPr>
          <w:rFonts w:ascii="Calibri" w:hAnsi="Calibri" w:cs="Calibri"/>
          <w:i/>
          <w:iCs/>
          <w:sz w:val="22"/>
          <w:szCs w:val="22"/>
        </w:rPr>
        <w:t>(Sheet 4)</w:t>
      </w:r>
      <w:r w:rsidRPr="0075651D">
        <w:rPr>
          <w:rFonts w:ascii="Calibri" w:hAnsi="Calibri" w:cs="Calibri"/>
          <w:sz w:val="22"/>
          <w:szCs w:val="22"/>
        </w:rPr>
        <w:t xml:space="preserve">. </w:t>
      </w:r>
    </w:p>
    <w:p w14:paraId="74A9B1A1" w14:textId="77777777" w:rsidR="0075651D" w:rsidRPr="0075651D" w:rsidRDefault="0075651D" w:rsidP="0075651D">
      <w:pPr>
        <w:pStyle w:val="ListParagraph"/>
        <w:ind w:left="1080"/>
        <w:rPr>
          <w:rFonts w:ascii="Calibri" w:hAnsi="Calibri" w:cs="Calibri"/>
          <w:sz w:val="16"/>
          <w:szCs w:val="16"/>
        </w:rPr>
      </w:pPr>
    </w:p>
    <w:p w14:paraId="205BAC7F" w14:textId="77777777" w:rsidR="0075651D" w:rsidRDefault="0075651D" w:rsidP="0075651D">
      <w:pPr>
        <w:ind w:left="1080"/>
        <w:rPr>
          <w:rFonts w:ascii="Calibri" w:hAnsi="Calibri" w:cs="Calibri"/>
          <w:i/>
          <w:iCs/>
          <w:sz w:val="22"/>
          <w:szCs w:val="22"/>
        </w:rPr>
      </w:pPr>
      <w:r w:rsidRPr="0075651D">
        <w:rPr>
          <w:rFonts w:ascii="Calibri" w:hAnsi="Calibri" w:cs="Calibri"/>
          <w:i/>
          <w:iCs/>
          <w:sz w:val="22"/>
          <w:szCs w:val="22"/>
        </w:rPr>
        <w:t>IF [Change Susceptibility] &lt;18 THEN "Firmly Against Change"</w:t>
      </w:r>
    </w:p>
    <w:p w14:paraId="283A1C53" w14:textId="77777777" w:rsidR="0075651D" w:rsidRDefault="0075651D" w:rsidP="0075651D">
      <w:pPr>
        <w:ind w:left="1080"/>
        <w:rPr>
          <w:rFonts w:ascii="Calibri" w:hAnsi="Calibri" w:cs="Calibri"/>
          <w:i/>
          <w:iCs/>
          <w:sz w:val="22"/>
          <w:szCs w:val="22"/>
        </w:rPr>
      </w:pPr>
      <w:r w:rsidRPr="0075651D">
        <w:rPr>
          <w:rFonts w:ascii="Calibri" w:hAnsi="Calibri" w:cs="Calibri"/>
          <w:i/>
          <w:iCs/>
          <w:sz w:val="22"/>
          <w:szCs w:val="22"/>
        </w:rPr>
        <w:t>ELSEIF [Change Susceptibility] &gt;=18 AND [Change Susceptibility] &lt;24 THEN "Moderately</w:t>
      </w:r>
      <w:r>
        <w:rPr>
          <w:rFonts w:ascii="Calibri" w:hAnsi="Calibri" w:cs="Calibri"/>
          <w:i/>
          <w:iCs/>
          <w:sz w:val="22"/>
          <w:szCs w:val="22"/>
        </w:rPr>
        <w:t xml:space="preserve"> </w:t>
      </w:r>
      <w:r w:rsidRPr="0075651D">
        <w:rPr>
          <w:rFonts w:ascii="Calibri" w:hAnsi="Calibri" w:cs="Calibri"/>
          <w:i/>
          <w:iCs/>
          <w:sz w:val="22"/>
          <w:szCs w:val="22"/>
        </w:rPr>
        <w:t>Against Change"</w:t>
      </w:r>
      <w:r w:rsidRPr="0075651D">
        <w:rPr>
          <w:rFonts w:ascii="Calibri" w:hAnsi="Calibri" w:cs="Calibri"/>
          <w:i/>
          <w:iCs/>
          <w:sz w:val="22"/>
          <w:szCs w:val="22"/>
        </w:rPr>
        <w:t xml:space="preserve"> </w:t>
      </w:r>
    </w:p>
    <w:p w14:paraId="101AB5C6" w14:textId="77777777" w:rsidR="0075651D" w:rsidRDefault="0075651D" w:rsidP="0075651D">
      <w:pPr>
        <w:ind w:left="1080"/>
        <w:rPr>
          <w:rFonts w:ascii="Calibri" w:hAnsi="Calibri" w:cs="Calibri"/>
          <w:i/>
          <w:iCs/>
          <w:sz w:val="22"/>
          <w:szCs w:val="22"/>
        </w:rPr>
      </w:pPr>
      <w:r w:rsidRPr="0075651D">
        <w:rPr>
          <w:rFonts w:ascii="Calibri" w:hAnsi="Calibri" w:cs="Calibri"/>
          <w:i/>
          <w:iCs/>
          <w:sz w:val="22"/>
          <w:szCs w:val="22"/>
        </w:rPr>
        <w:t>ELSEIF [Change Susceptibility] &gt;=24 AND [Change Susceptibility] &lt;30 THEN "Neutral"</w:t>
      </w:r>
    </w:p>
    <w:p w14:paraId="2C61D9E0" w14:textId="77777777" w:rsidR="0075651D" w:rsidRDefault="0075651D" w:rsidP="0075651D">
      <w:pPr>
        <w:ind w:left="1080"/>
        <w:rPr>
          <w:rFonts w:ascii="Calibri" w:hAnsi="Calibri" w:cs="Calibri"/>
          <w:i/>
          <w:iCs/>
          <w:sz w:val="22"/>
          <w:szCs w:val="22"/>
        </w:rPr>
      </w:pPr>
      <w:r w:rsidRPr="0075651D">
        <w:rPr>
          <w:rFonts w:ascii="Calibri" w:hAnsi="Calibri" w:cs="Calibri"/>
          <w:i/>
          <w:iCs/>
          <w:sz w:val="22"/>
          <w:szCs w:val="22"/>
        </w:rPr>
        <w:t>ELSEIF [Change Susceptibility] &gt;=30 AND [Change Susceptibility] &lt;36 THEN "Moderately Open to Change"</w:t>
      </w:r>
    </w:p>
    <w:p w14:paraId="68460EB8" w14:textId="6BBC2845" w:rsidR="0075651D" w:rsidRPr="0075651D" w:rsidRDefault="0075651D" w:rsidP="0075651D">
      <w:pPr>
        <w:ind w:left="1080"/>
        <w:rPr>
          <w:rFonts w:ascii="Calibri" w:hAnsi="Calibri" w:cs="Calibri"/>
          <w:i/>
          <w:iCs/>
          <w:sz w:val="22"/>
          <w:szCs w:val="22"/>
        </w:rPr>
      </w:pPr>
      <w:r w:rsidRPr="0075651D">
        <w:rPr>
          <w:rFonts w:ascii="Calibri" w:hAnsi="Calibri" w:cs="Calibri"/>
          <w:i/>
          <w:iCs/>
          <w:sz w:val="22"/>
          <w:szCs w:val="22"/>
        </w:rPr>
        <w:t>ELSEIF [Change Susceptibility] &gt;=36 THEN "Firmly Open to Change"</w:t>
      </w:r>
    </w:p>
    <w:p w14:paraId="62AF86E1" w14:textId="77777777" w:rsidR="0075651D" w:rsidRPr="0075651D" w:rsidRDefault="0075651D" w:rsidP="0075651D">
      <w:pPr>
        <w:ind w:left="1080"/>
        <w:rPr>
          <w:rFonts w:ascii="Calibri" w:hAnsi="Calibri" w:cs="Calibri"/>
          <w:i/>
          <w:iCs/>
          <w:sz w:val="22"/>
          <w:szCs w:val="22"/>
        </w:rPr>
      </w:pPr>
      <w:r w:rsidRPr="0075651D">
        <w:rPr>
          <w:rFonts w:ascii="Calibri" w:hAnsi="Calibri" w:cs="Calibri"/>
          <w:i/>
          <w:iCs/>
          <w:sz w:val="22"/>
          <w:szCs w:val="22"/>
        </w:rPr>
        <w:t>END</w:t>
      </w:r>
    </w:p>
    <w:p w14:paraId="02D63E02" w14:textId="77777777" w:rsidR="0075651D" w:rsidRPr="0075651D" w:rsidRDefault="0075651D" w:rsidP="0075651D">
      <w:pPr>
        <w:ind w:left="1080"/>
        <w:rPr>
          <w:rFonts w:ascii="Calibri" w:hAnsi="Calibri" w:cs="Calibri"/>
          <w:sz w:val="16"/>
          <w:szCs w:val="16"/>
        </w:rPr>
      </w:pPr>
    </w:p>
    <w:p w14:paraId="70158527" w14:textId="77777777" w:rsidR="0075651D" w:rsidRPr="0075651D" w:rsidRDefault="0075651D" w:rsidP="0075651D">
      <w:pPr>
        <w:pStyle w:val="ListParagraph"/>
        <w:numPr>
          <w:ilvl w:val="0"/>
          <w:numId w:val="4"/>
        </w:numPr>
        <w:ind w:left="1080"/>
        <w:rPr>
          <w:rFonts w:ascii="Calibri" w:hAnsi="Calibri" w:cs="Calibri"/>
          <w:sz w:val="22"/>
          <w:szCs w:val="22"/>
        </w:rPr>
      </w:pPr>
      <w:r w:rsidRPr="0075651D">
        <w:rPr>
          <w:rFonts w:ascii="Calibri" w:hAnsi="Calibri" w:cs="Calibri"/>
          <w:b/>
          <w:bCs/>
          <w:sz w:val="22"/>
          <w:szCs w:val="22"/>
          <w:u w:val="single"/>
        </w:rPr>
        <w:t>Engagement Rating</w:t>
      </w:r>
      <w:r w:rsidRPr="0075651D">
        <w:rPr>
          <w:rFonts w:ascii="Calibri" w:hAnsi="Calibri" w:cs="Calibri"/>
          <w:b/>
          <w:bCs/>
          <w:sz w:val="22"/>
          <w:szCs w:val="22"/>
        </w:rPr>
        <w:t>.</w:t>
      </w:r>
      <w:r w:rsidRPr="0075651D">
        <w:rPr>
          <w:rFonts w:ascii="Calibri" w:hAnsi="Calibri" w:cs="Calibri"/>
          <w:sz w:val="22"/>
          <w:szCs w:val="22"/>
        </w:rPr>
        <w:t xml:space="preserve"> In evaluating whether remote workers are less engaged than in-person workers, we summed Likert-style responses to questions of employee engagement </w:t>
      </w:r>
      <w:r w:rsidRPr="0075651D">
        <w:rPr>
          <w:rFonts w:ascii="Calibri" w:hAnsi="Calibri" w:cs="Calibri"/>
          <w:i/>
          <w:iCs/>
          <w:sz w:val="22"/>
          <w:szCs w:val="22"/>
        </w:rPr>
        <w:t>(Sheet 4)</w:t>
      </w:r>
      <w:r w:rsidRPr="0075651D">
        <w:rPr>
          <w:rFonts w:ascii="Calibri" w:hAnsi="Calibri" w:cs="Calibri"/>
          <w:sz w:val="22"/>
          <w:szCs w:val="22"/>
        </w:rPr>
        <w:t xml:space="preserve">. This value includes the pre-intervention and post-intervention evaluations.  </w:t>
      </w:r>
    </w:p>
    <w:p w14:paraId="04A20C61" w14:textId="77777777" w:rsidR="0075651D" w:rsidRPr="0075651D" w:rsidRDefault="0075651D" w:rsidP="0075651D">
      <w:pPr>
        <w:pStyle w:val="ListParagraph"/>
        <w:ind w:left="1080"/>
        <w:rPr>
          <w:rFonts w:ascii="Calibri" w:hAnsi="Calibri" w:cs="Calibri"/>
          <w:sz w:val="16"/>
          <w:szCs w:val="16"/>
        </w:rPr>
      </w:pPr>
    </w:p>
    <w:p w14:paraId="57C19C29" w14:textId="77777777" w:rsidR="0075651D" w:rsidRPr="0075651D" w:rsidRDefault="0075651D" w:rsidP="0075651D">
      <w:pPr>
        <w:pStyle w:val="ListParagraph"/>
        <w:ind w:left="1080"/>
        <w:rPr>
          <w:rFonts w:ascii="Calibri" w:hAnsi="Calibri" w:cs="Calibri"/>
          <w:i/>
          <w:iCs/>
          <w:sz w:val="22"/>
          <w:szCs w:val="22"/>
        </w:rPr>
      </w:pPr>
      <w:r w:rsidRPr="0075651D">
        <w:rPr>
          <w:rFonts w:ascii="Calibri" w:hAnsi="Calibri" w:cs="Calibri"/>
          <w:i/>
          <w:iCs/>
          <w:sz w:val="22"/>
          <w:szCs w:val="22"/>
        </w:rPr>
        <w:t xml:space="preserve">([Post Engagement question </w:t>
      </w:r>
      <w:proofErr w:type="gramStart"/>
      <w:r w:rsidRPr="0075651D">
        <w:rPr>
          <w:rFonts w:ascii="Calibri" w:hAnsi="Calibri" w:cs="Calibri"/>
          <w:i/>
          <w:iCs/>
          <w:sz w:val="22"/>
          <w:szCs w:val="22"/>
        </w:rPr>
        <w:t>1]+</w:t>
      </w:r>
      <w:proofErr w:type="gramEnd"/>
      <w:r w:rsidRPr="0075651D">
        <w:rPr>
          <w:rFonts w:ascii="Calibri" w:hAnsi="Calibri" w:cs="Calibri"/>
          <w:i/>
          <w:iCs/>
          <w:sz w:val="22"/>
          <w:szCs w:val="22"/>
        </w:rPr>
        <w:t xml:space="preserve"> [Post Engagement question 2]+[Post Engagement question 3]-[Pre Engagement question 1]-[Pre Engagement question 2]-[Pre Engagement question 3])</w:t>
      </w:r>
    </w:p>
    <w:p w14:paraId="3990B034" w14:textId="77777777" w:rsidR="0075651D" w:rsidRPr="0075651D" w:rsidRDefault="0075651D" w:rsidP="0075651D">
      <w:pPr>
        <w:ind w:left="1080"/>
        <w:rPr>
          <w:rFonts w:ascii="Calibri" w:hAnsi="Calibri" w:cs="Calibri"/>
          <w:b/>
          <w:bCs/>
          <w:color w:val="000000"/>
          <w:sz w:val="16"/>
          <w:szCs w:val="16"/>
        </w:rPr>
      </w:pPr>
    </w:p>
    <w:p w14:paraId="7EC49686" w14:textId="77777777" w:rsidR="0075651D" w:rsidRPr="0075651D" w:rsidRDefault="0075651D" w:rsidP="0075651D">
      <w:pPr>
        <w:pStyle w:val="ListParagraph"/>
        <w:numPr>
          <w:ilvl w:val="0"/>
          <w:numId w:val="4"/>
        </w:numPr>
        <w:ind w:left="1080"/>
        <w:rPr>
          <w:rFonts w:ascii="Calibri" w:hAnsi="Calibri" w:cs="Calibri"/>
          <w:color w:val="000000"/>
          <w:sz w:val="22"/>
          <w:szCs w:val="22"/>
        </w:rPr>
      </w:pPr>
      <w:r w:rsidRPr="0075651D">
        <w:rPr>
          <w:rFonts w:ascii="Calibri" w:hAnsi="Calibri" w:cs="Calibri"/>
          <w:b/>
          <w:bCs/>
          <w:color w:val="000000"/>
          <w:sz w:val="22"/>
          <w:szCs w:val="22"/>
          <w:u w:val="single"/>
        </w:rPr>
        <w:t>Difference in Smoking</w:t>
      </w:r>
      <w:r w:rsidRPr="0075651D">
        <w:rPr>
          <w:rFonts w:ascii="Calibri" w:hAnsi="Calibri" w:cs="Calibri"/>
          <w:b/>
          <w:bCs/>
          <w:color w:val="000000"/>
          <w:sz w:val="22"/>
          <w:szCs w:val="22"/>
        </w:rPr>
        <w:t xml:space="preserve">. </w:t>
      </w:r>
      <w:r w:rsidRPr="0075651D">
        <w:rPr>
          <w:rFonts w:ascii="Calibri" w:hAnsi="Calibri" w:cs="Calibri"/>
          <w:color w:val="000000"/>
          <w:sz w:val="22"/>
          <w:szCs w:val="22"/>
        </w:rPr>
        <w:t xml:space="preserve">We calculated the difference in cigarette consumption to examine the health intervention’s effects </w:t>
      </w:r>
      <w:r w:rsidRPr="0075651D">
        <w:rPr>
          <w:rFonts w:ascii="Calibri" w:hAnsi="Calibri" w:cs="Calibri"/>
          <w:i/>
          <w:iCs/>
          <w:color w:val="000000"/>
          <w:sz w:val="22"/>
          <w:szCs w:val="22"/>
        </w:rPr>
        <w:t>(Sheet 5)</w:t>
      </w:r>
      <w:r w:rsidRPr="0075651D">
        <w:rPr>
          <w:rFonts w:ascii="Calibri" w:hAnsi="Calibri" w:cs="Calibri"/>
          <w:color w:val="000000"/>
          <w:sz w:val="22"/>
          <w:szCs w:val="22"/>
        </w:rPr>
        <w:t xml:space="preserve">. With this metric, we can see which demographic groups were the most affected by the intervention. </w:t>
      </w:r>
    </w:p>
    <w:p w14:paraId="56CF9880" w14:textId="77777777" w:rsidR="0075651D" w:rsidRPr="0075651D" w:rsidRDefault="0075651D" w:rsidP="0075651D">
      <w:pPr>
        <w:pStyle w:val="ListParagraph"/>
        <w:ind w:left="1080"/>
        <w:rPr>
          <w:rFonts w:ascii="Calibri" w:hAnsi="Calibri" w:cs="Calibri"/>
          <w:color w:val="000000"/>
          <w:sz w:val="16"/>
          <w:szCs w:val="16"/>
        </w:rPr>
      </w:pPr>
    </w:p>
    <w:p w14:paraId="751A5012" w14:textId="77777777" w:rsidR="0075651D" w:rsidRPr="0075651D" w:rsidRDefault="0075651D" w:rsidP="0075651D">
      <w:pPr>
        <w:pStyle w:val="ListParagraph"/>
        <w:ind w:left="1080"/>
        <w:rPr>
          <w:rFonts w:ascii="Calibri" w:hAnsi="Calibri" w:cs="Calibri"/>
          <w:color w:val="000000"/>
          <w:sz w:val="22"/>
          <w:szCs w:val="22"/>
        </w:rPr>
      </w:pPr>
      <w:r w:rsidRPr="0075651D">
        <w:rPr>
          <w:rFonts w:ascii="Calibri" w:hAnsi="Calibri" w:cs="Calibri"/>
          <w:color w:val="000000"/>
          <w:sz w:val="22"/>
          <w:szCs w:val="22"/>
        </w:rPr>
        <w:t>[Pre: Smoking]</w:t>
      </w:r>
      <w:proofErr w:type="gramStart"/>
      <w:r w:rsidRPr="0075651D">
        <w:rPr>
          <w:rFonts w:ascii="Calibri" w:hAnsi="Calibri" w:cs="Calibri"/>
          <w:color w:val="000000"/>
          <w:sz w:val="22"/>
          <w:szCs w:val="22"/>
        </w:rPr>
        <w:t>-[</w:t>
      </w:r>
      <w:proofErr w:type="gramEnd"/>
      <w:r w:rsidRPr="0075651D">
        <w:rPr>
          <w:rFonts w:ascii="Calibri" w:hAnsi="Calibri" w:cs="Calibri"/>
          <w:color w:val="000000"/>
          <w:sz w:val="22"/>
          <w:szCs w:val="22"/>
        </w:rPr>
        <w:t>Post: Smoking] </w:t>
      </w:r>
    </w:p>
    <w:p w14:paraId="0D7EC01F" w14:textId="77777777" w:rsidR="0075651D" w:rsidRPr="0075651D" w:rsidRDefault="0075651D" w:rsidP="0075651D">
      <w:pPr>
        <w:rPr>
          <w:rFonts w:ascii="Calibri" w:hAnsi="Calibri" w:cs="Calibri"/>
          <w:sz w:val="16"/>
          <w:szCs w:val="16"/>
        </w:rPr>
      </w:pPr>
    </w:p>
    <w:p w14:paraId="529D2939" w14:textId="77777777" w:rsidR="0075651D" w:rsidRPr="0075651D" w:rsidRDefault="0075651D" w:rsidP="0075651D">
      <w:pPr>
        <w:pStyle w:val="ListParagraph"/>
        <w:numPr>
          <w:ilvl w:val="0"/>
          <w:numId w:val="4"/>
        </w:numPr>
        <w:ind w:left="1080"/>
        <w:rPr>
          <w:rFonts w:ascii="Calibri" w:hAnsi="Calibri" w:cs="Calibri"/>
          <w:sz w:val="22"/>
          <w:szCs w:val="22"/>
        </w:rPr>
      </w:pPr>
      <w:r w:rsidRPr="0075651D">
        <w:rPr>
          <w:rFonts w:ascii="Calibri" w:hAnsi="Calibri" w:cs="Calibri"/>
          <w:b/>
          <w:bCs/>
          <w:sz w:val="22"/>
          <w:szCs w:val="22"/>
          <w:u w:val="single"/>
        </w:rPr>
        <w:t>Satisfaction Questions</w:t>
      </w:r>
      <w:r w:rsidRPr="0075651D">
        <w:rPr>
          <w:rFonts w:ascii="Calibri" w:hAnsi="Calibri" w:cs="Calibri"/>
          <w:sz w:val="22"/>
          <w:szCs w:val="22"/>
        </w:rPr>
        <w:t xml:space="preserve">. In taking the average of Likert-style responses to satisfaction-based questions, we were able to assess whether working remotely impacted an employee’s desire to stay with the company </w:t>
      </w:r>
      <w:r w:rsidRPr="0075651D">
        <w:rPr>
          <w:rFonts w:ascii="Calibri" w:hAnsi="Calibri" w:cs="Calibri"/>
          <w:i/>
          <w:iCs/>
          <w:sz w:val="22"/>
          <w:szCs w:val="22"/>
        </w:rPr>
        <w:t>(Sheet 6)</w:t>
      </w:r>
      <w:r w:rsidRPr="0075651D">
        <w:rPr>
          <w:rFonts w:ascii="Calibri" w:hAnsi="Calibri" w:cs="Calibri"/>
          <w:sz w:val="22"/>
          <w:szCs w:val="22"/>
        </w:rPr>
        <w:t xml:space="preserve">.  </w:t>
      </w:r>
    </w:p>
    <w:p w14:paraId="72433FE1" w14:textId="77777777" w:rsidR="0075651D" w:rsidRPr="0075651D" w:rsidRDefault="0075651D" w:rsidP="0075651D">
      <w:pPr>
        <w:pStyle w:val="ListParagraph"/>
        <w:ind w:left="1080"/>
        <w:rPr>
          <w:rFonts w:ascii="Calibri" w:hAnsi="Calibri" w:cs="Calibri"/>
          <w:sz w:val="16"/>
          <w:szCs w:val="16"/>
        </w:rPr>
      </w:pPr>
    </w:p>
    <w:p w14:paraId="18F68238" w14:textId="77777777" w:rsidR="0075651D" w:rsidRPr="0075651D" w:rsidRDefault="0075651D" w:rsidP="0075651D">
      <w:pPr>
        <w:pStyle w:val="ListParagraph"/>
        <w:ind w:left="1080"/>
        <w:rPr>
          <w:rFonts w:ascii="Calibri" w:hAnsi="Calibri" w:cs="Calibri"/>
          <w:sz w:val="22"/>
          <w:szCs w:val="22"/>
        </w:rPr>
      </w:pPr>
      <w:r w:rsidRPr="0075651D">
        <w:rPr>
          <w:rFonts w:ascii="Calibri" w:hAnsi="Calibri" w:cs="Calibri"/>
          <w:sz w:val="22"/>
          <w:szCs w:val="22"/>
        </w:rPr>
        <w:t xml:space="preserve">([Pre Satisfaction question </w:t>
      </w:r>
      <w:proofErr w:type="gramStart"/>
      <w:r w:rsidRPr="0075651D">
        <w:rPr>
          <w:rFonts w:ascii="Calibri" w:hAnsi="Calibri" w:cs="Calibri"/>
          <w:sz w:val="22"/>
          <w:szCs w:val="22"/>
        </w:rPr>
        <w:t>1]+</w:t>
      </w:r>
      <w:proofErr w:type="gramEnd"/>
      <w:r w:rsidRPr="0075651D">
        <w:rPr>
          <w:rFonts w:ascii="Calibri" w:hAnsi="Calibri" w:cs="Calibri"/>
          <w:sz w:val="22"/>
          <w:szCs w:val="22"/>
        </w:rPr>
        <w:t>[Pre Satisfaction question 2]+[Pre Satisfaction question 3]+[Post Satisfaction question 1]+[Post Satisfaction question 2]+[Post Satisfaction question 3])/6</w:t>
      </w:r>
    </w:p>
    <w:p w14:paraId="335C1548" w14:textId="77777777" w:rsidR="0075651D" w:rsidRPr="0075651D" w:rsidRDefault="0075651D" w:rsidP="0075651D">
      <w:pPr>
        <w:spacing w:after="240"/>
        <w:rPr>
          <w:rFonts w:ascii="Times New Roman" w:eastAsia="Times New Roman" w:hAnsi="Times New Roman" w:cs="Times New Roman"/>
          <w:kern w:val="0"/>
          <w14:ligatures w14:val="none"/>
        </w:rPr>
      </w:pPr>
    </w:p>
    <w:p w14:paraId="6EA941D9" w14:textId="77777777" w:rsidR="0075651D" w:rsidRPr="0075651D" w:rsidRDefault="0075651D" w:rsidP="0075651D">
      <w:pPr>
        <w:rPr>
          <w:rFonts w:ascii="Times New Roman" w:eastAsia="Times New Roman" w:hAnsi="Times New Roman" w:cs="Times New Roman"/>
          <w:kern w:val="0"/>
          <w14:ligatures w14:val="none"/>
        </w:rPr>
      </w:pPr>
    </w:p>
    <w:p w14:paraId="6CF231CF" w14:textId="77777777" w:rsidR="004724C5" w:rsidRDefault="004724C5" w:rsidP="0075651D"/>
    <w:sectPr w:rsidR="004724C5" w:rsidSect="0075651D">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AF963" w14:textId="77777777" w:rsidR="00016BA0" w:rsidRDefault="00016BA0" w:rsidP="0075651D">
      <w:r>
        <w:separator/>
      </w:r>
    </w:p>
  </w:endnote>
  <w:endnote w:type="continuationSeparator" w:id="0">
    <w:p w14:paraId="00A077D7" w14:textId="77777777" w:rsidR="00016BA0" w:rsidRDefault="00016BA0" w:rsidP="00756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678998"/>
      <w:docPartObj>
        <w:docPartGallery w:val="Page Numbers (Bottom of Page)"/>
        <w:docPartUnique/>
      </w:docPartObj>
    </w:sdtPr>
    <w:sdtContent>
      <w:p w14:paraId="7D442706" w14:textId="40EAAD2F" w:rsidR="0075651D" w:rsidRDefault="0075651D" w:rsidP="00D06F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72F595" w14:textId="77777777" w:rsidR="0075651D" w:rsidRDefault="0075651D" w:rsidP="007565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6527448"/>
      <w:docPartObj>
        <w:docPartGallery w:val="Page Numbers (Bottom of Page)"/>
        <w:docPartUnique/>
      </w:docPartObj>
    </w:sdtPr>
    <w:sdtContent>
      <w:p w14:paraId="4A88F5E6" w14:textId="37B6242F" w:rsidR="0075651D" w:rsidRDefault="0075651D" w:rsidP="00D06F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DE58E17" w14:textId="77777777" w:rsidR="0075651D" w:rsidRDefault="0075651D" w:rsidP="007565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7B111" w14:textId="77777777" w:rsidR="00016BA0" w:rsidRDefault="00016BA0" w:rsidP="0075651D">
      <w:r>
        <w:separator/>
      </w:r>
    </w:p>
  </w:footnote>
  <w:footnote w:type="continuationSeparator" w:id="0">
    <w:p w14:paraId="1452DBC5" w14:textId="77777777" w:rsidR="00016BA0" w:rsidRDefault="00016BA0" w:rsidP="00756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364"/>
    <w:multiLevelType w:val="hybridMultilevel"/>
    <w:tmpl w:val="B30077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06873"/>
    <w:multiLevelType w:val="hybridMultilevel"/>
    <w:tmpl w:val="89BA4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A3314"/>
    <w:multiLevelType w:val="hybridMultilevel"/>
    <w:tmpl w:val="0C86EE18"/>
    <w:lvl w:ilvl="0" w:tplc="BA98CEDA">
      <w:start w:val="1"/>
      <w:numFmt w:val="upperLetter"/>
      <w:lvlText w:val="%1."/>
      <w:lvlJc w:val="left"/>
      <w:pPr>
        <w:ind w:left="720" w:hanging="360"/>
      </w:pPr>
      <w:rPr>
        <w:rFonts w:ascii="Calibri" w:hAnsi="Calibri" w:cs="Calibr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372B7"/>
    <w:multiLevelType w:val="hybridMultilevel"/>
    <w:tmpl w:val="85BAA0C0"/>
    <w:lvl w:ilvl="0" w:tplc="A3B4C5CE">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234A5"/>
    <w:multiLevelType w:val="hybridMultilevel"/>
    <w:tmpl w:val="E7984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F4FC4"/>
    <w:multiLevelType w:val="hybridMultilevel"/>
    <w:tmpl w:val="92DA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E2BF1"/>
    <w:multiLevelType w:val="hybridMultilevel"/>
    <w:tmpl w:val="92CC34A0"/>
    <w:lvl w:ilvl="0" w:tplc="66428524">
      <w:start w:val="1"/>
      <w:numFmt w:val="upperRoman"/>
      <w:lvlText w:val="%1."/>
      <w:lvlJc w:val="left"/>
      <w:pPr>
        <w:ind w:left="1080" w:hanging="720"/>
      </w:pPr>
      <w:rPr>
        <w:rFonts w:hint="default"/>
        <w:sz w:val="20"/>
        <w:szCs w:val="20"/>
      </w:rPr>
    </w:lvl>
    <w:lvl w:ilvl="1" w:tplc="5D96D788">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85D6D"/>
    <w:multiLevelType w:val="hybridMultilevel"/>
    <w:tmpl w:val="6D7A4D14"/>
    <w:lvl w:ilvl="0" w:tplc="81BA63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1093D"/>
    <w:multiLevelType w:val="hybridMultilevel"/>
    <w:tmpl w:val="AD006A86"/>
    <w:lvl w:ilvl="0" w:tplc="A3B4C5CE">
      <w:start w:val="1"/>
      <w:numFmt w:val="decimal"/>
      <w:lvlText w:val="%1."/>
      <w:lvlJc w:val="left"/>
      <w:pPr>
        <w:ind w:left="720" w:hanging="360"/>
      </w:pPr>
      <w:rPr>
        <w:rFonts w:hint="default"/>
        <w:b/>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912516">
    <w:abstractNumId w:val="5"/>
  </w:num>
  <w:num w:numId="2" w16cid:durableId="2094812323">
    <w:abstractNumId w:val="1"/>
  </w:num>
  <w:num w:numId="3" w16cid:durableId="484859644">
    <w:abstractNumId w:val="6"/>
  </w:num>
  <w:num w:numId="4" w16cid:durableId="1479112882">
    <w:abstractNumId w:val="8"/>
  </w:num>
  <w:num w:numId="5" w16cid:durableId="1823882882">
    <w:abstractNumId w:val="3"/>
  </w:num>
  <w:num w:numId="6" w16cid:durableId="560823253">
    <w:abstractNumId w:val="4"/>
  </w:num>
  <w:num w:numId="7" w16cid:durableId="1978684016">
    <w:abstractNumId w:val="0"/>
  </w:num>
  <w:num w:numId="8" w16cid:durableId="528031348">
    <w:abstractNumId w:val="2"/>
  </w:num>
  <w:num w:numId="9" w16cid:durableId="4362172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C5"/>
    <w:rsid w:val="00016BA0"/>
    <w:rsid w:val="00091961"/>
    <w:rsid w:val="004724C5"/>
    <w:rsid w:val="0075651D"/>
    <w:rsid w:val="00811DB8"/>
    <w:rsid w:val="00A5214A"/>
    <w:rsid w:val="00AC1D30"/>
    <w:rsid w:val="00B61DEB"/>
    <w:rsid w:val="00BB0CC5"/>
    <w:rsid w:val="00C076F7"/>
    <w:rsid w:val="00D8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97EF"/>
  <w15:chartTrackingRefBased/>
  <w15:docId w15:val="{376FADEA-4FFE-C74B-9E1B-D4125933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4C5"/>
    <w:pPr>
      <w:ind w:left="720"/>
      <w:contextualSpacing/>
    </w:pPr>
  </w:style>
  <w:style w:type="paragraph" w:styleId="NormalWeb">
    <w:name w:val="Normal (Web)"/>
    <w:basedOn w:val="Normal"/>
    <w:uiPriority w:val="99"/>
    <w:semiHidden/>
    <w:unhideWhenUsed/>
    <w:rsid w:val="0075651D"/>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75651D"/>
  </w:style>
  <w:style w:type="paragraph" w:styleId="Footer">
    <w:name w:val="footer"/>
    <w:basedOn w:val="Normal"/>
    <w:link w:val="FooterChar"/>
    <w:uiPriority w:val="99"/>
    <w:unhideWhenUsed/>
    <w:rsid w:val="0075651D"/>
    <w:pPr>
      <w:tabs>
        <w:tab w:val="center" w:pos="4680"/>
        <w:tab w:val="right" w:pos="9360"/>
      </w:tabs>
    </w:pPr>
  </w:style>
  <w:style w:type="character" w:customStyle="1" w:styleId="FooterChar">
    <w:name w:val="Footer Char"/>
    <w:basedOn w:val="DefaultParagraphFont"/>
    <w:link w:val="Footer"/>
    <w:uiPriority w:val="99"/>
    <w:rsid w:val="0075651D"/>
  </w:style>
  <w:style w:type="character" w:styleId="PageNumber">
    <w:name w:val="page number"/>
    <w:basedOn w:val="DefaultParagraphFont"/>
    <w:uiPriority w:val="99"/>
    <w:semiHidden/>
    <w:unhideWhenUsed/>
    <w:rsid w:val="0075651D"/>
  </w:style>
  <w:style w:type="paragraph" w:styleId="Header">
    <w:name w:val="header"/>
    <w:basedOn w:val="Normal"/>
    <w:link w:val="HeaderChar"/>
    <w:uiPriority w:val="99"/>
    <w:unhideWhenUsed/>
    <w:rsid w:val="0075651D"/>
    <w:pPr>
      <w:tabs>
        <w:tab w:val="center" w:pos="4680"/>
        <w:tab w:val="right" w:pos="9360"/>
      </w:tabs>
    </w:pPr>
  </w:style>
  <w:style w:type="character" w:customStyle="1" w:styleId="HeaderChar">
    <w:name w:val="Header Char"/>
    <w:basedOn w:val="DefaultParagraphFont"/>
    <w:link w:val="Header"/>
    <w:uiPriority w:val="99"/>
    <w:rsid w:val="00756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244707">
      <w:bodyDiv w:val="1"/>
      <w:marLeft w:val="0"/>
      <w:marRight w:val="0"/>
      <w:marTop w:val="0"/>
      <w:marBottom w:val="0"/>
      <w:divBdr>
        <w:top w:val="none" w:sz="0" w:space="0" w:color="auto"/>
        <w:left w:val="none" w:sz="0" w:space="0" w:color="auto"/>
        <w:bottom w:val="none" w:sz="0" w:space="0" w:color="auto"/>
        <w:right w:val="none" w:sz="0" w:space="0" w:color="auto"/>
      </w:divBdr>
    </w:div>
    <w:div w:id="182669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0C507-606F-014D-972C-BD9F380B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1357</Words>
  <Characters>7737</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Mary Anderson</dc:creator>
  <cp:keywords/>
  <dc:description/>
  <cp:lastModifiedBy>Kathryn Mary Anderson</cp:lastModifiedBy>
  <cp:revision>3</cp:revision>
  <cp:lastPrinted>2023-08-12T03:37:00Z</cp:lastPrinted>
  <dcterms:created xsi:type="dcterms:W3CDTF">2023-08-12T03:37:00Z</dcterms:created>
  <dcterms:modified xsi:type="dcterms:W3CDTF">2023-08-12T03:38:00Z</dcterms:modified>
</cp:coreProperties>
</file>