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E878B" w14:textId="77777777" w:rsidR="00F21B97" w:rsidRPr="00903F4E" w:rsidRDefault="00F21B97" w:rsidP="00903F4E">
      <w:pPr>
        <w:spacing w:line="276" w:lineRule="auto"/>
        <w:jc w:val="both"/>
        <w:rPr>
          <w:rFonts w:cs="Times New Roman"/>
          <w:szCs w:val="24"/>
        </w:rPr>
      </w:pPr>
    </w:p>
    <w:p w14:paraId="3672BD02" w14:textId="77777777" w:rsidR="00F21B97" w:rsidRPr="00903F4E" w:rsidRDefault="00F21B97" w:rsidP="00903F4E">
      <w:pPr>
        <w:spacing w:line="276" w:lineRule="auto"/>
        <w:jc w:val="both"/>
        <w:rPr>
          <w:rFonts w:cs="Times New Roman"/>
          <w:szCs w:val="24"/>
        </w:rPr>
      </w:pPr>
    </w:p>
    <w:p w14:paraId="0934B302" w14:textId="77777777" w:rsidR="004741FA" w:rsidRPr="00903F4E" w:rsidRDefault="004741FA" w:rsidP="00903F4E">
      <w:pPr>
        <w:spacing w:line="276" w:lineRule="auto"/>
        <w:jc w:val="both"/>
        <w:rPr>
          <w:rFonts w:cs="Times New Roman"/>
          <w:szCs w:val="24"/>
        </w:rPr>
      </w:pPr>
    </w:p>
    <w:p w14:paraId="6AC9C393" w14:textId="77777777" w:rsidR="00F21B97" w:rsidRPr="00903F4E" w:rsidRDefault="00F21B97" w:rsidP="00903F4E">
      <w:pPr>
        <w:spacing w:line="276" w:lineRule="auto"/>
        <w:jc w:val="both"/>
        <w:rPr>
          <w:rFonts w:cs="Times New Roman"/>
          <w:szCs w:val="24"/>
        </w:rPr>
      </w:pPr>
    </w:p>
    <w:p w14:paraId="5960D40A" w14:textId="77777777" w:rsidR="00F21B97" w:rsidRPr="00903F4E" w:rsidRDefault="00000000" w:rsidP="00903F4E">
      <w:pPr>
        <w:spacing w:after="80" w:line="276" w:lineRule="auto"/>
        <w:jc w:val="both"/>
        <w:rPr>
          <w:rFonts w:cs="Times New Roman"/>
          <w:szCs w:val="24"/>
        </w:rPr>
      </w:pPr>
      <w:r w:rsidRPr="00903F4E">
        <w:rPr>
          <w:rFonts w:cs="Times New Roman"/>
          <w:b/>
          <w:bCs/>
          <w:szCs w:val="24"/>
        </w:rPr>
        <w:t>MSc in Information Systems Security</w:t>
      </w:r>
    </w:p>
    <w:p w14:paraId="72B3645D" w14:textId="54FCEF41" w:rsidR="00F21B97" w:rsidRPr="00903F4E" w:rsidRDefault="008776AB" w:rsidP="00903F4E">
      <w:pPr>
        <w:spacing w:after="400" w:line="276" w:lineRule="auto"/>
        <w:jc w:val="both"/>
        <w:rPr>
          <w:rFonts w:cs="Times New Roman"/>
          <w:szCs w:val="24"/>
        </w:rPr>
      </w:pPr>
      <w:r w:rsidRPr="00903F4E">
        <w:rPr>
          <w:rFonts w:cs="Times New Roman"/>
          <w:szCs w:val="24"/>
        </w:rPr>
        <w:t>Biometrics Systems Security</w:t>
      </w:r>
    </w:p>
    <w:p w14:paraId="671E30BB" w14:textId="77777777" w:rsidR="00F21B97" w:rsidRPr="00903F4E" w:rsidRDefault="00F21B97" w:rsidP="00903F4E">
      <w:pPr>
        <w:spacing w:line="276" w:lineRule="auto"/>
        <w:jc w:val="both"/>
        <w:rPr>
          <w:rFonts w:cs="Times New Roman"/>
          <w:szCs w:val="24"/>
        </w:rPr>
      </w:pPr>
    </w:p>
    <w:p w14:paraId="0E85AE59" w14:textId="77777777" w:rsidR="004741FA" w:rsidRPr="00903F4E" w:rsidRDefault="004741FA" w:rsidP="00903F4E">
      <w:pPr>
        <w:spacing w:line="276" w:lineRule="auto"/>
        <w:jc w:val="both"/>
        <w:rPr>
          <w:rFonts w:cs="Times New Roman"/>
          <w:szCs w:val="24"/>
        </w:rPr>
      </w:pPr>
    </w:p>
    <w:p w14:paraId="0C4053F9" w14:textId="77777777" w:rsidR="00F21B97" w:rsidRPr="00903F4E" w:rsidRDefault="00000000" w:rsidP="00903F4E">
      <w:pPr>
        <w:spacing w:before="200" w:after="100" w:line="276" w:lineRule="auto"/>
        <w:jc w:val="both"/>
        <w:rPr>
          <w:rFonts w:cs="Times New Roman"/>
          <w:szCs w:val="24"/>
        </w:rPr>
      </w:pPr>
      <w:r w:rsidRPr="00903F4E">
        <w:rPr>
          <w:rFonts w:cs="Times New Roman"/>
          <w:b/>
          <w:bCs/>
          <w:szCs w:val="24"/>
        </w:rPr>
        <w:t>ALGORITHMIC INTEGRITY AND DEMOGRAPHIC</w:t>
      </w:r>
    </w:p>
    <w:p w14:paraId="1AE2295D" w14:textId="77777777" w:rsidR="00F21B97" w:rsidRPr="00903F4E" w:rsidRDefault="00000000" w:rsidP="00903F4E">
      <w:pPr>
        <w:spacing w:after="120" w:line="276" w:lineRule="auto"/>
        <w:jc w:val="both"/>
        <w:rPr>
          <w:rFonts w:cs="Times New Roman"/>
          <w:szCs w:val="24"/>
        </w:rPr>
      </w:pPr>
      <w:r w:rsidRPr="00903F4E">
        <w:rPr>
          <w:rFonts w:cs="Times New Roman"/>
          <w:b/>
          <w:bCs/>
          <w:szCs w:val="24"/>
        </w:rPr>
        <w:t>DIFFERENTIAL IN FACIAL RECOGNITION SYSTEMS:</w:t>
      </w:r>
    </w:p>
    <w:p w14:paraId="5FDD3602" w14:textId="4327DE1E" w:rsidR="00F21B97" w:rsidRPr="00903F4E" w:rsidRDefault="00000000" w:rsidP="00903F4E">
      <w:pPr>
        <w:spacing w:after="400" w:line="276" w:lineRule="auto"/>
        <w:jc w:val="both"/>
        <w:rPr>
          <w:rFonts w:cs="Times New Roman"/>
          <w:szCs w:val="24"/>
        </w:rPr>
      </w:pPr>
      <w:r w:rsidRPr="00903F4E">
        <w:rPr>
          <w:rFonts w:cs="Times New Roman"/>
          <w:szCs w:val="24"/>
        </w:rPr>
        <w:t>An Audit-Based Analytical Framework for Security Risk,</w:t>
      </w:r>
      <w:r w:rsidR="004741FA" w:rsidRPr="00903F4E">
        <w:rPr>
          <w:rFonts w:cs="Times New Roman"/>
          <w:szCs w:val="24"/>
        </w:rPr>
        <w:t xml:space="preserve"> </w:t>
      </w:r>
      <w:r w:rsidRPr="00903F4E">
        <w:rPr>
          <w:rFonts w:cs="Times New Roman"/>
          <w:szCs w:val="24"/>
        </w:rPr>
        <w:t>Legal Liability, and Policy</w:t>
      </w:r>
      <w:r w:rsidR="004741FA" w:rsidRPr="00903F4E">
        <w:rPr>
          <w:rFonts w:cs="Times New Roman"/>
          <w:szCs w:val="24"/>
        </w:rPr>
        <w:t xml:space="preserve"> </w:t>
      </w:r>
      <w:r w:rsidRPr="00903F4E">
        <w:rPr>
          <w:rFonts w:cs="Times New Roman"/>
          <w:szCs w:val="24"/>
        </w:rPr>
        <w:t>Compliance</w:t>
      </w:r>
    </w:p>
    <w:p w14:paraId="247AF000" w14:textId="77777777" w:rsidR="004741FA" w:rsidRPr="00903F4E" w:rsidRDefault="004741FA" w:rsidP="00903F4E">
      <w:pPr>
        <w:spacing w:after="400" w:line="276" w:lineRule="auto"/>
        <w:jc w:val="both"/>
        <w:rPr>
          <w:rFonts w:cs="Times New Roman"/>
          <w:szCs w:val="24"/>
        </w:rPr>
      </w:pPr>
    </w:p>
    <w:p w14:paraId="446DDA12" w14:textId="3107F6DF" w:rsidR="00F21B97" w:rsidRPr="00903F4E" w:rsidRDefault="00000000" w:rsidP="00903F4E">
      <w:pPr>
        <w:spacing w:after="60" w:line="276" w:lineRule="auto"/>
        <w:jc w:val="both"/>
        <w:rPr>
          <w:rFonts w:cs="Times New Roman"/>
          <w:szCs w:val="24"/>
        </w:rPr>
      </w:pPr>
      <w:r w:rsidRPr="00903F4E">
        <w:rPr>
          <w:rFonts w:cs="Times New Roman"/>
          <w:szCs w:val="24"/>
        </w:rPr>
        <w:t xml:space="preserve">Submission Date: April </w:t>
      </w:r>
      <w:r w:rsidR="001F3A0D" w:rsidRPr="00903F4E">
        <w:rPr>
          <w:rFonts w:cs="Times New Roman"/>
          <w:szCs w:val="24"/>
        </w:rPr>
        <w:t>10</w:t>
      </w:r>
      <w:r w:rsidR="008776AB" w:rsidRPr="00903F4E">
        <w:rPr>
          <w:rFonts w:cs="Times New Roman"/>
          <w:szCs w:val="24"/>
          <w:vertAlign w:val="superscript"/>
        </w:rPr>
        <w:t>th</w:t>
      </w:r>
      <w:r w:rsidR="008776AB" w:rsidRPr="00903F4E">
        <w:rPr>
          <w:rFonts w:cs="Times New Roman"/>
          <w:szCs w:val="24"/>
        </w:rPr>
        <w:t>, 2026</w:t>
      </w:r>
    </w:p>
    <w:p w14:paraId="7A3ADFF6" w14:textId="0476E817" w:rsidR="008776AB" w:rsidRPr="00903F4E" w:rsidRDefault="008776AB" w:rsidP="00903F4E">
      <w:pPr>
        <w:spacing w:after="60" w:line="276" w:lineRule="auto"/>
        <w:jc w:val="both"/>
        <w:rPr>
          <w:rFonts w:cs="Times New Roman"/>
          <w:szCs w:val="24"/>
        </w:rPr>
      </w:pPr>
      <w:r w:rsidRPr="00903F4E">
        <w:rPr>
          <w:rFonts w:cs="Times New Roman"/>
          <w:szCs w:val="24"/>
        </w:rPr>
        <w:t>Student Name: Kibet Brian</w:t>
      </w:r>
    </w:p>
    <w:p w14:paraId="387CD26E" w14:textId="64787296" w:rsidR="008776AB" w:rsidRPr="00903F4E" w:rsidRDefault="008776AB" w:rsidP="00903F4E">
      <w:pPr>
        <w:spacing w:after="60" w:line="276" w:lineRule="auto"/>
        <w:jc w:val="both"/>
        <w:rPr>
          <w:rFonts w:cs="Times New Roman"/>
          <w:szCs w:val="24"/>
        </w:rPr>
      </w:pPr>
      <w:r w:rsidRPr="00903F4E">
        <w:rPr>
          <w:rFonts w:cs="Times New Roman"/>
          <w:szCs w:val="24"/>
        </w:rPr>
        <w:t>Admission Number: 190814</w:t>
      </w:r>
    </w:p>
    <w:p w14:paraId="6FF444A0" w14:textId="0A99FD96" w:rsidR="00F21B97" w:rsidRPr="00903F4E" w:rsidRDefault="008776AB" w:rsidP="00903F4E">
      <w:pPr>
        <w:spacing w:after="60" w:line="276" w:lineRule="auto"/>
        <w:jc w:val="both"/>
        <w:rPr>
          <w:rFonts w:cs="Times New Roman"/>
          <w:szCs w:val="24"/>
        </w:rPr>
      </w:pPr>
      <w:r w:rsidRPr="00903F4E">
        <w:rPr>
          <w:rFonts w:cs="Times New Roman"/>
          <w:szCs w:val="24"/>
        </w:rPr>
        <w:t xml:space="preserve">Lecturer Name: </w:t>
      </w:r>
      <w:proofErr w:type="spellStart"/>
      <w:r w:rsidRPr="00903F4E">
        <w:rPr>
          <w:rFonts w:cs="Times New Roman"/>
          <w:szCs w:val="24"/>
        </w:rPr>
        <w:t>Talo</w:t>
      </w:r>
      <w:proofErr w:type="spellEnd"/>
      <w:r w:rsidRPr="00903F4E">
        <w:rPr>
          <w:rFonts w:cs="Times New Roman"/>
          <w:szCs w:val="24"/>
        </w:rPr>
        <w:t xml:space="preserve"> Harrison Martini</w:t>
      </w:r>
    </w:p>
    <w:p w14:paraId="69886D8A"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31DF367A" w14:textId="77777777" w:rsidR="00F21B97" w:rsidRPr="00903F4E" w:rsidRDefault="00000000" w:rsidP="00903F4E">
      <w:pPr>
        <w:pStyle w:val="Heading1"/>
        <w:spacing w:line="276" w:lineRule="auto"/>
        <w:jc w:val="both"/>
        <w:rPr>
          <w:rFonts w:cs="Times New Roman"/>
          <w:szCs w:val="24"/>
        </w:rPr>
      </w:pPr>
      <w:bookmarkStart w:id="0" w:name="_Toc226740453"/>
      <w:r w:rsidRPr="00903F4E">
        <w:rPr>
          <w:rFonts w:cs="Times New Roman"/>
          <w:szCs w:val="24"/>
        </w:rPr>
        <w:lastRenderedPageBreak/>
        <w:t>Abstract</w:t>
      </w:r>
      <w:bookmarkEnd w:id="0"/>
    </w:p>
    <w:p w14:paraId="2D1452A9" w14:textId="7481D8F7" w:rsidR="00F21B97" w:rsidRPr="00903F4E" w:rsidRDefault="00000000" w:rsidP="00903F4E">
      <w:pPr>
        <w:spacing w:after="140" w:line="276" w:lineRule="auto"/>
        <w:jc w:val="both"/>
        <w:rPr>
          <w:rFonts w:cs="Times New Roman"/>
          <w:szCs w:val="24"/>
        </w:rPr>
      </w:pPr>
      <w:r w:rsidRPr="00903F4E">
        <w:rPr>
          <w:rFonts w:cs="Times New Roman"/>
          <w:szCs w:val="24"/>
        </w:rPr>
        <w:t>Facial recognition technology (FRT) has become one of the most pervasive biometric authentication and identification systems deployed across law enforcement, border control, commercial surveillance, and access management. Yet the integrity of these systems</w:t>
      </w:r>
      <w:r w:rsidR="00896B87" w:rsidRPr="00903F4E">
        <w:rPr>
          <w:rFonts w:cs="Times New Roman"/>
          <w:szCs w:val="24"/>
        </w:rPr>
        <w:t>,</w:t>
      </w:r>
      <w:r w:rsidRPr="00903F4E">
        <w:rPr>
          <w:rFonts w:cs="Times New Roman"/>
          <w:szCs w:val="24"/>
        </w:rPr>
        <w:t xml:space="preserve"> a foundational pillar of the CIA triad in information security</w:t>
      </w:r>
      <w:r w:rsidR="00896B87" w:rsidRPr="00903F4E">
        <w:rPr>
          <w:rFonts w:cs="Times New Roman"/>
          <w:szCs w:val="24"/>
        </w:rPr>
        <w:t>,</w:t>
      </w:r>
      <w:r w:rsidRPr="00903F4E">
        <w:rPr>
          <w:rFonts w:cs="Times New Roman"/>
          <w:szCs w:val="24"/>
        </w:rPr>
        <w:t xml:space="preserve"> is demonstrably and measurably compromised by persistent algorithmic bias rooted in demographic variables including race, gender, skin reflectance, and their intersections. This research report constitutes an audit</w:t>
      </w:r>
      <w:r w:rsidR="00896B87" w:rsidRPr="00903F4E">
        <w:rPr>
          <w:rFonts w:cs="Times New Roman"/>
          <w:szCs w:val="24"/>
        </w:rPr>
        <w:t xml:space="preserve"> </w:t>
      </w:r>
      <w:r w:rsidRPr="00903F4E">
        <w:rPr>
          <w:rFonts w:cs="Times New Roman"/>
          <w:szCs w:val="24"/>
        </w:rPr>
        <w:t>based, analytical study examining the technical causes, security failure modes, and socio</w:t>
      </w:r>
      <w:r w:rsidR="00896B87" w:rsidRPr="00903F4E">
        <w:rPr>
          <w:rFonts w:cs="Times New Roman"/>
          <w:szCs w:val="24"/>
        </w:rPr>
        <w:t xml:space="preserve"> </w:t>
      </w:r>
      <w:r w:rsidRPr="00903F4E">
        <w:rPr>
          <w:rFonts w:cs="Times New Roman"/>
          <w:szCs w:val="24"/>
        </w:rPr>
        <w:t>legal consequences of differential performance in facial recognition algorithms.</w:t>
      </w:r>
      <w:r w:rsidR="00896B87" w:rsidRPr="00903F4E">
        <w:rPr>
          <w:rFonts w:cs="Times New Roman"/>
          <w:szCs w:val="24"/>
        </w:rPr>
        <w:t xml:space="preserve"> </w:t>
      </w:r>
      <w:r w:rsidRPr="00903F4E">
        <w:rPr>
          <w:rFonts w:cs="Times New Roman"/>
          <w:szCs w:val="24"/>
        </w:rPr>
        <w:t>Drawing on a Systematic Literature Review (SLR) spanning 2018 to 2026 and a comparative data analysis framework anchored in publicly available NIST Face Recognition Technology Evaluation (FRTE) datasets, this study identifies three primary failure modes: (1) training dataset representational bias, (2) environmental and sensor sensitivity related to skin reflectance, and (3) similarity threshold disparities that produce disproportionate False Match Rates (FMR) and False Non-Match Rate (FNMR) across demographic groups. The compound effect of these failures is most severe at demographic intersections</w:t>
      </w:r>
      <w:r w:rsidR="00896B87" w:rsidRPr="00903F4E">
        <w:rPr>
          <w:rFonts w:cs="Times New Roman"/>
          <w:szCs w:val="24"/>
        </w:rPr>
        <w:t>,</w:t>
      </w:r>
      <w:r w:rsidRPr="00903F4E">
        <w:rPr>
          <w:rFonts w:cs="Times New Roman"/>
          <w:szCs w:val="24"/>
        </w:rPr>
        <w:t xml:space="preserve"> particularly for darker</w:t>
      </w:r>
      <w:r w:rsidR="00896B87" w:rsidRPr="00903F4E">
        <w:rPr>
          <w:rFonts w:cs="Times New Roman"/>
          <w:szCs w:val="24"/>
        </w:rPr>
        <w:t xml:space="preserve"> </w:t>
      </w:r>
      <w:r w:rsidRPr="00903F4E">
        <w:rPr>
          <w:rFonts w:cs="Times New Roman"/>
          <w:szCs w:val="24"/>
        </w:rPr>
        <w:t>skinned females.</w:t>
      </w:r>
      <w:r w:rsidR="00896B87" w:rsidRPr="00903F4E">
        <w:rPr>
          <w:rFonts w:cs="Times New Roman"/>
          <w:szCs w:val="24"/>
        </w:rPr>
        <w:t xml:space="preserve"> </w:t>
      </w:r>
      <w:r w:rsidRPr="00903F4E">
        <w:rPr>
          <w:rFonts w:cs="Times New Roman"/>
          <w:szCs w:val="24"/>
        </w:rPr>
        <w:t>The study further analyses organisational risk dimensions</w:t>
      </w:r>
      <w:r w:rsidR="00896B87" w:rsidRPr="00903F4E">
        <w:rPr>
          <w:rFonts w:cs="Times New Roman"/>
          <w:szCs w:val="24"/>
        </w:rPr>
        <w:t>,</w:t>
      </w:r>
      <w:r w:rsidRPr="00903F4E">
        <w:rPr>
          <w:rFonts w:cs="Times New Roman"/>
          <w:szCs w:val="24"/>
        </w:rPr>
        <w:t xml:space="preserve"> legal, financial, and reputational</w:t>
      </w:r>
      <w:r w:rsidR="00896B87" w:rsidRPr="00903F4E">
        <w:rPr>
          <w:rFonts w:cs="Times New Roman"/>
          <w:szCs w:val="24"/>
        </w:rPr>
        <w:t>,</w:t>
      </w:r>
      <w:r w:rsidRPr="00903F4E">
        <w:rPr>
          <w:rFonts w:cs="Times New Roman"/>
          <w:szCs w:val="24"/>
        </w:rPr>
        <w:t xml:space="preserve"> for institutions deploying biased biometric systems, with reference to the 2024–2025 wave of wrongful</w:t>
      </w:r>
      <w:r w:rsidR="00896B87" w:rsidRPr="00903F4E">
        <w:rPr>
          <w:rFonts w:cs="Times New Roman"/>
          <w:szCs w:val="24"/>
        </w:rPr>
        <w:t xml:space="preserve"> </w:t>
      </w:r>
      <w:r w:rsidRPr="00903F4E">
        <w:rPr>
          <w:rFonts w:cs="Times New Roman"/>
          <w:szCs w:val="24"/>
        </w:rPr>
        <w:t>detention litigation, the 2025–2026 EU AI Act enforcement rollout, and the emerging global regulatory landscape. A policy-focused CISO Biometric Vendor Audit Framework is proposed as a practical decision-support tool. Finally, the report connects technical system failures to a broader ethical analysis implicating surveillance equity, due process, and the structural accountability obligations of organisations deploying high</w:t>
      </w:r>
      <w:r w:rsidR="00896B87" w:rsidRPr="00903F4E">
        <w:rPr>
          <w:rFonts w:cs="Times New Roman"/>
          <w:szCs w:val="24"/>
        </w:rPr>
        <w:t xml:space="preserve"> </w:t>
      </w:r>
      <w:r w:rsidRPr="00903F4E">
        <w:rPr>
          <w:rFonts w:cs="Times New Roman"/>
          <w:szCs w:val="24"/>
        </w:rPr>
        <w:t>risk AI systems under emerging regulatory frameworks.</w:t>
      </w:r>
    </w:p>
    <w:p w14:paraId="7FB3DBE2" w14:textId="77777777" w:rsidR="00F21B97" w:rsidRPr="00903F4E" w:rsidRDefault="00000000" w:rsidP="00903F4E">
      <w:pPr>
        <w:spacing w:after="140" w:line="276" w:lineRule="auto"/>
        <w:jc w:val="both"/>
        <w:rPr>
          <w:rFonts w:cs="Times New Roman"/>
          <w:szCs w:val="24"/>
        </w:rPr>
      </w:pPr>
      <w:r w:rsidRPr="00903F4E">
        <w:rPr>
          <w:rFonts w:cs="Times New Roman"/>
          <w:b/>
          <w:bCs/>
          <w:szCs w:val="24"/>
        </w:rPr>
        <w:t>Keywords</w:t>
      </w:r>
      <w:r w:rsidRPr="00903F4E">
        <w:rPr>
          <w:rFonts w:cs="Times New Roman"/>
          <w:szCs w:val="24"/>
        </w:rPr>
        <w:t>: facial recognition, algorithmic bias, FMR/FNMR, demographic differential, biometric security audit, EU AI Act, NIST FRTE, intersectional fairness, CISO framework, information systems security.</w:t>
      </w:r>
    </w:p>
    <w:p w14:paraId="320759AD"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sdt>
      <w:sdtPr>
        <w:rPr>
          <w:rFonts w:eastAsia="Arial" w:cs="Times New Roman"/>
          <w:b w:val="0"/>
          <w:szCs w:val="24"/>
          <w:lang w:val="en-GB" w:eastAsia="en-GB"/>
        </w:rPr>
        <w:id w:val="-1358952196"/>
        <w:docPartObj>
          <w:docPartGallery w:val="Table of Contents"/>
          <w:docPartUnique/>
        </w:docPartObj>
      </w:sdtPr>
      <w:sdtEndPr>
        <w:rPr>
          <w:bCs/>
          <w:noProof/>
        </w:rPr>
      </w:sdtEndPr>
      <w:sdtContent>
        <w:p w14:paraId="29FF3BB1" w14:textId="26F7EEC3" w:rsidR="002F56A5" w:rsidRPr="00903F4E" w:rsidRDefault="002F56A5" w:rsidP="00903F4E">
          <w:pPr>
            <w:pStyle w:val="TOCHeading"/>
            <w:spacing w:line="276" w:lineRule="auto"/>
            <w:jc w:val="both"/>
            <w:rPr>
              <w:rFonts w:cs="Times New Roman"/>
              <w:b w:val="0"/>
              <w:bCs/>
              <w:szCs w:val="24"/>
            </w:rPr>
          </w:pPr>
          <w:r w:rsidRPr="00903F4E">
            <w:rPr>
              <w:rFonts w:cs="Times New Roman"/>
              <w:b w:val="0"/>
              <w:bCs/>
              <w:szCs w:val="24"/>
            </w:rPr>
            <w:t>Table of Contents</w:t>
          </w:r>
        </w:p>
        <w:p w14:paraId="17E22F1B" w14:textId="64A39D9B" w:rsidR="001F3A0D" w:rsidRPr="00903F4E" w:rsidRDefault="002F56A5" w:rsidP="00903F4E">
          <w:pPr>
            <w:pStyle w:val="TOC1"/>
            <w:tabs>
              <w:tab w:val="right" w:leader="dot" w:pos="9196"/>
            </w:tabs>
            <w:spacing w:line="276" w:lineRule="auto"/>
            <w:jc w:val="both"/>
            <w:rPr>
              <w:rFonts w:eastAsiaTheme="minorEastAsia" w:cs="Times New Roman"/>
              <w:noProof/>
              <w:kern w:val="2"/>
              <w:szCs w:val="24"/>
              <w14:ligatures w14:val="standardContextual"/>
            </w:rPr>
          </w:pPr>
          <w:r w:rsidRPr="00903F4E">
            <w:rPr>
              <w:rFonts w:cs="Times New Roman"/>
              <w:szCs w:val="24"/>
            </w:rPr>
            <w:fldChar w:fldCharType="begin"/>
          </w:r>
          <w:r w:rsidRPr="00903F4E">
            <w:rPr>
              <w:rFonts w:cs="Times New Roman"/>
              <w:szCs w:val="24"/>
            </w:rPr>
            <w:instrText xml:space="preserve"> TOC \o "1-3" \h \z \u </w:instrText>
          </w:r>
          <w:r w:rsidRPr="00903F4E">
            <w:rPr>
              <w:rFonts w:cs="Times New Roman"/>
              <w:szCs w:val="24"/>
            </w:rPr>
            <w:fldChar w:fldCharType="separate"/>
          </w:r>
          <w:hyperlink w:anchor="_Toc226740453" w:history="1">
            <w:r w:rsidR="001F3A0D" w:rsidRPr="00903F4E">
              <w:rPr>
                <w:rStyle w:val="Hyperlink"/>
                <w:rFonts w:cs="Times New Roman"/>
                <w:noProof/>
                <w:szCs w:val="24"/>
              </w:rPr>
              <w:t>Abstract</w:t>
            </w:r>
            <w:r w:rsidR="001F3A0D" w:rsidRPr="00903F4E">
              <w:rPr>
                <w:rFonts w:cs="Times New Roman"/>
                <w:noProof/>
                <w:webHidden/>
                <w:szCs w:val="24"/>
              </w:rPr>
              <w:tab/>
            </w:r>
            <w:r w:rsidR="001F3A0D" w:rsidRPr="00903F4E">
              <w:rPr>
                <w:rFonts w:cs="Times New Roman"/>
                <w:noProof/>
                <w:webHidden/>
                <w:szCs w:val="24"/>
              </w:rPr>
              <w:fldChar w:fldCharType="begin"/>
            </w:r>
            <w:r w:rsidR="001F3A0D" w:rsidRPr="00903F4E">
              <w:rPr>
                <w:rFonts w:cs="Times New Roman"/>
                <w:noProof/>
                <w:webHidden/>
                <w:szCs w:val="24"/>
              </w:rPr>
              <w:instrText xml:space="preserve"> PAGEREF _Toc226740453 \h </w:instrText>
            </w:r>
            <w:r w:rsidR="001F3A0D" w:rsidRPr="00903F4E">
              <w:rPr>
                <w:rFonts w:cs="Times New Roman"/>
                <w:noProof/>
                <w:webHidden/>
                <w:szCs w:val="24"/>
              </w:rPr>
            </w:r>
            <w:r w:rsidR="001F3A0D" w:rsidRPr="00903F4E">
              <w:rPr>
                <w:rFonts w:cs="Times New Roman"/>
                <w:noProof/>
                <w:webHidden/>
                <w:szCs w:val="24"/>
              </w:rPr>
              <w:fldChar w:fldCharType="separate"/>
            </w:r>
            <w:r w:rsidR="001F3A0D" w:rsidRPr="00903F4E">
              <w:rPr>
                <w:rFonts w:cs="Times New Roman"/>
                <w:noProof/>
                <w:webHidden/>
                <w:szCs w:val="24"/>
              </w:rPr>
              <w:t>2</w:t>
            </w:r>
            <w:r w:rsidR="001F3A0D" w:rsidRPr="00903F4E">
              <w:rPr>
                <w:rFonts w:cs="Times New Roman"/>
                <w:noProof/>
                <w:webHidden/>
                <w:szCs w:val="24"/>
              </w:rPr>
              <w:fldChar w:fldCharType="end"/>
            </w:r>
          </w:hyperlink>
        </w:p>
        <w:p w14:paraId="5B35D2BC" w14:textId="47EC054A"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54" w:history="1">
            <w:r w:rsidRPr="00903F4E">
              <w:rPr>
                <w:rStyle w:val="Hyperlink"/>
                <w:rFonts w:cs="Times New Roman"/>
                <w:noProof/>
                <w:szCs w:val="24"/>
              </w:rPr>
              <w:t>1. Introduction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_Toc226740454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5</w:t>
            </w:r>
            <w:r w:rsidRPr="00903F4E">
              <w:rPr>
                <w:rFonts w:cs="Times New Roman"/>
                <w:noProof/>
                <w:webHidden/>
                <w:szCs w:val="24"/>
              </w:rPr>
              <w:fldChar w:fldCharType="end"/>
            </w:r>
          </w:hyperlink>
        </w:p>
        <w:p w14:paraId="3AE24B6B" w14:textId="76054AA6"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55" w:history="1">
            <w:r w:rsidRPr="00903F4E">
              <w:rPr>
                <w:rStyle w:val="Hyperlink"/>
                <w:rFonts w:cs="Times New Roman"/>
                <w:noProof/>
                <w:szCs w:val="24"/>
              </w:rPr>
              <w:t>1.1 Research Background and Motivation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_Toc226740455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5</w:t>
            </w:r>
            <w:r w:rsidRPr="00903F4E">
              <w:rPr>
                <w:rFonts w:cs="Times New Roman"/>
                <w:noProof/>
                <w:webHidden/>
                <w:szCs w:val="24"/>
              </w:rPr>
              <w:fldChar w:fldCharType="end"/>
            </w:r>
          </w:hyperlink>
        </w:p>
        <w:p w14:paraId="16740889" w14:textId="5D425A1D"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56" w:history="1">
            <w:r w:rsidRPr="00903F4E">
              <w:rPr>
                <w:rStyle w:val="Hyperlink"/>
                <w:rFonts w:cs="Times New Roman"/>
                <w:noProof/>
                <w:szCs w:val="24"/>
              </w:rPr>
              <w:t>1.2 Scope, Delimitations, and Academic Pillars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_Toc226740456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5</w:t>
            </w:r>
            <w:r w:rsidRPr="00903F4E">
              <w:rPr>
                <w:rFonts w:cs="Times New Roman"/>
                <w:noProof/>
                <w:webHidden/>
                <w:szCs w:val="24"/>
              </w:rPr>
              <w:fldChar w:fldCharType="end"/>
            </w:r>
          </w:hyperlink>
        </w:p>
        <w:p w14:paraId="7C78403D" w14:textId="59B5A405"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57" w:history="1">
            <w:r w:rsidRPr="00903F4E">
              <w:rPr>
                <w:rStyle w:val="Hyperlink"/>
                <w:rFonts w:cs="Times New Roman"/>
                <w:noProof/>
                <w:szCs w:val="24"/>
              </w:rPr>
              <w:t>1.3 Research Questions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_Toc226740457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6</w:t>
            </w:r>
            <w:r w:rsidRPr="00903F4E">
              <w:rPr>
                <w:rFonts w:cs="Times New Roman"/>
                <w:noProof/>
                <w:webHidden/>
                <w:szCs w:val="24"/>
              </w:rPr>
              <w:fldChar w:fldCharType="end"/>
            </w:r>
          </w:hyperlink>
        </w:p>
        <w:p w14:paraId="2C456783" w14:textId="5ACEA892"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58" w:history="1">
            <w:r w:rsidRPr="00903F4E">
              <w:rPr>
                <w:rStyle w:val="Hyperlink"/>
                <w:rFonts w:cs="Times New Roman"/>
                <w:noProof/>
                <w:szCs w:val="24"/>
              </w:rPr>
              <w:t>2. Theoretical Framework</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_Toc226740458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7</w:t>
            </w:r>
            <w:r w:rsidRPr="00903F4E">
              <w:rPr>
                <w:rFonts w:cs="Times New Roman"/>
                <w:noProof/>
                <w:webHidden/>
                <w:szCs w:val="24"/>
              </w:rPr>
              <w:fldChar w:fldCharType="end"/>
            </w:r>
          </w:hyperlink>
        </w:p>
        <w:p w14:paraId="7DA0D019" w14:textId="571C079B"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59" w:history="1">
            <w:r w:rsidRPr="00903F4E">
              <w:rPr>
                <w:rStyle w:val="Hyperlink"/>
                <w:rFonts w:cs="Times New Roman"/>
                <w:noProof/>
                <w:szCs w:val="24"/>
              </w:rPr>
              <w:t>2.1 Biometric Security within the CIA Triad</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_Toc226740459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7</w:t>
            </w:r>
            <w:r w:rsidRPr="00903F4E">
              <w:rPr>
                <w:rFonts w:cs="Times New Roman"/>
                <w:noProof/>
                <w:webHidden/>
                <w:szCs w:val="24"/>
              </w:rPr>
              <w:fldChar w:fldCharType="end"/>
            </w:r>
          </w:hyperlink>
        </w:p>
        <w:p w14:paraId="1D5C422D" w14:textId="20B42D97"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0" w:history="1">
            <w:r w:rsidRPr="00903F4E">
              <w:rPr>
                <w:rStyle w:val="Hyperlink"/>
                <w:rFonts w:cs="Times New Roman"/>
                <w:noProof/>
                <w:szCs w:val="24"/>
              </w:rPr>
              <w:t>2.2 The Three Failure Modes Model</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_Toc226740460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7</w:t>
            </w:r>
            <w:r w:rsidRPr="00903F4E">
              <w:rPr>
                <w:rFonts w:cs="Times New Roman"/>
                <w:noProof/>
                <w:webHidden/>
                <w:szCs w:val="24"/>
              </w:rPr>
              <w:fldChar w:fldCharType="end"/>
            </w:r>
          </w:hyperlink>
        </w:p>
        <w:p w14:paraId="77636BD2" w14:textId="003ECC32"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1" w:history="1">
            <w:r w:rsidRPr="00903F4E">
              <w:rPr>
                <w:rStyle w:val="Hyperlink"/>
                <w:rFonts w:cs="Times New Roman"/>
                <w:noProof/>
                <w:szCs w:val="24"/>
              </w:rPr>
              <w:t>2.3 Intersectionality and Compounding Bias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_Toc226740461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8</w:t>
            </w:r>
            <w:r w:rsidRPr="00903F4E">
              <w:rPr>
                <w:rFonts w:cs="Times New Roman"/>
                <w:noProof/>
                <w:webHidden/>
                <w:szCs w:val="24"/>
              </w:rPr>
              <w:fldChar w:fldCharType="end"/>
            </w:r>
          </w:hyperlink>
        </w:p>
        <w:p w14:paraId="3C2C4F53" w14:textId="30D6D355"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62" w:history="1">
            <w:r w:rsidRPr="00903F4E">
              <w:rPr>
                <w:rStyle w:val="Hyperlink"/>
                <w:rFonts w:cs="Times New Roman"/>
                <w:noProof/>
                <w:szCs w:val="24"/>
              </w:rPr>
              <w:t>3. Literature Review</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_Toc226740462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10</w:t>
            </w:r>
            <w:r w:rsidRPr="00903F4E">
              <w:rPr>
                <w:rFonts w:cs="Times New Roman"/>
                <w:noProof/>
                <w:webHidden/>
                <w:szCs w:val="24"/>
              </w:rPr>
              <w:fldChar w:fldCharType="end"/>
            </w:r>
          </w:hyperlink>
        </w:p>
        <w:p w14:paraId="0AEBFCB2" w14:textId="1E6F2BF2"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3" w:history="1">
            <w:r w:rsidRPr="00903F4E">
              <w:rPr>
                <w:rStyle w:val="Hyperlink"/>
                <w:rFonts w:cs="Times New Roman"/>
                <w:noProof/>
                <w:szCs w:val="24"/>
              </w:rPr>
              <w:t>3.1 Foundational Studies (2018–2022)</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_Toc226740463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10</w:t>
            </w:r>
            <w:r w:rsidRPr="00903F4E">
              <w:rPr>
                <w:rFonts w:cs="Times New Roman"/>
                <w:noProof/>
                <w:webHidden/>
                <w:szCs w:val="24"/>
              </w:rPr>
              <w:fldChar w:fldCharType="end"/>
            </w:r>
          </w:hyperlink>
        </w:p>
        <w:p w14:paraId="1A49EE77" w14:textId="4D77AD6C"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4" w:history="1">
            <w:r w:rsidRPr="00903F4E">
              <w:rPr>
                <w:rStyle w:val="Hyperlink"/>
                <w:rFonts w:cs="Times New Roman"/>
                <w:noProof/>
                <w:szCs w:val="24"/>
              </w:rPr>
              <w:t>3.2 Regulatory and Governance Literature (2024–2026)</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_Toc226740464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10</w:t>
            </w:r>
            <w:r w:rsidRPr="00903F4E">
              <w:rPr>
                <w:rFonts w:cs="Times New Roman"/>
                <w:noProof/>
                <w:webHidden/>
                <w:szCs w:val="24"/>
              </w:rPr>
              <w:fldChar w:fldCharType="end"/>
            </w:r>
          </w:hyperlink>
        </w:p>
        <w:p w14:paraId="214E0EBE" w14:textId="059BD954"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5" w:history="1">
            <w:r w:rsidRPr="00903F4E">
              <w:rPr>
                <w:rStyle w:val="Hyperlink"/>
                <w:rFonts w:cs="Times New Roman"/>
                <w:noProof/>
                <w:szCs w:val="24"/>
              </w:rPr>
              <w:t>3.3 Technical Mitigation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_Toc226740465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11</w:t>
            </w:r>
            <w:r w:rsidRPr="00903F4E">
              <w:rPr>
                <w:rFonts w:cs="Times New Roman"/>
                <w:noProof/>
                <w:webHidden/>
                <w:szCs w:val="24"/>
              </w:rPr>
              <w:fldChar w:fldCharType="end"/>
            </w:r>
          </w:hyperlink>
        </w:p>
        <w:p w14:paraId="4A985BC0" w14:textId="0FBCD69C"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6" w:history="1">
            <w:r w:rsidRPr="00903F4E">
              <w:rPr>
                <w:rStyle w:val="Hyperlink"/>
                <w:rFonts w:cs="Times New Roman"/>
                <w:noProof/>
                <w:szCs w:val="24"/>
              </w:rPr>
              <w:t>3.4 Legal and Liability</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_Toc226740466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12</w:t>
            </w:r>
            <w:r w:rsidRPr="00903F4E">
              <w:rPr>
                <w:rFonts w:cs="Times New Roman"/>
                <w:noProof/>
                <w:webHidden/>
                <w:szCs w:val="24"/>
              </w:rPr>
              <w:fldChar w:fldCharType="end"/>
            </w:r>
          </w:hyperlink>
        </w:p>
        <w:p w14:paraId="5204AE97" w14:textId="41790CB3"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67" w:history="1">
            <w:r w:rsidRPr="00903F4E">
              <w:rPr>
                <w:rStyle w:val="Hyperlink"/>
                <w:rFonts w:cs="Times New Roman"/>
                <w:noProof/>
                <w:szCs w:val="24"/>
              </w:rPr>
              <w:t>4. Methodology</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_Toc226740467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14</w:t>
            </w:r>
            <w:r w:rsidRPr="00903F4E">
              <w:rPr>
                <w:rFonts w:cs="Times New Roman"/>
                <w:noProof/>
                <w:webHidden/>
                <w:szCs w:val="24"/>
              </w:rPr>
              <w:fldChar w:fldCharType="end"/>
            </w:r>
          </w:hyperlink>
        </w:p>
        <w:p w14:paraId="18AAA888" w14:textId="17FFE790"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8" w:history="1">
            <w:r w:rsidRPr="00903F4E">
              <w:rPr>
                <w:rStyle w:val="Hyperlink"/>
                <w:rFonts w:cs="Times New Roman"/>
                <w:noProof/>
                <w:szCs w:val="24"/>
              </w:rPr>
              <w:t>4.1 Systematic Literature Review (SLR) Protocol</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_Toc226740468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14</w:t>
            </w:r>
            <w:r w:rsidRPr="00903F4E">
              <w:rPr>
                <w:rFonts w:cs="Times New Roman"/>
                <w:noProof/>
                <w:webHidden/>
                <w:szCs w:val="24"/>
              </w:rPr>
              <w:fldChar w:fldCharType="end"/>
            </w:r>
          </w:hyperlink>
        </w:p>
        <w:p w14:paraId="66101C6E" w14:textId="2C18FBA0"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69" w:history="1">
            <w:r w:rsidRPr="00903F4E">
              <w:rPr>
                <w:rStyle w:val="Hyperlink"/>
                <w:rFonts w:cs="Times New Roman"/>
                <w:noProof/>
                <w:szCs w:val="24"/>
              </w:rPr>
              <w:t>4.2 Comparative Data Analysis using NIST FRTE Datasets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_Toc226740469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14</w:t>
            </w:r>
            <w:r w:rsidRPr="00903F4E">
              <w:rPr>
                <w:rFonts w:cs="Times New Roman"/>
                <w:noProof/>
                <w:webHidden/>
                <w:szCs w:val="24"/>
              </w:rPr>
              <w:fldChar w:fldCharType="end"/>
            </w:r>
          </w:hyperlink>
        </w:p>
        <w:p w14:paraId="131F9C8D" w14:textId="41CE3210"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0" w:history="1">
            <w:r w:rsidRPr="00903F4E">
              <w:rPr>
                <w:rStyle w:val="Hyperlink"/>
                <w:rFonts w:cs="Times New Roman"/>
                <w:noProof/>
                <w:szCs w:val="24"/>
              </w:rPr>
              <w:t>4.3 Audit-Based Analytical Framework</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_Toc226740470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15</w:t>
            </w:r>
            <w:r w:rsidRPr="00903F4E">
              <w:rPr>
                <w:rFonts w:cs="Times New Roman"/>
                <w:noProof/>
                <w:webHidden/>
                <w:szCs w:val="24"/>
              </w:rPr>
              <w:fldChar w:fldCharType="end"/>
            </w:r>
          </w:hyperlink>
        </w:p>
        <w:p w14:paraId="3EC598FA" w14:textId="65914C15"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71" w:history="1">
            <w:r w:rsidRPr="00903F4E">
              <w:rPr>
                <w:rStyle w:val="Hyperlink"/>
                <w:rFonts w:cs="Times New Roman"/>
                <w:noProof/>
                <w:szCs w:val="24"/>
              </w:rPr>
              <w:t>5. Security and Liability Analysis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_Toc226740471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17</w:t>
            </w:r>
            <w:r w:rsidRPr="00903F4E">
              <w:rPr>
                <w:rFonts w:cs="Times New Roman"/>
                <w:noProof/>
                <w:webHidden/>
                <w:szCs w:val="24"/>
              </w:rPr>
              <w:fldChar w:fldCharType="end"/>
            </w:r>
          </w:hyperlink>
        </w:p>
        <w:p w14:paraId="3D8A7ACC" w14:textId="09520CC0"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2" w:history="1">
            <w:r w:rsidRPr="00903F4E">
              <w:rPr>
                <w:rStyle w:val="Hyperlink"/>
                <w:rFonts w:cs="Times New Roman"/>
                <w:noProof/>
                <w:szCs w:val="24"/>
              </w:rPr>
              <w:t>5.1 Organisational Security Risk Dimensions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_Toc226740472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17</w:t>
            </w:r>
            <w:r w:rsidRPr="00903F4E">
              <w:rPr>
                <w:rFonts w:cs="Times New Roman"/>
                <w:noProof/>
                <w:webHidden/>
                <w:szCs w:val="24"/>
              </w:rPr>
              <w:fldChar w:fldCharType="end"/>
            </w:r>
          </w:hyperlink>
        </w:p>
        <w:p w14:paraId="0495C4FF" w14:textId="79F39D46"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3" w:history="1">
            <w:r w:rsidRPr="00903F4E">
              <w:rPr>
                <w:rStyle w:val="Hyperlink"/>
                <w:rFonts w:cs="Times New Roman"/>
                <w:noProof/>
                <w:szCs w:val="24"/>
              </w:rPr>
              <w:t>5.2 Legal Risk and Wrongful Detention Litigation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_Toc226740473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17</w:t>
            </w:r>
            <w:r w:rsidRPr="00903F4E">
              <w:rPr>
                <w:rFonts w:cs="Times New Roman"/>
                <w:noProof/>
                <w:webHidden/>
                <w:szCs w:val="24"/>
              </w:rPr>
              <w:fldChar w:fldCharType="end"/>
            </w:r>
          </w:hyperlink>
        </w:p>
        <w:p w14:paraId="00B318CC" w14:textId="2B375FF3"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4" w:history="1">
            <w:r w:rsidRPr="00903F4E">
              <w:rPr>
                <w:rStyle w:val="Hyperlink"/>
                <w:rFonts w:cs="Times New Roman"/>
                <w:noProof/>
                <w:szCs w:val="24"/>
              </w:rPr>
              <w:t>5.3 Regulatory Compliance Risk: EU AI Act (2025/26)</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_Toc226740474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18</w:t>
            </w:r>
            <w:r w:rsidRPr="00903F4E">
              <w:rPr>
                <w:rFonts w:cs="Times New Roman"/>
                <w:noProof/>
                <w:webHidden/>
                <w:szCs w:val="24"/>
              </w:rPr>
              <w:fldChar w:fldCharType="end"/>
            </w:r>
          </w:hyperlink>
        </w:p>
        <w:p w14:paraId="71CAF963" w14:textId="78366EE9"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5" w:history="1">
            <w:r w:rsidRPr="00903F4E">
              <w:rPr>
                <w:rStyle w:val="Hyperlink"/>
                <w:rFonts w:cs="Times New Roman"/>
                <w:noProof/>
                <w:szCs w:val="24"/>
              </w:rPr>
              <w:t>5.4 Financial and Reputational Risk</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_Toc226740475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19</w:t>
            </w:r>
            <w:r w:rsidRPr="00903F4E">
              <w:rPr>
                <w:rFonts w:cs="Times New Roman"/>
                <w:noProof/>
                <w:webHidden/>
                <w:szCs w:val="24"/>
              </w:rPr>
              <w:fldChar w:fldCharType="end"/>
            </w:r>
          </w:hyperlink>
        </w:p>
        <w:p w14:paraId="12CE3C69" w14:textId="3A2A2EB0"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76" w:history="1">
            <w:r w:rsidRPr="00903F4E">
              <w:rPr>
                <w:rStyle w:val="Hyperlink"/>
                <w:rFonts w:cs="Times New Roman"/>
                <w:noProof/>
                <w:szCs w:val="24"/>
              </w:rPr>
              <w:t>6. Ethical Framework</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_Toc226740476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20</w:t>
            </w:r>
            <w:r w:rsidRPr="00903F4E">
              <w:rPr>
                <w:rFonts w:cs="Times New Roman"/>
                <w:noProof/>
                <w:webHidden/>
                <w:szCs w:val="24"/>
              </w:rPr>
              <w:fldChar w:fldCharType="end"/>
            </w:r>
          </w:hyperlink>
        </w:p>
        <w:p w14:paraId="0CF04750" w14:textId="6C6491EB"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7" w:history="1">
            <w:r w:rsidRPr="00903F4E">
              <w:rPr>
                <w:rStyle w:val="Hyperlink"/>
                <w:rFonts w:cs="Times New Roman"/>
                <w:noProof/>
                <w:szCs w:val="24"/>
              </w:rPr>
              <w:t>6.1 Surveillance Ethics and Structural Inequity</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_Toc226740477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20</w:t>
            </w:r>
            <w:r w:rsidRPr="00903F4E">
              <w:rPr>
                <w:rFonts w:cs="Times New Roman"/>
                <w:noProof/>
                <w:webHidden/>
                <w:szCs w:val="24"/>
              </w:rPr>
              <w:fldChar w:fldCharType="end"/>
            </w:r>
          </w:hyperlink>
        </w:p>
        <w:p w14:paraId="78EC8041" w14:textId="2BAE7A58"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8" w:history="1">
            <w:r w:rsidRPr="00903F4E">
              <w:rPr>
                <w:rStyle w:val="Hyperlink"/>
                <w:rFonts w:cs="Times New Roman"/>
                <w:noProof/>
                <w:szCs w:val="24"/>
              </w:rPr>
              <w:t>6.2 Due Process, Wrongful Identification, and Accountability</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_Toc226740478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20</w:t>
            </w:r>
            <w:r w:rsidRPr="00903F4E">
              <w:rPr>
                <w:rFonts w:cs="Times New Roman"/>
                <w:noProof/>
                <w:webHidden/>
                <w:szCs w:val="24"/>
              </w:rPr>
              <w:fldChar w:fldCharType="end"/>
            </w:r>
          </w:hyperlink>
        </w:p>
        <w:p w14:paraId="240146A9" w14:textId="6E01FFAD"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79" w:history="1">
            <w:r w:rsidRPr="00903F4E">
              <w:rPr>
                <w:rStyle w:val="Hyperlink"/>
                <w:rFonts w:cs="Times New Roman"/>
                <w:noProof/>
                <w:szCs w:val="24"/>
              </w:rPr>
              <w:t>6.3 The Fairness–Privacy Paradox</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_Toc226740479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21</w:t>
            </w:r>
            <w:r w:rsidRPr="00903F4E">
              <w:rPr>
                <w:rFonts w:cs="Times New Roman"/>
                <w:noProof/>
                <w:webHidden/>
                <w:szCs w:val="24"/>
              </w:rPr>
              <w:fldChar w:fldCharType="end"/>
            </w:r>
          </w:hyperlink>
        </w:p>
        <w:p w14:paraId="60007D69" w14:textId="593DB428"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80" w:history="1">
            <w:r w:rsidRPr="00903F4E">
              <w:rPr>
                <w:rStyle w:val="Hyperlink"/>
                <w:rFonts w:cs="Times New Roman"/>
                <w:noProof/>
                <w:szCs w:val="24"/>
              </w:rPr>
              <w:t>7. Policy Recommendations: CISO Biometric Vendor Audit Framework</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_Toc226740480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22</w:t>
            </w:r>
            <w:r w:rsidRPr="00903F4E">
              <w:rPr>
                <w:rFonts w:cs="Times New Roman"/>
                <w:noProof/>
                <w:webHidden/>
                <w:szCs w:val="24"/>
              </w:rPr>
              <w:fldChar w:fldCharType="end"/>
            </w:r>
          </w:hyperlink>
        </w:p>
        <w:p w14:paraId="0DD811F2" w14:textId="2884F83F"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81" w:history="1">
            <w:r w:rsidRPr="00903F4E">
              <w:rPr>
                <w:rStyle w:val="Hyperlink"/>
                <w:rFonts w:cs="Times New Roman"/>
                <w:noProof/>
                <w:szCs w:val="24"/>
              </w:rPr>
              <w:t>7.1 Pre-Procurement Audit Checklist</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_Toc226740481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22</w:t>
            </w:r>
            <w:r w:rsidRPr="00903F4E">
              <w:rPr>
                <w:rFonts w:cs="Times New Roman"/>
                <w:noProof/>
                <w:webHidden/>
                <w:szCs w:val="24"/>
              </w:rPr>
              <w:fldChar w:fldCharType="end"/>
            </w:r>
          </w:hyperlink>
        </w:p>
        <w:p w14:paraId="35351A80" w14:textId="4127547F" w:rsidR="001F3A0D" w:rsidRPr="00903F4E" w:rsidRDefault="001F3A0D" w:rsidP="00903F4E">
          <w:pPr>
            <w:pStyle w:val="TOC3"/>
            <w:tabs>
              <w:tab w:val="right" w:leader="dot" w:pos="9196"/>
            </w:tabs>
            <w:spacing w:line="276" w:lineRule="auto"/>
            <w:jc w:val="both"/>
            <w:rPr>
              <w:rFonts w:eastAsiaTheme="minorEastAsia" w:cs="Times New Roman"/>
              <w:noProof/>
              <w:kern w:val="2"/>
              <w:szCs w:val="24"/>
              <w14:ligatures w14:val="standardContextual"/>
            </w:rPr>
          </w:pPr>
          <w:hyperlink w:anchor="_Toc226740482" w:history="1">
            <w:r w:rsidRPr="00903F4E">
              <w:rPr>
                <w:rStyle w:val="Hyperlink"/>
                <w:rFonts w:cs="Times New Roman"/>
                <w:i/>
                <w:noProof/>
                <w:szCs w:val="24"/>
              </w:rPr>
              <w:t>Domain A: Training Data a</w:t>
            </w:r>
            <w:r w:rsidRPr="00903F4E">
              <w:rPr>
                <w:rStyle w:val="Hyperlink"/>
                <w:rFonts w:cs="Times New Roman"/>
                <w:i/>
                <w:noProof/>
                <w:szCs w:val="24"/>
              </w:rPr>
              <w:t>n</w:t>
            </w:r>
            <w:r w:rsidRPr="00903F4E">
              <w:rPr>
                <w:rStyle w:val="Hyperlink"/>
                <w:rFonts w:cs="Times New Roman"/>
                <w:i/>
                <w:noProof/>
                <w:szCs w:val="24"/>
              </w:rPr>
              <w:t>d Dataset Governance</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_Toc226740482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22</w:t>
            </w:r>
            <w:r w:rsidRPr="00903F4E">
              <w:rPr>
                <w:rFonts w:cs="Times New Roman"/>
                <w:noProof/>
                <w:webHidden/>
                <w:szCs w:val="24"/>
              </w:rPr>
              <w:fldChar w:fldCharType="end"/>
            </w:r>
          </w:hyperlink>
        </w:p>
        <w:p w14:paraId="51467312" w14:textId="0F8A888E" w:rsidR="001F3A0D" w:rsidRPr="00903F4E" w:rsidRDefault="001F3A0D" w:rsidP="00903F4E">
          <w:pPr>
            <w:pStyle w:val="TOC3"/>
            <w:tabs>
              <w:tab w:val="right" w:leader="dot" w:pos="9196"/>
            </w:tabs>
            <w:spacing w:line="276" w:lineRule="auto"/>
            <w:jc w:val="both"/>
            <w:rPr>
              <w:rFonts w:eastAsiaTheme="minorEastAsia" w:cs="Times New Roman"/>
              <w:noProof/>
              <w:kern w:val="2"/>
              <w:szCs w:val="24"/>
              <w14:ligatures w14:val="standardContextual"/>
            </w:rPr>
          </w:pPr>
          <w:hyperlink w:anchor="_Toc226740483" w:history="1">
            <w:r w:rsidRPr="00903F4E">
              <w:rPr>
                <w:rStyle w:val="Hyperlink"/>
                <w:rFonts w:cs="Times New Roman"/>
                <w:i/>
                <w:noProof/>
                <w:szCs w:val="24"/>
              </w:rPr>
              <w:t>Domain B: Algorithmic Performance Based on Demographic Disaggregation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_Toc226740483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22</w:t>
            </w:r>
            <w:r w:rsidRPr="00903F4E">
              <w:rPr>
                <w:rFonts w:cs="Times New Roman"/>
                <w:noProof/>
                <w:webHidden/>
                <w:szCs w:val="24"/>
              </w:rPr>
              <w:fldChar w:fldCharType="end"/>
            </w:r>
          </w:hyperlink>
        </w:p>
        <w:p w14:paraId="16B959D3" w14:textId="735A940B" w:rsidR="001F3A0D" w:rsidRPr="00903F4E" w:rsidRDefault="001F3A0D" w:rsidP="00903F4E">
          <w:pPr>
            <w:pStyle w:val="TOC3"/>
            <w:tabs>
              <w:tab w:val="right" w:leader="dot" w:pos="9196"/>
            </w:tabs>
            <w:spacing w:line="276" w:lineRule="auto"/>
            <w:jc w:val="both"/>
            <w:rPr>
              <w:rFonts w:eastAsiaTheme="minorEastAsia" w:cs="Times New Roman"/>
              <w:noProof/>
              <w:kern w:val="2"/>
              <w:szCs w:val="24"/>
              <w14:ligatures w14:val="standardContextual"/>
            </w:rPr>
          </w:pPr>
          <w:hyperlink w:anchor="_Toc226740484" w:history="1">
            <w:r w:rsidRPr="00903F4E">
              <w:rPr>
                <w:rStyle w:val="Hyperlink"/>
                <w:rFonts w:cs="Times New Roman"/>
                <w:i/>
                <w:noProof/>
                <w:szCs w:val="24"/>
              </w:rPr>
              <w:t>Domain C: Regulatory Compliance</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_Toc226740484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23</w:t>
            </w:r>
            <w:r w:rsidRPr="00903F4E">
              <w:rPr>
                <w:rFonts w:cs="Times New Roman"/>
                <w:noProof/>
                <w:webHidden/>
                <w:szCs w:val="24"/>
              </w:rPr>
              <w:fldChar w:fldCharType="end"/>
            </w:r>
          </w:hyperlink>
        </w:p>
        <w:p w14:paraId="5FB7B6C9" w14:textId="772B3257" w:rsidR="001F3A0D" w:rsidRPr="00903F4E" w:rsidRDefault="001F3A0D" w:rsidP="00903F4E">
          <w:pPr>
            <w:pStyle w:val="TOC3"/>
            <w:tabs>
              <w:tab w:val="right" w:leader="dot" w:pos="9196"/>
            </w:tabs>
            <w:spacing w:line="276" w:lineRule="auto"/>
            <w:jc w:val="both"/>
            <w:rPr>
              <w:rFonts w:eastAsiaTheme="minorEastAsia" w:cs="Times New Roman"/>
              <w:noProof/>
              <w:kern w:val="2"/>
              <w:szCs w:val="24"/>
              <w14:ligatures w14:val="standardContextual"/>
            </w:rPr>
          </w:pPr>
          <w:hyperlink w:anchor="_Toc226740485" w:history="1">
            <w:r w:rsidRPr="00903F4E">
              <w:rPr>
                <w:rStyle w:val="Hyperlink"/>
                <w:rFonts w:cs="Times New Roman"/>
                <w:i/>
                <w:noProof/>
                <w:szCs w:val="24"/>
              </w:rPr>
              <w:t>Domain D: Contractual Protections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_Toc226740485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24</w:t>
            </w:r>
            <w:r w:rsidRPr="00903F4E">
              <w:rPr>
                <w:rFonts w:cs="Times New Roman"/>
                <w:noProof/>
                <w:webHidden/>
                <w:szCs w:val="24"/>
              </w:rPr>
              <w:fldChar w:fldCharType="end"/>
            </w:r>
          </w:hyperlink>
        </w:p>
        <w:p w14:paraId="25EC33A2" w14:textId="137AE192" w:rsidR="001F3A0D" w:rsidRPr="00903F4E" w:rsidRDefault="001F3A0D" w:rsidP="00903F4E">
          <w:pPr>
            <w:pStyle w:val="TOC3"/>
            <w:tabs>
              <w:tab w:val="right" w:leader="dot" w:pos="9196"/>
            </w:tabs>
            <w:spacing w:line="276" w:lineRule="auto"/>
            <w:jc w:val="both"/>
            <w:rPr>
              <w:rFonts w:eastAsiaTheme="minorEastAsia" w:cs="Times New Roman"/>
              <w:noProof/>
              <w:kern w:val="2"/>
              <w:szCs w:val="24"/>
              <w14:ligatures w14:val="standardContextual"/>
            </w:rPr>
          </w:pPr>
          <w:hyperlink w:anchor="_Toc226740486" w:history="1">
            <w:r w:rsidRPr="00903F4E">
              <w:rPr>
                <w:rStyle w:val="Hyperlink"/>
                <w:rFonts w:cs="Times New Roman"/>
                <w:i/>
                <w:noProof/>
                <w:szCs w:val="24"/>
              </w:rPr>
              <w:t>Domain E: Organisational Governance</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_Toc226740486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24</w:t>
            </w:r>
            <w:r w:rsidRPr="00903F4E">
              <w:rPr>
                <w:rFonts w:cs="Times New Roman"/>
                <w:noProof/>
                <w:webHidden/>
                <w:szCs w:val="24"/>
              </w:rPr>
              <w:fldChar w:fldCharType="end"/>
            </w:r>
          </w:hyperlink>
        </w:p>
        <w:p w14:paraId="718595EE" w14:textId="7C459ADA"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87" w:history="1">
            <w:r w:rsidRPr="00903F4E">
              <w:rPr>
                <w:rStyle w:val="Hyperlink"/>
                <w:rFonts w:cs="Times New Roman"/>
                <w:noProof/>
                <w:szCs w:val="24"/>
              </w:rPr>
              <w:t>7.2 Continuous Monitoring Protocol</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_Toc226740487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24</w:t>
            </w:r>
            <w:r w:rsidRPr="00903F4E">
              <w:rPr>
                <w:rFonts w:cs="Times New Roman"/>
                <w:noProof/>
                <w:webHidden/>
                <w:szCs w:val="24"/>
              </w:rPr>
              <w:fldChar w:fldCharType="end"/>
            </w:r>
          </w:hyperlink>
        </w:p>
        <w:p w14:paraId="2CD5C1A0" w14:textId="1EA95594" w:rsidR="001F3A0D" w:rsidRPr="00903F4E" w:rsidRDefault="001F3A0D" w:rsidP="00903F4E">
          <w:pPr>
            <w:pStyle w:val="TOC2"/>
            <w:tabs>
              <w:tab w:val="right" w:leader="dot" w:pos="9196"/>
            </w:tabs>
            <w:spacing w:line="276" w:lineRule="auto"/>
            <w:jc w:val="both"/>
            <w:rPr>
              <w:rFonts w:eastAsiaTheme="minorEastAsia" w:cs="Times New Roman"/>
              <w:noProof/>
              <w:kern w:val="2"/>
              <w:szCs w:val="24"/>
              <w14:ligatures w14:val="standardContextual"/>
            </w:rPr>
          </w:pPr>
          <w:hyperlink w:anchor="_Toc226740488" w:history="1">
            <w:r w:rsidRPr="00903F4E">
              <w:rPr>
                <w:rStyle w:val="Hyperlink"/>
                <w:rFonts w:cs="Times New Roman"/>
                <w:noProof/>
                <w:szCs w:val="24"/>
              </w:rPr>
              <w:t>7.3 Incident Response and Liability Mitigation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_Toc226740488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25</w:t>
            </w:r>
            <w:r w:rsidRPr="00903F4E">
              <w:rPr>
                <w:rFonts w:cs="Times New Roman"/>
                <w:noProof/>
                <w:webHidden/>
                <w:szCs w:val="24"/>
              </w:rPr>
              <w:fldChar w:fldCharType="end"/>
            </w:r>
          </w:hyperlink>
        </w:p>
        <w:p w14:paraId="1F71DBD6" w14:textId="27E4DECA"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89" w:history="1">
            <w:r w:rsidRPr="00903F4E">
              <w:rPr>
                <w:rStyle w:val="Hyperlink"/>
                <w:rFonts w:cs="Times New Roman"/>
                <w:noProof/>
                <w:szCs w:val="24"/>
              </w:rPr>
              <w:t>8. Conclusion</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_Toc226740489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27</w:t>
            </w:r>
            <w:r w:rsidRPr="00903F4E">
              <w:rPr>
                <w:rFonts w:cs="Times New Roman"/>
                <w:noProof/>
                <w:webHidden/>
                <w:szCs w:val="24"/>
              </w:rPr>
              <w:fldChar w:fldCharType="end"/>
            </w:r>
          </w:hyperlink>
        </w:p>
        <w:p w14:paraId="6E0B69DF" w14:textId="4A542B83" w:rsidR="001F3A0D" w:rsidRPr="00903F4E" w:rsidRDefault="001F3A0D" w:rsidP="00903F4E">
          <w:pPr>
            <w:pStyle w:val="TOC1"/>
            <w:tabs>
              <w:tab w:val="right" w:leader="dot" w:pos="9196"/>
            </w:tabs>
            <w:spacing w:line="276" w:lineRule="auto"/>
            <w:jc w:val="both"/>
            <w:rPr>
              <w:rFonts w:eastAsiaTheme="minorEastAsia" w:cs="Times New Roman"/>
              <w:noProof/>
              <w:kern w:val="2"/>
              <w:szCs w:val="24"/>
              <w14:ligatures w14:val="standardContextual"/>
            </w:rPr>
          </w:pPr>
          <w:hyperlink w:anchor="_Toc226740490" w:history="1">
            <w:r w:rsidRPr="00903F4E">
              <w:rPr>
                <w:rStyle w:val="Hyperlink"/>
                <w:rFonts w:cs="Times New Roman"/>
                <w:noProof/>
                <w:szCs w:val="24"/>
              </w:rPr>
              <w:t>References</w:t>
            </w:r>
            <w:r w:rsidRPr="00903F4E">
              <w:rPr>
                <w:rFonts w:cs="Times New Roman"/>
                <w:noProof/>
                <w:webHidden/>
                <w:szCs w:val="24"/>
              </w:rPr>
              <w:tab/>
            </w:r>
            <w:r w:rsidRPr="00903F4E">
              <w:rPr>
                <w:rFonts w:cs="Times New Roman"/>
                <w:noProof/>
                <w:webHidden/>
                <w:szCs w:val="24"/>
              </w:rPr>
              <w:fldChar w:fldCharType="begin"/>
            </w:r>
            <w:r w:rsidRPr="00903F4E">
              <w:rPr>
                <w:rFonts w:cs="Times New Roman"/>
                <w:noProof/>
                <w:webHidden/>
                <w:szCs w:val="24"/>
              </w:rPr>
              <w:instrText xml:space="preserve"> PAGEREF _Toc226740490 \h </w:instrText>
            </w:r>
            <w:r w:rsidRPr="00903F4E">
              <w:rPr>
                <w:rFonts w:cs="Times New Roman"/>
                <w:noProof/>
                <w:webHidden/>
                <w:szCs w:val="24"/>
              </w:rPr>
            </w:r>
            <w:r w:rsidRPr="00903F4E">
              <w:rPr>
                <w:rFonts w:cs="Times New Roman"/>
                <w:noProof/>
                <w:webHidden/>
                <w:szCs w:val="24"/>
              </w:rPr>
              <w:fldChar w:fldCharType="separate"/>
            </w:r>
            <w:r w:rsidRPr="00903F4E">
              <w:rPr>
                <w:rFonts w:cs="Times New Roman"/>
                <w:noProof/>
                <w:webHidden/>
                <w:szCs w:val="24"/>
              </w:rPr>
              <w:t>29</w:t>
            </w:r>
            <w:r w:rsidRPr="00903F4E">
              <w:rPr>
                <w:rFonts w:cs="Times New Roman"/>
                <w:noProof/>
                <w:webHidden/>
                <w:szCs w:val="24"/>
              </w:rPr>
              <w:fldChar w:fldCharType="end"/>
            </w:r>
          </w:hyperlink>
        </w:p>
        <w:p w14:paraId="210C810C" w14:textId="46E974A4" w:rsidR="00F21B97" w:rsidRPr="00903F4E" w:rsidRDefault="002F56A5" w:rsidP="00903F4E">
          <w:pPr>
            <w:pStyle w:val="TOC1"/>
            <w:tabs>
              <w:tab w:val="right" w:leader="dot" w:pos="9196"/>
            </w:tabs>
            <w:spacing w:line="276" w:lineRule="auto"/>
            <w:jc w:val="both"/>
            <w:rPr>
              <w:rFonts w:cs="Times New Roman"/>
              <w:szCs w:val="24"/>
            </w:rPr>
          </w:pPr>
          <w:r w:rsidRPr="00903F4E">
            <w:rPr>
              <w:rFonts w:cs="Times New Roman"/>
              <w:b/>
              <w:bCs/>
              <w:noProof/>
              <w:szCs w:val="24"/>
            </w:rPr>
            <w:fldChar w:fldCharType="end"/>
          </w:r>
        </w:p>
      </w:sdtContent>
    </w:sdt>
    <w:p w14:paraId="77BF76D5"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073EC28B" w14:textId="77777777" w:rsidR="00F21B97" w:rsidRPr="00903F4E" w:rsidRDefault="00000000" w:rsidP="00903F4E">
      <w:pPr>
        <w:pStyle w:val="Heading1"/>
        <w:spacing w:line="276" w:lineRule="auto"/>
        <w:jc w:val="both"/>
        <w:rPr>
          <w:rFonts w:cs="Times New Roman"/>
          <w:szCs w:val="24"/>
        </w:rPr>
      </w:pPr>
      <w:bookmarkStart w:id="1" w:name="_Toc226740454"/>
      <w:r w:rsidRPr="00903F4E">
        <w:rPr>
          <w:rFonts w:cs="Times New Roman"/>
          <w:szCs w:val="24"/>
        </w:rPr>
        <w:lastRenderedPageBreak/>
        <w:t>1. Introduction</w:t>
      </w:r>
      <w:bookmarkEnd w:id="1"/>
    </w:p>
    <w:p w14:paraId="0DB9F709" w14:textId="77777777" w:rsidR="00F21B97" w:rsidRPr="00903F4E" w:rsidRDefault="00000000" w:rsidP="00903F4E">
      <w:pPr>
        <w:pStyle w:val="Heading2"/>
        <w:spacing w:line="276" w:lineRule="auto"/>
        <w:jc w:val="both"/>
        <w:rPr>
          <w:rFonts w:cs="Times New Roman"/>
          <w:szCs w:val="24"/>
        </w:rPr>
      </w:pPr>
      <w:bookmarkStart w:id="2" w:name="_Toc226740455"/>
      <w:r w:rsidRPr="00903F4E">
        <w:rPr>
          <w:rFonts w:cs="Times New Roman"/>
          <w:szCs w:val="24"/>
        </w:rPr>
        <w:t>1.1 Research Background and Motivation</w:t>
      </w:r>
      <w:bookmarkEnd w:id="2"/>
    </w:p>
    <w:p w14:paraId="3246D203" w14:textId="56121F50" w:rsidR="00F21B97" w:rsidRPr="00903F4E" w:rsidRDefault="00000000" w:rsidP="00903F4E">
      <w:pPr>
        <w:spacing w:after="140" w:line="276" w:lineRule="auto"/>
        <w:jc w:val="both"/>
        <w:rPr>
          <w:rFonts w:cs="Times New Roman"/>
          <w:szCs w:val="24"/>
        </w:rPr>
      </w:pPr>
      <w:r w:rsidRPr="00903F4E">
        <w:rPr>
          <w:rFonts w:cs="Times New Roman"/>
          <w:szCs w:val="24"/>
        </w:rPr>
        <w:t>The widespread deployment of facial recognition technology (FRT) across critical public and private infrastructure has transformed the discipline of information systems security. From airport e-gates and police body</w:t>
      </w:r>
      <w:r w:rsidR="00896B87" w:rsidRPr="00903F4E">
        <w:rPr>
          <w:rFonts w:cs="Times New Roman"/>
          <w:szCs w:val="24"/>
        </w:rPr>
        <w:t xml:space="preserve"> </w:t>
      </w:r>
      <w:r w:rsidRPr="00903F4E">
        <w:rPr>
          <w:rFonts w:cs="Times New Roman"/>
          <w:szCs w:val="24"/>
        </w:rPr>
        <w:t>worn cameras to retail loss</w:t>
      </w:r>
      <w:r w:rsidR="00896B87" w:rsidRPr="00903F4E">
        <w:rPr>
          <w:rFonts w:cs="Times New Roman"/>
          <w:szCs w:val="24"/>
        </w:rPr>
        <w:t xml:space="preserve"> </w:t>
      </w:r>
      <w:r w:rsidRPr="00903F4E">
        <w:rPr>
          <w:rFonts w:cs="Times New Roman"/>
          <w:szCs w:val="24"/>
        </w:rPr>
        <w:t>prevention systems and financial identity verification, biometric systems promise frictionless, high</w:t>
      </w:r>
      <w:r w:rsidR="00896B87" w:rsidRPr="00903F4E">
        <w:rPr>
          <w:rFonts w:cs="Times New Roman"/>
          <w:szCs w:val="24"/>
        </w:rPr>
        <w:t xml:space="preserve"> </w:t>
      </w:r>
      <w:r w:rsidRPr="00903F4E">
        <w:rPr>
          <w:rFonts w:cs="Times New Roman"/>
          <w:szCs w:val="24"/>
        </w:rPr>
        <w:t>confidence identification at scale. Yet this promise is fundamentally undermined when the technology's core security guarantee</w:t>
      </w:r>
      <w:r w:rsidR="00896B87" w:rsidRPr="00903F4E">
        <w:rPr>
          <w:rFonts w:cs="Times New Roman"/>
          <w:szCs w:val="24"/>
        </w:rPr>
        <w:t>,</w:t>
      </w:r>
      <w:r w:rsidRPr="00903F4E">
        <w:rPr>
          <w:rFonts w:cs="Times New Roman"/>
          <w:szCs w:val="24"/>
        </w:rPr>
        <w:t xml:space="preserve"> accuracy</w:t>
      </w:r>
      <w:r w:rsidR="00896B87" w:rsidRPr="00903F4E">
        <w:rPr>
          <w:rFonts w:cs="Times New Roman"/>
          <w:szCs w:val="24"/>
        </w:rPr>
        <w:t>,</w:t>
      </w:r>
      <w:r w:rsidRPr="00903F4E">
        <w:rPr>
          <w:rFonts w:cs="Times New Roman"/>
          <w:szCs w:val="24"/>
        </w:rPr>
        <w:t xml:space="preserve"> fails differentially along demographic lines.</w:t>
      </w:r>
    </w:p>
    <w:p w14:paraId="61F38A57" w14:textId="148D7CF3" w:rsidR="00F21B97" w:rsidRPr="00903F4E" w:rsidRDefault="00000000" w:rsidP="00903F4E">
      <w:pPr>
        <w:spacing w:after="140" w:line="276" w:lineRule="auto"/>
        <w:jc w:val="both"/>
        <w:rPr>
          <w:rFonts w:cs="Times New Roman"/>
          <w:szCs w:val="24"/>
        </w:rPr>
      </w:pPr>
      <w:r w:rsidRPr="00903F4E">
        <w:rPr>
          <w:rFonts w:cs="Times New Roman"/>
          <w:szCs w:val="24"/>
        </w:rPr>
        <w:t>The information security implications of this differential are not merely technical inconveniences. When a system produces disproportionately high False Match Rates (FMR) for specific demographic groups</w:t>
      </w:r>
      <w:r w:rsidR="004741FA" w:rsidRPr="00903F4E">
        <w:rPr>
          <w:rFonts w:cs="Times New Roman"/>
          <w:szCs w:val="24"/>
        </w:rPr>
        <w:t>,</w:t>
      </w:r>
      <w:r w:rsidRPr="00903F4E">
        <w:rPr>
          <w:rFonts w:cs="Times New Roman"/>
          <w:szCs w:val="24"/>
        </w:rPr>
        <w:t xml:space="preserve"> particularly darker</w:t>
      </w:r>
      <w:r w:rsidR="004741FA" w:rsidRPr="00903F4E">
        <w:rPr>
          <w:rFonts w:cs="Times New Roman"/>
          <w:szCs w:val="24"/>
        </w:rPr>
        <w:t xml:space="preserve"> </w:t>
      </w:r>
      <w:r w:rsidRPr="00903F4E">
        <w:rPr>
          <w:rFonts w:cs="Times New Roman"/>
          <w:szCs w:val="24"/>
        </w:rPr>
        <w:t>skinned individuals and females</w:t>
      </w:r>
      <w:r w:rsidR="004741FA" w:rsidRPr="00903F4E">
        <w:rPr>
          <w:rFonts w:cs="Times New Roman"/>
          <w:szCs w:val="24"/>
        </w:rPr>
        <w:t>,</w:t>
      </w:r>
      <w:r w:rsidRPr="00903F4E">
        <w:rPr>
          <w:rFonts w:cs="Times New Roman"/>
          <w:szCs w:val="24"/>
        </w:rPr>
        <w:t xml:space="preserve"> the result is a category of security failure with direct human consequences: wrongful identification, unlawful detention, defamation, and the systematic erosion of due process. Conversely, elevated False Non-Match Rates (FNMR) for the same groups produce exclusion failures</w:t>
      </w:r>
      <w:r w:rsidR="004741FA" w:rsidRPr="00903F4E">
        <w:rPr>
          <w:rFonts w:cs="Times New Roman"/>
          <w:szCs w:val="24"/>
        </w:rPr>
        <w:t>,</w:t>
      </w:r>
      <w:r w:rsidRPr="00903F4E">
        <w:rPr>
          <w:rFonts w:cs="Times New Roman"/>
          <w:szCs w:val="24"/>
        </w:rPr>
        <w:t xml:space="preserve"> denial of access, authentication barriers, and digital disenfranchisement</w:t>
      </w:r>
      <w:r w:rsidR="004741FA" w:rsidRPr="00903F4E">
        <w:rPr>
          <w:rFonts w:cs="Times New Roman"/>
          <w:szCs w:val="24"/>
        </w:rPr>
        <w:t>,</w:t>
      </w:r>
      <w:r w:rsidRPr="00903F4E">
        <w:rPr>
          <w:rFonts w:cs="Times New Roman"/>
          <w:szCs w:val="24"/>
        </w:rPr>
        <w:t xml:space="preserve"> that violate both security principles and equality law.</w:t>
      </w:r>
    </w:p>
    <w:p w14:paraId="570F0FDC" w14:textId="67A577A4" w:rsidR="00F21B97" w:rsidRPr="00903F4E" w:rsidRDefault="00000000" w:rsidP="00903F4E">
      <w:pPr>
        <w:spacing w:after="140" w:line="276" w:lineRule="auto"/>
        <w:jc w:val="both"/>
        <w:rPr>
          <w:rFonts w:cs="Times New Roman"/>
          <w:szCs w:val="24"/>
        </w:rPr>
      </w:pPr>
      <w:r w:rsidRPr="00903F4E">
        <w:rPr>
          <w:rFonts w:cs="Times New Roman"/>
          <w:szCs w:val="24"/>
        </w:rPr>
        <w:t>This research is motivated by three converging forces. First, the 2025 NIST Face Recognition Technology Evaluation (FRTE) benchmarks confirm that while top</w:t>
      </w:r>
      <w:r w:rsidR="004741FA" w:rsidRPr="00903F4E">
        <w:rPr>
          <w:rFonts w:cs="Times New Roman"/>
          <w:szCs w:val="24"/>
        </w:rPr>
        <w:t xml:space="preserve"> </w:t>
      </w:r>
      <w:r w:rsidRPr="00903F4E">
        <w:rPr>
          <w:rFonts w:cs="Times New Roman"/>
          <w:szCs w:val="24"/>
        </w:rPr>
        <w:t xml:space="preserve">tier commercial algorithms show marginal improvements, a substantial 'long tail' of cheaper, widely deployed systems continues to exhibit error rates ten times higher for specific ethnic groups relative to the baseline demographic group in their training data (NIST, 2025). Second, a wave of </w:t>
      </w:r>
      <w:r w:rsidR="004741FA" w:rsidRPr="00903F4E">
        <w:rPr>
          <w:rFonts w:cs="Times New Roman"/>
          <w:szCs w:val="24"/>
        </w:rPr>
        <w:t>high-profile</w:t>
      </w:r>
      <w:r w:rsidRPr="00903F4E">
        <w:rPr>
          <w:rFonts w:cs="Times New Roman"/>
          <w:szCs w:val="24"/>
        </w:rPr>
        <w:t xml:space="preserve"> wrongful</w:t>
      </w:r>
      <w:r w:rsidR="004741FA" w:rsidRPr="00903F4E">
        <w:rPr>
          <w:rFonts w:cs="Times New Roman"/>
          <w:szCs w:val="24"/>
        </w:rPr>
        <w:t xml:space="preserve"> </w:t>
      </w:r>
      <w:r w:rsidRPr="00903F4E">
        <w:rPr>
          <w:rFonts w:cs="Times New Roman"/>
          <w:szCs w:val="24"/>
        </w:rPr>
        <w:t>detention cases in 2024 and 2025</w:t>
      </w:r>
      <w:r w:rsidR="004741FA" w:rsidRPr="00903F4E">
        <w:rPr>
          <w:rFonts w:cs="Times New Roman"/>
          <w:szCs w:val="24"/>
        </w:rPr>
        <w:t>,</w:t>
      </w:r>
      <w:r w:rsidRPr="00903F4E">
        <w:rPr>
          <w:rFonts w:cs="Times New Roman"/>
          <w:szCs w:val="24"/>
        </w:rPr>
        <w:t xml:space="preserve"> where individuals, predominantly Black males, were arrested based on erroneous FRT matches</w:t>
      </w:r>
      <w:r w:rsidR="004741FA" w:rsidRPr="00903F4E">
        <w:rPr>
          <w:rFonts w:cs="Times New Roman"/>
          <w:szCs w:val="24"/>
        </w:rPr>
        <w:t>,</w:t>
      </w:r>
      <w:r w:rsidRPr="00903F4E">
        <w:rPr>
          <w:rFonts w:cs="Times New Roman"/>
          <w:szCs w:val="24"/>
        </w:rPr>
        <w:t xml:space="preserve"> has triggered legislative scrutiny and </w:t>
      </w:r>
      <w:r w:rsidR="004741FA" w:rsidRPr="00903F4E">
        <w:rPr>
          <w:rFonts w:cs="Times New Roman"/>
          <w:szCs w:val="24"/>
        </w:rPr>
        <w:t>multimillion</w:t>
      </w:r>
      <w:r w:rsidRPr="00903F4E">
        <w:rPr>
          <w:rFonts w:cs="Times New Roman"/>
          <w:szCs w:val="24"/>
        </w:rPr>
        <w:t xml:space="preserve"> dollar litigation. Third, the 2025–2026 enforcement phase of the EU Artificial Intelligence Act introduces legally binding fairness audit obligations for any 'high</w:t>
      </w:r>
      <w:r w:rsidR="004741FA" w:rsidRPr="00903F4E">
        <w:rPr>
          <w:rFonts w:cs="Times New Roman"/>
          <w:szCs w:val="24"/>
        </w:rPr>
        <w:t xml:space="preserve"> </w:t>
      </w:r>
      <w:r w:rsidRPr="00903F4E">
        <w:rPr>
          <w:rFonts w:cs="Times New Roman"/>
          <w:szCs w:val="24"/>
        </w:rPr>
        <w:t>risk' AI system, including biometric identification, making the capacity to audit these systems a regulatory necessity rather than a discretionary governance practice</w:t>
      </w:r>
      <w:r w:rsidR="004741FA" w:rsidRPr="00903F4E">
        <w:rPr>
          <w:rFonts w:cs="Times New Roman"/>
          <w:szCs w:val="24"/>
        </w:rPr>
        <w:t xml:space="preserve"> </w:t>
      </w:r>
      <w:r w:rsidR="004741FA" w:rsidRPr="00903F4E">
        <w:rPr>
          <w:rFonts w:cs="Times New Roman"/>
          <w:szCs w:val="24"/>
        </w:rPr>
        <w:fldChar w:fldCharType="begin"/>
      </w:r>
      <w:r w:rsidR="004741FA" w:rsidRPr="00903F4E">
        <w:rPr>
          <w:rFonts w:cs="Times New Roman"/>
          <w:szCs w:val="24"/>
        </w:rPr>
        <w:instrText xml:space="preserve"> ADDIN ZOTERO_ITEM CSL_CITATION {"citationID":"jp8iHKrC","properties":{"unsorted":false,"formattedCitation":"(Graux et al., 2024)","plainCitation":"(Graux et al., 2024)","noteIndex":0},"citationItems":[{"id":43,"uris":["http://zotero.org/users/19988602/items/7SQ7AKY7"],"itemData":{"id":43,"type":"article-journal","language":"en","source":"Zotero","title":"Interplay between the AI Act and the EU digital legislative framework","author":[{"family":"Graux","given":"Hans"},{"family":"Garstka","given":"Krzysztof"},{"family":"Murali","given":"Nayana"}],"issued":{"date-parts":[["2024"]]}}}],"schema":"https://github.com/citation-style-language/schema/raw/master/csl-citation.json"} </w:instrText>
      </w:r>
      <w:r w:rsidR="004741FA" w:rsidRPr="00903F4E">
        <w:rPr>
          <w:rFonts w:cs="Times New Roman"/>
          <w:szCs w:val="24"/>
        </w:rPr>
        <w:fldChar w:fldCharType="separate"/>
      </w:r>
      <w:r w:rsidR="004741FA" w:rsidRPr="00903F4E">
        <w:rPr>
          <w:rFonts w:cs="Times New Roman"/>
          <w:szCs w:val="24"/>
        </w:rPr>
        <w:t>(Graux et al., 2024)</w:t>
      </w:r>
      <w:r w:rsidR="004741FA" w:rsidRPr="00903F4E">
        <w:rPr>
          <w:rFonts w:cs="Times New Roman"/>
          <w:szCs w:val="24"/>
        </w:rPr>
        <w:fldChar w:fldCharType="end"/>
      </w:r>
    </w:p>
    <w:p w14:paraId="77E0461B" w14:textId="719583B3" w:rsidR="00F21B97" w:rsidRPr="00903F4E" w:rsidRDefault="00000000" w:rsidP="00903F4E">
      <w:pPr>
        <w:pStyle w:val="Heading2"/>
        <w:spacing w:line="276" w:lineRule="auto"/>
        <w:jc w:val="both"/>
        <w:rPr>
          <w:rFonts w:cs="Times New Roman"/>
          <w:szCs w:val="24"/>
        </w:rPr>
      </w:pPr>
      <w:bookmarkStart w:id="3" w:name="_Toc226740456"/>
      <w:r w:rsidRPr="00903F4E">
        <w:rPr>
          <w:rFonts w:cs="Times New Roman"/>
          <w:szCs w:val="24"/>
        </w:rPr>
        <w:t>1.2 Scope</w:t>
      </w:r>
      <w:r w:rsidR="001F3A0D" w:rsidRPr="00903F4E">
        <w:rPr>
          <w:rFonts w:cs="Times New Roman"/>
          <w:szCs w:val="24"/>
        </w:rPr>
        <w:t xml:space="preserve"> and L</w:t>
      </w:r>
      <w:r w:rsidRPr="00903F4E">
        <w:rPr>
          <w:rFonts w:cs="Times New Roman"/>
          <w:szCs w:val="24"/>
        </w:rPr>
        <w:t>imitations</w:t>
      </w:r>
      <w:bookmarkEnd w:id="3"/>
    </w:p>
    <w:p w14:paraId="71EE7C2E" w14:textId="1075E764" w:rsidR="00F21B97" w:rsidRPr="00903F4E" w:rsidRDefault="00000000" w:rsidP="00903F4E">
      <w:pPr>
        <w:spacing w:after="140" w:line="276" w:lineRule="auto"/>
        <w:jc w:val="both"/>
        <w:rPr>
          <w:rFonts w:cs="Times New Roman"/>
          <w:szCs w:val="24"/>
        </w:rPr>
      </w:pPr>
      <w:r w:rsidRPr="00903F4E">
        <w:rPr>
          <w:rFonts w:cs="Times New Roman"/>
          <w:szCs w:val="24"/>
        </w:rPr>
        <w:t>This study is bounded to the analysis of facial recognition as the primary biometric modality under examination, although comparative reference is made to soft biometrics</w:t>
      </w:r>
      <w:r w:rsidR="00236202" w:rsidRPr="00903F4E">
        <w:rPr>
          <w:rFonts w:cs="Times New Roman"/>
          <w:szCs w:val="24"/>
        </w:rPr>
        <w:t xml:space="preserve">: </w:t>
      </w:r>
      <w:r w:rsidRPr="00903F4E">
        <w:rPr>
          <w:rFonts w:cs="Times New Roman"/>
          <w:szCs w:val="24"/>
        </w:rPr>
        <w:t>gender, age, ethnicity classification</w:t>
      </w:r>
      <w:r w:rsidR="00236202" w:rsidRPr="00903F4E">
        <w:rPr>
          <w:rFonts w:cs="Times New Roman"/>
          <w:szCs w:val="24"/>
        </w:rPr>
        <w:t>,</w:t>
      </w:r>
      <w:r w:rsidRPr="00903F4E">
        <w:rPr>
          <w:rFonts w:cs="Times New Roman"/>
          <w:szCs w:val="24"/>
        </w:rPr>
        <w:t xml:space="preserve"> as investigated by Hassan et al. (2026) in the </w:t>
      </w:r>
      <w:proofErr w:type="spellStart"/>
      <w:r w:rsidRPr="00903F4E">
        <w:rPr>
          <w:rFonts w:cs="Times New Roman"/>
          <w:szCs w:val="24"/>
        </w:rPr>
        <w:t>CeleBImg</w:t>
      </w:r>
      <w:proofErr w:type="spellEnd"/>
      <w:r w:rsidRPr="00903F4E">
        <w:rPr>
          <w:rFonts w:cs="Times New Roman"/>
          <w:szCs w:val="24"/>
        </w:rPr>
        <w:t xml:space="preserve"> benchmark. The study does not involve original software implementation, algorithm training, or the collection of primary empirical data. Instead, it applies an audit</w:t>
      </w:r>
      <w:r w:rsidR="00236202" w:rsidRPr="00903F4E">
        <w:rPr>
          <w:rFonts w:cs="Times New Roman"/>
          <w:szCs w:val="24"/>
        </w:rPr>
        <w:t xml:space="preserve"> </w:t>
      </w:r>
      <w:r w:rsidRPr="00903F4E">
        <w:rPr>
          <w:rFonts w:cs="Times New Roman"/>
          <w:szCs w:val="24"/>
        </w:rPr>
        <w:t>based analytical methodology to existing publicly available datasets and peer</w:t>
      </w:r>
      <w:r w:rsidR="00236202" w:rsidRPr="00903F4E">
        <w:rPr>
          <w:rFonts w:cs="Times New Roman"/>
          <w:szCs w:val="24"/>
        </w:rPr>
        <w:t xml:space="preserve"> </w:t>
      </w:r>
      <w:r w:rsidRPr="00903F4E">
        <w:rPr>
          <w:rFonts w:cs="Times New Roman"/>
          <w:szCs w:val="24"/>
        </w:rPr>
        <w:t>reviewed literature, positioning this work squarely within the tradition of information systems security auditing as defined by the ISO 27001 series and articulated in the context of AI systems by IEEE P2863 (2025 Draft).</w:t>
      </w:r>
    </w:p>
    <w:p w14:paraId="60AEC216" w14:textId="14C6878D" w:rsidR="00F21B97" w:rsidRPr="00903F4E" w:rsidRDefault="00000000" w:rsidP="00903F4E">
      <w:pPr>
        <w:spacing w:after="140" w:line="276" w:lineRule="auto"/>
        <w:jc w:val="both"/>
        <w:rPr>
          <w:rFonts w:cs="Times New Roman"/>
          <w:szCs w:val="24"/>
        </w:rPr>
      </w:pPr>
      <w:r w:rsidRPr="00903F4E">
        <w:rPr>
          <w:rFonts w:cs="Times New Roman"/>
          <w:szCs w:val="24"/>
        </w:rPr>
        <w:t>The research is anchored on three academic pillars drawn from the CIA triad extended for social-technical systems:</w:t>
      </w:r>
      <w:r w:rsidR="00236202" w:rsidRPr="00903F4E">
        <w:rPr>
          <w:rFonts w:cs="Times New Roman"/>
          <w:szCs w:val="24"/>
        </w:rPr>
        <w:t xml:space="preserve"> (1) Integrity</w:t>
      </w:r>
      <w:r w:rsidRPr="00903F4E">
        <w:rPr>
          <w:rFonts w:cs="Times New Roman"/>
          <w:szCs w:val="24"/>
        </w:rPr>
        <w:t>: The accuracy and reliability of biometric matching across demographic groups, with a particular focus on FMR and FNMR as metrics of system integrity failure.</w:t>
      </w:r>
      <w:r w:rsidR="00236202" w:rsidRPr="00903F4E">
        <w:rPr>
          <w:rFonts w:cs="Times New Roman"/>
          <w:szCs w:val="24"/>
        </w:rPr>
        <w:t xml:space="preserve"> (2) </w:t>
      </w:r>
      <w:r w:rsidRPr="00903F4E">
        <w:rPr>
          <w:rFonts w:cs="Times New Roman"/>
          <w:szCs w:val="24"/>
        </w:rPr>
        <w:t xml:space="preserve">Accountability: The legal, regulatory, and governance obligations of organisations </w:t>
      </w:r>
      <w:r w:rsidRPr="00903F4E">
        <w:rPr>
          <w:rFonts w:cs="Times New Roman"/>
          <w:szCs w:val="24"/>
        </w:rPr>
        <w:lastRenderedPageBreak/>
        <w:t>deploying biometric systems, including compliance with the EU AI Act and GDPR.</w:t>
      </w:r>
      <w:r w:rsidR="00236202" w:rsidRPr="00903F4E">
        <w:rPr>
          <w:rFonts w:cs="Times New Roman"/>
          <w:szCs w:val="24"/>
        </w:rPr>
        <w:t xml:space="preserve"> And (3) </w:t>
      </w:r>
      <w:r w:rsidRPr="00903F4E">
        <w:rPr>
          <w:rFonts w:cs="Times New Roman"/>
          <w:szCs w:val="24"/>
        </w:rPr>
        <w:t>Equity: The social and ethical dimensions of differential accuracy, connecting technical failures to structural inequities in surveillance and law enforcement.</w:t>
      </w:r>
    </w:p>
    <w:p w14:paraId="2B58B20A" w14:textId="77777777" w:rsidR="00F21B97" w:rsidRPr="00903F4E" w:rsidRDefault="00000000" w:rsidP="00903F4E">
      <w:pPr>
        <w:pStyle w:val="Heading2"/>
        <w:spacing w:line="276" w:lineRule="auto"/>
        <w:jc w:val="both"/>
        <w:rPr>
          <w:rFonts w:cs="Times New Roman"/>
          <w:szCs w:val="24"/>
        </w:rPr>
      </w:pPr>
      <w:bookmarkStart w:id="4" w:name="_Toc226740457"/>
      <w:r w:rsidRPr="00903F4E">
        <w:rPr>
          <w:rFonts w:cs="Times New Roman"/>
          <w:szCs w:val="24"/>
        </w:rPr>
        <w:t>1.3 Research Questions</w:t>
      </w:r>
      <w:bookmarkEnd w:id="4"/>
    </w:p>
    <w:p w14:paraId="04B300A1" w14:textId="6D0937C1" w:rsidR="00F21B97" w:rsidRPr="00903F4E" w:rsidRDefault="00000000" w:rsidP="00903F4E">
      <w:pPr>
        <w:spacing w:after="140" w:line="276" w:lineRule="auto"/>
        <w:jc w:val="both"/>
        <w:rPr>
          <w:rFonts w:cs="Times New Roman"/>
          <w:szCs w:val="24"/>
        </w:rPr>
      </w:pPr>
      <w:r w:rsidRPr="00903F4E">
        <w:rPr>
          <w:rFonts w:cs="Times New Roman"/>
          <w:szCs w:val="24"/>
        </w:rPr>
        <w:t xml:space="preserve">The following four research questions </w:t>
      </w:r>
      <w:r w:rsidR="001F3A0D" w:rsidRPr="00903F4E">
        <w:rPr>
          <w:rFonts w:cs="Times New Roman"/>
          <w:szCs w:val="24"/>
        </w:rPr>
        <w:t>form the basis of this research</w:t>
      </w:r>
      <w:r w:rsidRPr="00903F4E">
        <w:rPr>
          <w:rFonts w:cs="Times New Roman"/>
          <w:szCs w:val="24"/>
        </w:rPr>
        <w:t>:</w:t>
      </w:r>
    </w:p>
    <w:p w14:paraId="29EAB09A" w14:textId="5AD0571F" w:rsidR="00236202" w:rsidRPr="00903F4E" w:rsidRDefault="008776AB" w:rsidP="00903F4E">
      <w:pPr>
        <w:pStyle w:val="ListParagraph"/>
        <w:numPr>
          <w:ilvl w:val="0"/>
          <w:numId w:val="5"/>
        </w:numPr>
        <w:spacing w:line="276" w:lineRule="auto"/>
        <w:jc w:val="both"/>
        <w:rPr>
          <w:rFonts w:ascii="Times New Roman" w:hAnsi="Times New Roman" w:cs="Times New Roman"/>
          <w:sz w:val="24"/>
          <w:szCs w:val="24"/>
        </w:rPr>
      </w:pPr>
      <w:r w:rsidRPr="00903F4E">
        <w:rPr>
          <w:rFonts w:ascii="Times New Roman" w:hAnsi="Times New Roman" w:cs="Times New Roman"/>
          <w:sz w:val="24"/>
          <w:szCs w:val="24"/>
        </w:rPr>
        <w:t>To what extent do demographic variables</w:t>
      </w:r>
      <w:r w:rsidR="00236202" w:rsidRPr="00903F4E">
        <w:rPr>
          <w:rFonts w:ascii="Times New Roman" w:hAnsi="Times New Roman" w:cs="Times New Roman"/>
          <w:sz w:val="24"/>
          <w:szCs w:val="24"/>
        </w:rPr>
        <w:t xml:space="preserve">, </w:t>
      </w:r>
      <w:r w:rsidRPr="00903F4E">
        <w:rPr>
          <w:rFonts w:ascii="Times New Roman" w:hAnsi="Times New Roman" w:cs="Times New Roman"/>
          <w:sz w:val="24"/>
          <w:szCs w:val="24"/>
        </w:rPr>
        <w:t>specifically race, gender, and their intersection</w:t>
      </w:r>
      <w:r w:rsidR="00236202" w:rsidRPr="00903F4E">
        <w:rPr>
          <w:rFonts w:ascii="Times New Roman" w:hAnsi="Times New Roman" w:cs="Times New Roman"/>
          <w:sz w:val="24"/>
          <w:szCs w:val="24"/>
        </w:rPr>
        <w:t>,</w:t>
      </w:r>
      <w:r w:rsidRPr="00903F4E">
        <w:rPr>
          <w:rFonts w:ascii="Times New Roman" w:hAnsi="Times New Roman" w:cs="Times New Roman"/>
          <w:sz w:val="24"/>
          <w:szCs w:val="24"/>
        </w:rPr>
        <w:t xml:space="preserve"> correlate with differential False Match Rates (FMR) and False Non-Match Rates (FNMR) in deployed facial recognition algorithms?</w:t>
      </w:r>
    </w:p>
    <w:p w14:paraId="11A81480" w14:textId="3DD0EEA0" w:rsidR="00236202" w:rsidRPr="00903F4E" w:rsidRDefault="008776AB" w:rsidP="00903F4E">
      <w:pPr>
        <w:pStyle w:val="ListParagraph"/>
        <w:numPr>
          <w:ilvl w:val="0"/>
          <w:numId w:val="5"/>
        </w:numPr>
        <w:spacing w:line="276" w:lineRule="auto"/>
        <w:jc w:val="both"/>
        <w:rPr>
          <w:rFonts w:ascii="Times New Roman" w:hAnsi="Times New Roman" w:cs="Times New Roman"/>
          <w:sz w:val="24"/>
          <w:szCs w:val="24"/>
        </w:rPr>
      </w:pPr>
      <w:r w:rsidRPr="00903F4E">
        <w:rPr>
          <w:rFonts w:ascii="Times New Roman" w:hAnsi="Times New Roman" w:cs="Times New Roman"/>
          <w:sz w:val="24"/>
          <w:szCs w:val="24"/>
        </w:rPr>
        <w:t>How do the three identified failure modes</w:t>
      </w:r>
      <w:r w:rsidR="00236202" w:rsidRPr="00903F4E">
        <w:rPr>
          <w:rFonts w:ascii="Times New Roman" w:hAnsi="Times New Roman" w:cs="Times New Roman"/>
          <w:sz w:val="24"/>
          <w:szCs w:val="24"/>
        </w:rPr>
        <w:t>,</w:t>
      </w:r>
      <w:r w:rsidRPr="00903F4E">
        <w:rPr>
          <w:rFonts w:ascii="Times New Roman" w:hAnsi="Times New Roman" w:cs="Times New Roman"/>
          <w:sz w:val="24"/>
          <w:szCs w:val="24"/>
        </w:rPr>
        <w:t xml:space="preserve"> training dataset bias, environmental sensor sensitivity</w:t>
      </w:r>
      <w:r w:rsidR="001F3A0D" w:rsidRPr="00903F4E">
        <w:rPr>
          <w:rFonts w:ascii="Times New Roman" w:hAnsi="Times New Roman" w:cs="Times New Roman"/>
          <w:sz w:val="24"/>
          <w:szCs w:val="24"/>
        </w:rPr>
        <w:t xml:space="preserve">, </w:t>
      </w:r>
      <w:r w:rsidRPr="00903F4E">
        <w:rPr>
          <w:rFonts w:ascii="Times New Roman" w:hAnsi="Times New Roman" w:cs="Times New Roman"/>
          <w:sz w:val="24"/>
          <w:szCs w:val="24"/>
        </w:rPr>
        <w:t>skin reflectance, and similarity threshold calibration</w:t>
      </w:r>
      <w:r w:rsidR="00236202" w:rsidRPr="00903F4E">
        <w:rPr>
          <w:rFonts w:ascii="Times New Roman" w:hAnsi="Times New Roman" w:cs="Times New Roman"/>
          <w:sz w:val="24"/>
          <w:szCs w:val="24"/>
        </w:rPr>
        <w:t>,</w:t>
      </w:r>
      <w:r w:rsidRPr="00903F4E">
        <w:rPr>
          <w:rFonts w:ascii="Times New Roman" w:hAnsi="Times New Roman" w:cs="Times New Roman"/>
          <w:sz w:val="24"/>
          <w:szCs w:val="24"/>
        </w:rPr>
        <w:t xml:space="preserve"> contribute, individually and cumulatively, to demographic performance disparities?</w:t>
      </w:r>
    </w:p>
    <w:p w14:paraId="74895AA1" w14:textId="77777777" w:rsidR="00236202" w:rsidRPr="00903F4E" w:rsidRDefault="008776AB" w:rsidP="00903F4E">
      <w:pPr>
        <w:pStyle w:val="ListParagraph"/>
        <w:numPr>
          <w:ilvl w:val="0"/>
          <w:numId w:val="5"/>
        </w:numPr>
        <w:spacing w:line="276" w:lineRule="auto"/>
        <w:jc w:val="both"/>
        <w:rPr>
          <w:rFonts w:ascii="Times New Roman" w:hAnsi="Times New Roman" w:cs="Times New Roman"/>
          <w:sz w:val="24"/>
          <w:szCs w:val="24"/>
        </w:rPr>
      </w:pPr>
      <w:r w:rsidRPr="00903F4E">
        <w:rPr>
          <w:rFonts w:ascii="Times New Roman" w:hAnsi="Times New Roman" w:cs="Times New Roman"/>
          <w:sz w:val="24"/>
          <w:szCs w:val="24"/>
        </w:rPr>
        <w:t>What are the measurable organisational security risks</w:t>
      </w:r>
      <w:r w:rsidR="00236202" w:rsidRPr="00903F4E">
        <w:rPr>
          <w:rFonts w:ascii="Times New Roman" w:hAnsi="Times New Roman" w:cs="Times New Roman"/>
          <w:sz w:val="24"/>
          <w:szCs w:val="24"/>
        </w:rPr>
        <w:t>,</w:t>
      </w:r>
      <w:r w:rsidRPr="00903F4E">
        <w:rPr>
          <w:rFonts w:ascii="Times New Roman" w:hAnsi="Times New Roman" w:cs="Times New Roman"/>
          <w:sz w:val="24"/>
          <w:szCs w:val="24"/>
        </w:rPr>
        <w:t xml:space="preserve"> legal, financial, and reputational</w:t>
      </w:r>
      <w:r w:rsidR="00236202" w:rsidRPr="00903F4E">
        <w:rPr>
          <w:rFonts w:ascii="Times New Roman" w:hAnsi="Times New Roman" w:cs="Times New Roman"/>
          <w:sz w:val="24"/>
          <w:szCs w:val="24"/>
        </w:rPr>
        <w:t>,</w:t>
      </w:r>
      <w:r w:rsidRPr="00903F4E">
        <w:rPr>
          <w:rFonts w:ascii="Times New Roman" w:hAnsi="Times New Roman" w:cs="Times New Roman"/>
          <w:sz w:val="24"/>
          <w:szCs w:val="24"/>
        </w:rPr>
        <w:t xml:space="preserve"> faced by institutions deploying biometric systems with demonstrated demographic bias, and how do current regulatory frameworks address these risks?</w:t>
      </w:r>
    </w:p>
    <w:p w14:paraId="1B462D9D" w14:textId="540655CC" w:rsidR="00F21B97" w:rsidRPr="00903F4E" w:rsidRDefault="008776AB" w:rsidP="00903F4E">
      <w:pPr>
        <w:pStyle w:val="ListParagraph"/>
        <w:numPr>
          <w:ilvl w:val="0"/>
          <w:numId w:val="5"/>
        </w:numPr>
        <w:spacing w:line="276" w:lineRule="auto"/>
        <w:jc w:val="both"/>
        <w:rPr>
          <w:rFonts w:ascii="Times New Roman" w:hAnsi="Times New Roman" w:cs="Times New Roman"/>
          <w:sz w:val="24"/>
          <w:szCs w:val="24"/>
        </w:rPr>
      </w:pPr>
      <w:r w:rsidRPr="00903F4E">
        <w:rPr>
          <w:rFonts w:ascii="Times New Roman" w:hAnsi="Times New Roman" w:cs="Times New Roman"/>
          <w:sz w:val="24"/>
          <w:szCs w:val="24"/>
        </w:rPr>
        <w:t xml:space="preserve">What </w:t>
      </w:r>
      <w:r w:rsidR="00567984" w:rsidRPr="00903F4E">
        <w:rPr>
          <w:rFonts w:ascii="Times New Roman" w:hAnsi="Times New Roman" w:cs="Times New Roman"/>
          <w:sz w:val="24"/>
          <w:szCs w:val="24"/>
        </w:rPr>
        <w:t>audit-based</w:t>
      </w:r>
      <w:r w:rsidRPr="00903F4E">
        <w:rPr>
          <w:rFonts w:ascii="Times New Roman" w:hAnsi="Times New Roman" w:cs="Times New Roman"/>
          <w:sz w:val="24"/>
          <w:szCs w:val="24"/>
        </w:rPr>
        <w:t xml:space="preserve"> framework and policy toolkit can be developed to enable a CISO to systematically evaluate biometric vendor claims of fairness prior to procurement and during ongoing deployment?</w:t>
      </w:r>
    </w:p>
    <w:p w14:paraId="6E508D70"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234F04BD" w14:textId="77777777" w:rsidR="00F21B97" w:rsidRPr="00903F4E" w:rsidRDefault="00000000" w:rsidP="00903F4E">
      <w:pPr>
        <w:pStyle w:val="Heading1"/>
        <w:spacing w:line="276" w:lineRule="auto"/>
        <w:jc w:val="both"/>
        <w:rPr>
          <w:rFonts w:cs="Times New Roman"/>
          <w:szCs w:val="24"/>
        </w:rPr>
      </w:pPr>
      <w:bookmarkStart w:id="5" w:name="_Toc226740458"/>
      <w:r w:rsidRPr="00903F4E">
        <w:rPr>
          <w:rFonts w:cs="Times New Roman"/>
          <w:szCs w:val="24"/>
        </w:rPr>
        <w:lastRenderedPageBreak/>
        <w:t>2. Theoretical Framework</w:t>
      </w:r>
      <w:bookmarkEnd w:id="5"/>
    </w:p>
    <w:p w14:paraId="297594AA" w14:textId="77777777" w:rsidR="00F21B97" w:rsidRPr="00903F4E" w:rsidRDefault="00000000" w:rsidP="00903F4E">
      <w:pPr>
        <w:pStyle w:val="Heading2"/>
        <w:spacing w:line="276" w:lineRule="auto"/>
        <w:jc w:val="both"/>
        <w:rPr>
          <w:rFonts w:cs="Times New Roman"/>
          <w:szCs w:val="24"/>
        </w:rPr>
      </w:pPr>
      <w:bookmarkStart w:id="6" w:name="_Toc226740459"/>
      <w:r w:rsidRPr="00903F4E">
        <w:rPr>
          <w:rFonts w:cs="Times New Roman"/>
          <w:szCs w:val="24"/>
        </w:rPr>
        <w:t>2.1 Biometric Security within the CIA Triad</w:t>
      </w:r>
      <w:bookmarkEnd w:id="6"/>
    </w:p>
    <w:p w14:paraId="1ED4F49C" w14:textId="1D700024" w:rsidR="00F21B97" w:rsidRPr="00903F4E" w:rsidRDefault="00000000" w:rsidP="00903F4E">
      <w:pPr>
        <w:spacing w:after="140" w:line="276" w:lineRule="auto"/>
        <w:jc w:val="both"/>
        <w:rPr>
          <w:rFonts w:cs="Times New Roman"/>
          <w:szCs w:val="24"/>
        </w:rPr>
      </w:pPr>
      <w:r w:rsidRPr="00903F4E">
        <w:rPr>
          <w:rFonts w:cs="Times New Roman"/>
          <w:szCs w:val="24"/>
        </w:rPr>
        <w:t>The CIA triad</w:t>
      </w:r>
      <w:r w:rsidR="00567984" w:rsidRPr="00903F4E">
        <w:rPr>
          <w:rFonts w:cs="Times New Roman"/>
          <w:szCs w:val="24"/>
        </w:rPr>
        <w:t>,</w:t>
      </w:r>
      <w:r w:rsidRPr="00903F4E">
        <w:rPr>
          <w:rFonts w:cs="Times New Roman"/>
          <w:szCs w:val="24"/>
        </w:rPr>
        <w:t xml:space="preserve"> Confidentiality, Integrity, and Availability</w:t>
      </w:r>
      <w:r w:rsidR="00567984" w:rsidRPr="00903F4E">
        <w:rPr>
          <w:rFonts w:cs="Times New Roman"/>
          <w:szCs w:val="24"/>
        </w:rPr>
        <w:t>,</w:t>
      </w:r>
      <w:r w:rsidRPr="00903F4E">
        <w:rPr>
          <w:rFonts w:cs="Times New Roman"/>
          <w:szCs w:val="24"/>
        </w:rPr>
        <w:t xml:space="preserve"> provides the foundational conceptual architecture for information security analysis. Within biometric systems, each pillar maps onto distinct functional requirements and failure modes. Confidentiality concerns the protection of biometric template data from unauthorised disclosure, a domain richly examined in the context of decentralised and blockchain-based architectures</w:t>
      </w:r>
      <w:r w:rsidR="00567984" w:rsidRPr="00903F4E">
        <w:rPr>
          <w:rFonts w:cs="Times New Roman"/>
          <w:szCs w:val="24"/>
        </w:rPr>
        <w:t xml:space="preserve"> </w:t>
      </w:r>
      <w:r w:rsidR="00567984" w:rsidRPr="00903F4E">
        <w:rPr>
          <w:rFonts w:cs="Times New Roman"/>
          <w:szCs w:val="24"/>
        </w:rPr>
        <w:fldChar w:fldCharType="begin"/>
      </w:r>
      <w:r w:rsidR="00567984" w:rsidRPr="00903F4E">
        <w:rPr>
          <w:rFonts w:cs="Times New Roman"/>
          <w:szCs w:val="24"/>
        </w:rPr>
        <w:instrText xml:space="preserve"> ADDIN ZOTERO_ITEM CSL_CITATION {"citationID":"9lC1jh2n","properties":{"unsorted":false,"formattedCitation":"(Gugueoth et al., 2023)","plainCitation":"(Gugueoth et al., 2023)","noteIndex":0},"citationItems":[{"id":5,"uris":["http://zotero.org/users/19988602/items/YJ7GUVWM"],"itemData":{"id":5,"type":"article-journal","container-title":"Computer Science Review","DOI":"10.1016/j.cosrev.2023.100585","ISSN":"15740137","journalAbbreviation":"Computer Science Review","language":"en","page":"100585","source":"DOI.org (Crossref)","title":"A review of IoT security and privacy using decentralized blockchain techniques","volume":"50","author":[{"family":"Gugueoth","given":"Vinay"},{"family":"Safavat","given":"Sunitha"},{"family":"Shetty","given":"Sachin"},{"family":"Rawat","given":"Danda"}],"issued":{"date-parts":[["2023",11]]}}}],"schema":"https://github.com/citation-style-language/schema/raw/master/csl-citation.json"} </w:instrText>
      </w:r>
      <w:r w:rsidR="00567984" w:rsidRPr="00903F4E">
        <w:rPr>
          <w:rFonts w:cs="Times New Roman"/>
          <w:szCs w:val="24"/>
        </w:rPr>
        <w:fldChar w:fldCharType="separate"/>
      </w:r>
      <w:r w:rsidR="00567984" w:rsidRPr="00903F4E">
        <w:rPr>
          <w:rFonts w:cs="Times New Roman"/>
          <w:szCs w:val="24"/>
        </w:rPr>
        <w:t>(Gugueoth et al., 2023)</w:t>
      </w:r>
      <w:r w:rsidR="00567984" w:rsidRPr="00903F4E">
        <w:rPr>
          <w:rFonts w:cs="Times New Roman"/>
          <w:szCs w:val="24"/>
        </w:rPr>
        <w:fldChar w:fldCharType="end"/>
      </w:r>
      <w:r w:rsidRPr="00903F4E">
        <w:rPr>
          <w:rFonts w:cs="Times New Roman"/>
          <w:szCs w:val="24"/>
        </w:rPr>
        <w:t>. Availability pertains to the system's operational continuity</w:t>
      </w:r>
      <w:r w:rsidR="00746CAE" w:rsidRPr="00903F4E">
        <w:rPr>
          <w:rFonts w:cs="Times New Roman"/>
          <w:szCs w:val="24"/>
        </w:rPr>
        <w:t>,</w:t>
      </w:r>
      <w:r w:rsidRPr="00903F4E">
        <w:rPr>
          <w:rFonts w:cs="Times New Roman"/>
          <w:szCs w:val="24"/>
        </w:rPr>
        <w:t xml:space="preserve"> a concern made acutely relevant by the EU AI Act's powers to legally decommission non-compliant systems, which </w:t>
      </w:r>
      <w:proofErr w:type="spellStart"/>
      <w:r w:rsidRPr="00903F4E">
        <w:rPr>
          <w:rFonts w:cs="Times New Roman"/>
          <w:szCs w:val="24"/>
        </w:rPr>
        <w:t>Graux</w:t>
      </w:r>
      <w:proofErr w:type="spellEnd"/>
      <w:r w:rsidRPr="00903F4E">
        <w:rPr>
          <w:rFonts w:cs="Times New Roman"/>
          <w:szCs w:val="24"/>
        </w:rPr>
        <w:t xml:space="preserve"> et al. (2024) describe as introducing a regulatory availability threat to biometric deployments.</w:t>
      </w:r>
    </w:p>
    <w:p w14:paraId="6AB8B6A6" w14:textId="21FB5577" w:rsidR="00F21B97" w:rsidRPr="00903F4E" w:rsidRDefault="00000000" w:rsidP="00903F4E">
      <w:pPr>
        <w:spacing w:after="140" w:line="276" w:lineRule="auto"/>
        <w:jc w:val="both"/>
        <w:rPr>
          <w:rFonts w:cs="Times New Roman"/>
          <w:szCs w:val="24"/>
        </w:rPr>
      </w:pPr>
      <w:r w:rsidRPr="00903F4E">
        <w:rPr>
          <w:rFonts w:cs="Times New Roman"/>
          <w:szCs w:val="24"/>
        </w:rPr>
        <w:t>This study, however, centres on Integrity as the primary analytical dimension. In an information security context, integrity refers to the accuracy, completeness, and trustworthiness of data and system outputs. In biometric systems, integrity is operationalised through matching accuracy metrics</w:t>
      </w:r>
      <w:r w:rsidR="00746CAE" w:rsidRPr="00903F4E">
        <w:rPr>
          <w:rFonts w:cs="Times New Roman"/>
          <w:szCs w:val="24"/>
        </w:rPr>
        <w:t>,</w:t>
      </w:r>
      <w:r w:rsidRPr="00903F4E">
        <w:rPr>
          <w:rFonts w:cs="Times New Roman"/>
          <w:szCs w:val="24"/>
        </w:rPr>
        <w:t xml:space="preserve"> specifically FMR and FNMR. A system that generates false matches does not merely malfunction; it produces an output that is categorically incorrect and potentially harmful. The National Academies (2024) articulate this framing clearly, characterising differential accuracy as 'a systematic failure of system integrity that disproportionately exposes specific demographic populations to the harms of misidentification.'</w:t>
      </w:r>
    </w:p>
    <w:p w14:paraId="4B43DE10" w14:textId="05E580BF" w:rsidR="00F21B97" w:rsidRPr="00903F4E" w:rsidRDefault="00000000" w:rsidP="00903F4E">
      <w:pPr>
        <w:spacing w:after="140" w:line="276" w:lineRule="auto"/>
        <w:jc w:val="both"/>
        <w:rPr>
          <w:rFonts w:cs="Times New Roman"/>
          <w:szCs w:val="24"/>
        </w:rPr>
      </w:pPr>
      <w:r w:rsidRPr="00903F4E">
        <w:rPr>
          <w:rFonts w:cs="Times New Roman"/>
          <w:szCs w:val="24"/>
        </w:rPr>
        <w:t>Integrity failure in biometric systems is therefore not incidental</w:t>
      </w:r>
      <w:r w:rsidR="00746CAE" w:rsidRPr="00903F4E">
        <w:rPr>
          <w:rFonts w:cs="Times New Roman"/>
          <w:szCs w:val="24"/>
        </w:rPr>
        <w:t>,</w:t>
      </w:r>
      <w:r w:rsidRPr="00903F4E">
        <w:rPr>
          <w:rFonts w:cs="Times New Roman"/>
          <w:szCs w:val="24"/>
        </w:rPr>
        <w:t xml:space="preserve"> it is structural, rooted in design choices about training data composition, algorithmic architecture, and threshold calibration. This framing positions demographic bias not as a social problem exogenous to information security, but as a core security deficiency requiring the same rigorous audit methodology applied to any other system integrity failure.</w:t>
      </w:r>
    </w:p>
    <w:p w14:paraId="05AAEAE6" w14:textId="77777777" w:rsidR="00F21B97" w:rsidRPr="00903F4E" w:rsidRDefault="00000000" w:rsidP="00903F4E">
      <w:pPr>
        <w:pStyle w:val="Heading2"/>
        <w:spacing w:line="276" w:lineRule="auto"/>
        <w:jc w:val="both"/>
        <w:rPr>
          <w:rFonts w:cs="Times New Roman"/>
          <w:szCs w:val="24"/>
        </w:rPr>
      </w:pPr>
      <w:bookmarkStart w:id="7" w:name="_Toc226740460"/>
      <w:r w:rsidRPr="00903F4E">
        <w:rPr>
          <w:rFonts w:cs="Times New Roman"/>
          <w:szCs w:val="24"/>
        </w:rPr>
        <w:t>2.2 The Three Failure Modes Model</w:t>
      </w:r>
      <w:bookmarkEnd w:id="7"/>
    </w:p>
    <w:p w14:paraId="0902404A" w14:textId="60F6AF15" w:rsidR="00F21B97" w:rsidRPr="00903F4E" w:rsidRDefault="00000000" w:rsidP="00903F4E">
      <w:pPr>
        <w:spacing w:after="140" w:line="276" w:lineRule="auto"/>
        <w:jc w:val="both"/>
        <w:rPr>
          <w:rFonts w:cs="Times New Roman"/>
          <w:szCs w:val="24"/>
        </w:rPr>
      </w:pPr>
      <w:r w:rsidRPr="00903F4E">
        <w:rPr>
          <w:rFonts w:cs="Times New Roman"/>
          <w:szCs w:val="24"/>
        </w:rPr>
        <w:t xml:space="preserve">This study proposes a Three Failure Modes (3FM) model as the primary theoretical lens for analysing the origins of demographic differential in FRT. Derived from a synthesis of the </w:t>
      </w:r>
      <w:r w:rsidR="00F814E2" w:rsidRPr="00903F4E">
        <w:rPr>
          <w:rFonts w:cs="Times New Roman"/>
          <w:szCs w:val="24"/>
        </w:rPr>
        <w:t>reviewed</w:t>
      </w:r>
      <w:r w:rsidRPr="00903F4E">
        <w:rPr>
          <w:rFonts w:cs="Times New Roman"/>
          <w:szCs w:val="24"/>
        </w:rPr>
        <w:t xml:space="preserve"> literature, the 3FM model identifies the following distinct but interacting failure points:</w:t>
      </w:r>
    </w:p>
    <w:p w14:paraId="36691C58" w14:textId="77777777" w:rsidR="00F21B97" w:rsidRPr="00903F4E" w:rsidRDefault="00F21B97" w:rsidP="00903F4E">
      <w:pPr>
        <w:spacing w:line="276" w:lineRule="auto"/>
        <w:jc w:val="both"/>
        <w:rPr>
          <w:rFonts w:cs="Times New Roman"/>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6"/>
        <w:gridCol w:w="3860"/>
        <w:gridCol w:w="3210"/>
      </w:tblGrid>
      <w:tr w:rsidR="008776AB" w:rsidRPr="00903F4E" w14:paraId="1F8D903D" w14:textId="77777777" w:rsidTr="00F814E2">
        <w:tc>
          <w:tcPr>
            <w:tcW w:w="0" w:type="auto"/>
            <w:tcMar>
              <w:top w:w="80" w:type="dxa"/>
              <w:left w:w="100" w:type="dxa"/>
              <w:bottom w:w="80" w:type="dxa"/>
              <w:right w:w="100" w:type="dxa"/>
            </w:tcMar>
          </w:tcPr>
          <w:p w14:paraId="79711E0D" w14:textId="77777777" w:rsidR="00F21B97" w:rsidRPr="00903F4E" w:rsidRDefault="00000000" w:rsidP="00903F4E">
            <w:pPr>
              <w:spacing w:line="276" w:lineRule="auto"/>
              <w:jc w:val="both"/>
              <w:rPr>
                <w:rFonts w:cs="Times New Roman"/>
                <w:szCs w:val="24"/>
              </w:rPr>
            </w:pPr>
            <w:r w:rsidRPr="00903F4E">
              <w:rPr>
                <w:rFonts w:cs="Times New Roman"/>
                <w:b/>
                <w:bCs/>
                <w:szCs w:val="24"/>
              </w:rPr>
              <w:t>Failure Mode</w:t>
            </w:r>
          </w:p>
        </w:tc>
        <w:tc>
          <w:tcPr>
            <w:tcW w:w="0" w:type="auto"/>
            <w:tcMar>
              <w:top w:w="80" w:type="dxa"/>
              <w:left w:w="100" w:type="dxa"/>
              <w:bottom w:w="80" w:type="dxa"/>
              <w:right w:w="100" w:type="dxa"/>
            </w:tcMar>
          </w:tcPr>
          <w:p w14:paraId="039AE0DF" w14:textId="77777777" w:rsidR="00F21B97" w:rsidRPr="00903F4E" w:rsidRDefault="00000000" w:rsidP="00903F4E">
            <w:pPr>
              <w:spacing w:line="276" w:lineRule="auto"/>
              <w:jc w:val="both"/>
              <w:rPr>
                <w:rFonts w:cs="Times New Roman"/>
                <w:szCs w:val="24"/>
              </w:rPr>
            </w:pPr>
            <w:r w:rsidRPr="00903F4E">
              <w:rPr>
                <w:rFonts w:cs="Times New Roman"/>
                <w:b/>
                <w:bCs/>
                <w:szCs w:val="24"/>
              </w:rPr>
              <w:t>Technical Mechanism</w:t>
            </w:r>
          </w:p>
        </w:tc>
        <w:tc>
          <w:tcPr>
            <w:tcW w:w="0" w:type="auto"/>
            <w:tcMar>
              <w:top w:w="80" w:type="dxa"/>
              <w:left w:w="100" w:type="dxa"/>
              <w:bottom w:w="80" w:type="dxa"/>
              <w:right w:w="100" w:type="dxa"/>
            </w:tcMar>
          </w:tcPr>
          <w:p w14:paraId="67B18022" w14:textId="77777777" w:rsidR="00F21B97" w:rsidRPr="00903F4E" w:rsidRDefault="00000000" w:rsidP="00903F4E">
            <w:pPr>
              <w:spacing w:line="276" w:lineRule="auto"/>
              <w:jc w:val="both"/>
              <w:rPr>
                <w:rFonts w:cs="Times New Roman"/>
                <w:szCs w:val="24"/>
              </w:rPr>
            </w:pPr>
            <w:r w:rsidRPr="00903F4E">
              <w:rPr>
                <w:rFonts w:cs="Times New Roman"/>
                <w:b/>
                <w:bCs/>
                <w:szCs w:val="24"/>
              </w:rPr>
              <w:t>Security Impact</w:t>
            </w:r>
          </w:p>
        </w:tc>
      </w:tr>
      <w:tr w:rsidR="008776AB" w:rsidRPr="00903F4E" w14:paraId="24519ABF" w14:textId="77777777" w:rsidTr="00F814E2">
        <w:tc>
          <w:tcPr>
            <w:tcW w:w="0" w:type="auto"/>
            <w:tcMar>
              <w:top w:w="60" w:type="dxa"/>
              <w:left w:w="100" w:type="dxa"/>
              <w:bottom w:w="60" w:type="dxa"/>
              <w:right w:w="100" w:type="dxa"/>
            </w:tcMar>
          </w:tcPr>
          <w:p w14:paraId="14E33F9E" w14:textId="77777777" w:rsidR="00F21B97" w:rsidRPr="00903F4E" w:rsidRDefault="00000000" w:rsidP="00903F4E">
            <w:pPr>
              <w:spacing w:after="40" w:line="276" w:lineRule="auto"/>
              <w:jc w:val="both"/>
              <w:rPr>
                <w:rFonts w:cs="Times New Roman"/>
                <w:szCs w:val="24"/>
              </w:rPr>
            </w:pPr>
            <w:r w:rsidRPr="00903F4E">
              <w:rPr>
                <w:rFonts w:cs="Times New Roman"/>
                <w:szCs w:val="24"/>
              </w:rPr>
              <w:t>FM1: Dataset Representational Bias</w:t>
            </w:r>
          </w:p>
        </w:tc>
        <w:tc>
          <w:tcPr>
            <w:tcW w:w="0" w:type="auto"/>
            <w:tcMar>
              <w:top w:w="60" w:type="dxa"/>
              <w:left w:w="100" w:type="dxa"/>
              <w:bottom w:w="60" w:type="dxa"/>
              <w:right w:w="100" w:type="dxa"/>
            </w:tcMar>
          </w:tcPr>
          <w:p w14:paraId="6D0C4080" w14:textId="77777777" w:rsidR="00F21B97" w:rsidRPr="00903F4E" w:rsidRDefault="00000000" w:rsidP="00903F4E">
            <w:pPr>
              <w:spacing w:after="40" w:line="276" w:lineRule="auto"/>
              <w:jc w:val="both"/>
              <w:rPr>
                <w:rFonts w:cs="Times New Roman"/>
                <w:szCs w:val="24"/>
              </w:rPr>
            </w:pPr>
            <w:r w:rsidRPr="00903F4E">
              <w:rPr>
                <w:rFonts w:cs="Times New Roman"/>
                <w:szCs w:val="24"/>
              </w:rPr>
              <w:t>Training sets historically over-represented Western/lighter-skinned phenotypes. Feature extraction models learn inadequate representations for underrepresented groups, producing lower intraclass similarity scores.</w:t>
            </w:r>
          </w:p>
        </w:tc>
        <w:tc>
          <w:tcPr>
            <w:tcW w:w="0" w:type="auto"/>
            <w:tcMar>
              <w:top w:w="60" w:type="dxa"/>
              <w:left w:w="100" w:type="dxa"/>
              <w:bottom w:w="60" w:type="dxa"/>
              <w:right w:w="100" w:type="dxa"/>
            </w:tcMar>
          </w:tcPr>
          <w:p w14:paraId="0A135FDF" w14:textId="77777777" w:rsidR="00F21B97" w:rsidRPr="00903F4E" w:rsidRDefault="00000000" w:rsidP="00903F4E">
            <w:pPr>
              <w:spacing w:after="40" w:line="276" w:lineRule="auto"/>
              <w:jc w:val="both"/>
              <w:rPr>
                <w:rFonts w:cs="Times New Roman"/>
                <w:szCs w:val="24"/>
              </w:rPr>
            </w:pPr>
            <w:r w:rsidRPr="00903F4E">
              <w:rPr>
                <w:rFonts w:cs="Times New Roman"/>
                <w:szCs w:val="24"/>
              </w:rPr>
              <w:t>Elevated FMR and FNMR for darker-skinned, female, and non-Western individuals. System integrity fails differentially across demographic lines.</w:t>
            </w:r>
          </w:p>
        </w:tc>
      </w:tr>
      <w:tr w:rsidR="008776AB" w:rsidRPr="00903F4E" w14:paraId="7086B989" w14:textId="77777777" w:rsidTr="00F814E2">
        <w:tc>
          <w:tcPr>
            <w:tcW w:w="0" w:type="auto"/>
            <w:tcMar>
              <w:top w:w="60" w:type="dxa"/>
              <w:left w:w="100" w:type="dxa"/>
              <w:bottom w:w="60" w:type="dxa"/>
              <w:right w:w="100" w:type="dxa"/>
            </w:tcMar>
          </w:tcPr>
          <w:p w14:paraId="69AA55B8" w14:textId="77777777" w:rsidR="00F21B97" w:rsidRPr="00903F4E" w:rsidRDefault="00000000" w:rsidP="00903F4E">
            <w:pPr>
              <w:spacing w:after="40" w:line="276" w:lineRule="auto"/>
              <w:jc w:val="both"/>
              <w:rPr>
                <w:rFonts w:cs="Times New Roman"/>
                <w:szCs w:val="24"/>
              </w:rPr>
            </w:pPr>
            <w:r w:rsidRPr="00903F4E">
              <w:rPr>
                <w:rFonts w:cs="Times New Roman"/>
                <w:szCs w:val="24"/>
              </w:rPr>
              <w:t xml:space="preserve">FM2: Environmental and </w:t>
            </w:r>
            <w:r w:rsidRPr="00903F4E">
              <w:rPr>
                <w:rFonts w:cs="Times New Roman"/>
                <w:szCs w:val="24"/>
              </w:rPr>
              <w:lastRenderedPageBreak/>
              <w:t>Sensor Sensitivity (Skin Reflectance)</w:t>
            </w:r>
          </w:p>
        </w:tc>
        <w:tc>
          <w:tcPr>
            <w:tcW w:w="0" w:type="auto"/>
            <w:tcMar>
              <w:top w:w="60" w:type="dxa"/>
              <w:left w:w="100" w:type="dxa"/>
              <w:bottom w:w="60" w:type="dxa"/>
              <w:right w:w="100" w:type="dxa"/>
            </w:tcMar>
          </w:tcPr>
          <w:p w14:paraId="46A766DC" w14:textId="77777777" w:rsidR="00F21B97" w:rsidRPr="00903F4E" w:rsidRDefault="00000000" w:rsidP="00903F4E">
            <w:pPr>
              <w:spacing w:after="40" w:line="276" w:lineRule="auto"/>
              <w:jc w:val="both"/>
              <w:rPr>
                <w:rFonts w:cs="Times New Roman"/>
                <w:szCs w:val="24"/>
              </w:rPr>
            </w:pPr>
            <w:r w:rsidRPr="00903F4E">
              <w:rPr>
                <w:rFonts w:cs="Times New Roman"/>
                <w:szCs w:val="24"/>
              </w:rPr>
              <w:lastRenderedPageBreak/>
              <w:t xml:space="preserve">Infrared and visible-spectrum sensors used in commercial FRT systems </w:t>
            </w:r>
            <w:r w:rsidRPr="00903F4E">
              <w:rPr>
                <w:rFonts w:cs="Times New Roman"/>
                <w:szCs w:val="24"/>
              </w:rPr>
              <w:lastRenderedPageBreak/>
              <w:t>interact differentially with varying skin melanin concentrations, producing lower-quality biometric templates for darker skin tones. Image quality degradation precedes algorithmic processing.</w:t>
            </w:r>
          </w:p>
        </w:tc>
        <w:tc>
          <w:tcPr>
            <w:tcW w:w="0" w:type="auto"/>
            <w:tcMar>
              <w:top w:w="60" w:type="dxa"/>
              <w:left w:w="100" w:type="dxa"/>
              <w:bottom w:w="60" w:type="dxa"/>
              <w:right w:w="100" w:type="dxa"/>
            </w:tcMar>
          </w:tcPr>
          <w:p w14:paraId="1F21D8CB" w14:textId="77777777" w:rsidR="00F21B97" w:rsidRPr="00903F4E" w:rsidRDefault="00000000" w:rsidP="00903F4E">
            <w:pPr>
              <w:spacing w:after="40" w:line="276" w:lineRule="auto"/>
              <w:jc w:val="both"/>
              <w:rPr>
                <w:rFonts w:cs="Times New Roman"/>
                <w:szCs w:val="24"/>
              </w:rPr>
            </w:pPr>
            <w:r w:rsidRPr="00903F4E">
              <w:rPr>
                <w:rFonts w:cs="Times New Roman"/>
                <w:szCs w:val="24"/>
              </w:rPr>
              <w:lastRenderedPageBreak/>
              <w:t xml:space="preserve">Systematic reduction in feature vector quality for specific </w:t>
            </w:r>
            <w:r w:rsidRPr="00903F4E">
              <w:rPr>
                <w:rFonts w:cs="Times New Roman"/>
                <w:szCs w:val="24"/>
              </w:rPr>
              <w:lastRenderedPageBreak/>
              <w:t>phenotypes, amplifying downstream matching errors. Dhar (2024) documents this as a 'pre-algorithmic bias layer.'</w:t>
            </w:r>
          </w:p>
        </w:tc>
      </w:tr>
      <w:tr w:rsidR="008776AB" w:rsidRPr="00903F4E" w14:paraId="5C71E21A" w14:textId="77777777" w:rsidTr="00F814E2">
        <w:tc>
          <w:tcPr>
            <w:tcW w:w="0" w:type="auto"/>
            <w:tcMar>
              <w:top w:w="60" w:type="dxa"/>
              <w:left w:w="100" w:type="dxa"/>
              <w:bottom w:w="60" w:type="dxa"/>
              <w:right w:w="100" w:type="dxa"/>
            </w:tcMar>
          </w:tcPr>
          <w:p w14:paraId="7B88BC25" w14:textId="77777777" w:rsidR="00F21B97" w:rsidRPr="00903F4E" w:rsidRDefault="00000000" w:rsidP="00903F4E">
            <w:pPr>
              <w:spacing w:after="40" w:line="276" w:lineRule="auto"/>
              <w:jc w:val="both"/>
              <w:rPr>
                <w:rFonts w:cs="Times New Roman"/>
                <w:szCs w:val="24"/>
              </w:rPr>
            </w:pPr>
            <w:r w:rsidRPr="00903F4E">
              <w:rPr>
                <w:rFonts w:cs="Times New Roman"/>
                <w:szCs w:val="24"/>
              </w:rPr>
              <w:lastRenderedPageBreak/>
              <w:t>FM3: Similarity Threshold Disparity</w:t>
            </w:r>
          </w:p>
        </w:tc>
        <w:tc>
          <w:tcPr>
            <w:tcW w:w="0" w:type="auto"/>
            <w:tcMar>
              <w:top w:w="60" w:type="dxa"/>
              <w:left w:w="100" w:type="dxa"/>
              <w:bottom w:w="60" w:type="dxa"/>
              <w:right w:w="100" w:type="dxa"/>
            </w:tcMar>
          </w:tcPr>
          <w:p w14:paraId="47A6CF8D" w14:textId="77777777" w:rsidR="00F21B97" w:rsidRPr="00903F4E" w:rsidRDefault="00000000" w:rsidP="00903F4E">
            <w:pPr>
              <w:spacing w:after="40" w:line="276" w:lineRule="auto"/>
              <w:jc w:val="both"/>
              <w:rPr>
                <w:rFonts w:cs="Times New Roman"/>
                <w:szCs w:val="24"/>
              </w:rPr>
            </w:pPr>
            <w:r w:rsidRPr="00903F4E">
              <w:rPr>
                <w:rFonts w:cs="Times New Roman"/>
                <w:szCs w:val="24"/>
              </w:rPr>
              <w:t>FRT systems use configurable similarity thresholds to adjudicate match/no-match decisions. Calibrating a single global threshold to minimise aggregate error inadvertently produces higher FMR or FNMR for minority demographic groups, whose similarity score distributions differ from the dominant training group.</w:t>
            </w:r>
          </w:p>
        </w:tc>
        <w:tc>
          <w:tcPr>
            <w:tcW w:w="0" w:type="auto"/>
            <w:tcMar>
              <w:top w:w="60" w:type="dxa"/>
              <w:left w:w="100" w:type="dxa"/>
              <w:bottom w:w="60" w:type="dxa"/>
              <w:right w:w="100" w:type="dxa"/>
            </w:tcMar>
          </w:tcPr>
          <w:p w14:paraId="657534A7" w14:textId="5058CB21" w:rsidR="00F21B97" w:rsidRPr="00903F4E" w:rsidRDefault="00000000" w:rsidP="00903F4E">
            <w:pPr>
              <w:spacing w:after="40" w:line="276" w:lineRule="auto"/>
              <w:jc w:val="both"/>
              <w:rPr>
                <w:rFonts w:cs="Times New Roman"/>
                <w:szCs w:val="24"/>
              </w:rPr>
            </w:pPr>
            <w:r w:rsidRPr="00903F4E">
              <w:rPr>
                <w:rFonts w:cs="Times New Roman"/>
                <w:szCs w:val="24"/>
              </w:rPr>
              <w:t>A threshold optimised for system-level accuracy creates a demographic fairness–security trade-off. Lower per-group similarity scores translate directly into disproportionate false positives and false negatives</w:t>
            </w:r>
            <w:r w:rsidR="00F814E2" w:rsidRPr="00903F4E">
              <w:rPr>
                <w:rFonts w:cs="Times New Roman"/>
                <w:szCs w:val="24"/>
              </w:rPr>
              <w:t xml:space="preserve"> </w:t>
            </w:r>
            <w:r w:rsidR="00F814E2" w:rsidRPr="00903F4E">
              <w:rPr>
                <w:rFonts w:cs="Times New Roman"/>
                <w:szCs w:val="24"/>
              </w:rPr>
              <w:fldChar w:fldCharType="begin"/>
            </w:r>
            <w:r w:rsidR="00F814E2" w:rsidRPr="00903F4E">
              <w:rPr>
                <w:rFonts w:cs="Times New Roman"/>
                <w:szCs w:val="24"/>
              </w:rPr>
              <w:instrText xml:space="preserve"> ADDIN ZOTERO_ITEM CSL_CITATION {"citationID":"wmk8imOk","properties":{"unsorted":false,"formattedCitation":"(Cavazos et al., 2021)","plainCitation":"(Cavazos et al., 2021)","noteIndex":0},"citationItems":[{"id":41,"uris":["http://zotero.org/users/19988602/items/G3VFVVGR"],"itemData":{"id":41,"type":"article-journal","abstract":"Previous generations of face recognition algorithms differ in accuracy for images of different races (race bias). Here, we present the possible underlying factors (data-driven and scenario modeling) and methodological considerations for assessing race bias in algorithms. We discuss data-driven factors (e.g., image quality, image population statistics, and algorithm architecture), and scenario modeling factors that consider the role of the “user” of the algorithm (e.g., threshold decisions and demographic constraints). To illustrate how these issues apply, we present data from four face recognition algorithms (a previous-generation algorithm and three deep convolutional neural networks, DCNNs) for East Asian and Caucasian faces. First, dataset difﬁculty affected both overall recognition accuracy and race bias, such that race bias increased with item difﬁculty. Second, for all four algorithms, the degree of bias varied depending on the identiﬁcation decision threshold. To achieve equal false accept rates (FARs), East Asian faces required higher identiﬁcation thresholds than Caucasian faces, for all algorithms. Third, demographic constraints on the formulation of the distributions used in the test, impacted estimates of algorithm accuracy. We conclude that race bias needs to be measured for individual applications and we provide a checklist for measuring this bias in face recognition algorithms.","container-title":"IEEE Transactions on Biometrics, Behavior, and Identity Science","DOI":"10.1109/TBIOM.2020.3027269","ISSN":"2637-6407","issue":"1","journalAbbreviation":"IEEE Trans. Biom. Behav. Identity Sci.","language":"en","license":"https://ieeexplore.ieee.org/Xplorehelp/downloads/license-information/IEEE.html","page":"101-111","source":"DOI.org (Crossref)","title":"Accuracy Comparison Across Face Recognition Algorithms: Where Are We on Measuring Race Bias?","title-short":"Accuracy Comparison Across Face Recognition Algorithms","volume":"3","author":[{"family":"Cavazos","given":"Jacqueline G."},{"family":"Phillips","given":"P. Jonathon"},{"family":"Castillo","given":"Carlos D."},{"family":"O'Toole","given":"Alice J."}],"issued":{"date-parts":[["2021",1]]}}}],"schema":"https://github.com/citation-style-language/schema/raw/master/csl-citation.json"} </w:instrText>
            </w:r>
            <w:r w:rsidR="00F814E2" w:rsidRPr="00903F4E">
              <w:rPr>
                <w:rFonts w:cs="Times New Roman"/>
                <w:szCs w:val="24"/>
              </w:rPr>
              <w:fldChar w:fldCharType="separate"/>
            </w:r>
            <w:r w:rsidR="00F814E2" w:rsidRPr="00903F4E">
              <w:rPr>
                <w:rFonts w:cs="Times New Roman"/>
                <w:szCs w:val="24"/>
              </w:rPr>
              <w:t>(Cavazos et al., 2021)</w:t>
            </w:r>
            <w:r w:rsidR="00F814E2" w:rsidRPr="00903F4E">
              <w:rPr>
                <w:rFonts w:cs="Times New Roman"/>
                <w:szCs w:val="24"/>
              </w:rPr>
              <w:fldChar w:fldCharType="end"/>
            </w:r>
            <w:r w:rsidRPr="00903F4E">
              <w:rPr>
                <w:rFonts w:cs="Times New Roman"/>
                <w:szCs w:val="24"/>
              </w:rPr>
              <w:t>.</w:t>
            </w:r>
          </w:p>
        </w:tc>
      </w:tr>
    </w:tbl>
    <w:p w14:paraId="17FBEDD1" w14:textId="77777777" w:rsidR="00F21B97" w:rsidRPr="00903F4E" w:rsidRDefault="00F21B97" w:rsidP="00903F4E">
      <w:pPr>
        <w:spacing w:line="276" w:lineRule="auto"/>
        <w:jc w:val="both"/>
        <w:rPr>
          <w:rFonts w:cs="Times New Roman"/>
          <w:szCs w:val="24"/>
        </w:rPr>
      </w:pPr>
    </w:p>
    <w:p w14:paraId="36DF33C2" w14:textId="77777777" w:rsidR="00F21B97" w:rsidRPr="00903F4E" w:rsidRDefault="00000000" w:rsidP="00903F4E">
      <w:pPr>
        <w:spacing w:after="140" w:line="276" w:lineRule="auto"/>
        <w:jc w:val="both"/>
        <w:rPr>
          <w:rFonts w:cs="Times New Roman"/>
          <w:szCs w:val="24"/>
        </w:rPr>
      </w:pPr>
      <w:r w:rsidRPr="00903F4E">
        <w:rPr>
          <w:rFonts w:cs="Times New Roman"/>
          <w:szCs w:val="24"/>
        </w:rPr>
        <w:t>The 3FM model is significant because it demonstrates that demographic bias in FRT is not a monolithic phenomenon addressable by a single intervention. Each failure mode requires a distinct remediation strategy: dataset augmentation addresses FM1; sensor calibration and image quality metrics address FM2; demographic-specific threshold calibration or fairness-aware loss functions address FM3. A CISO auditing a biometric vendor must therefore assess all three failure modes independently, as a vendor may have addressed one while leaving others unmitigated.</w:t>
      </w:r>
    </w:p>
    <w:p w14:paraId="2BD1623C" w14:textId="77777777" w:rsidR="00F21B97" w:rsidRPr="00903F4E" w:rsidRDefault="00000000" w:rsidP="00903F4E">
      <w:pPr>
        <w:pStyle w:val="Heading2"/>
        <w:spacing w:line="276" w:lineRule="auto"/>
        <w:jc w:val="both"/>
        <w:rPr>
          <w:rFonts w:cs="Times New Roman"/>
          <w:szCs w:val="24"/>
        </w:rPr>
      </w:pPr>
      <w:bookmarkStart w:id="8" w:name="_Toc226740461"/>
      <w:r w:rsidRPr="00903F4E">
        <w:rPr>
          <w:rFonts w:cs="Times New Roman"/>
          <w:szCs w:val="24"/>
        </w:rPr>
        <w:t>2.3 Intersectionality and Compounding Bias</w:t>
      </w:r>
      <w:bookmarkEnd w:id="8"/>
    </w:p>
    <w:p w14:paraId="1AB25996" w14:textId="1359809E" w:rsidR="00F21B97" w:rsidRPr="00903F4E" w:rsidRDefault="00000000" w:rsidP="00903F4E">
      <w:pPr>
        <w:spacing w:after="140" w:line="276" w:lineRule="auto"/>
        <w:jc w:val="both"/>
        <w:rPr>
          <w:rFonts w:cs="Times New Roman"/>
          <w:szCs w:val="24"/>
        </w:rPr>
      </w:pPr>
      <w:r w:rsidRPr="00903F4E">
        <w:rPr>
          <w:rFonts w:cs="Times New Roman"/>
          <w:szCs w:val="24"/>
        </w:rPr>
        <w:t>A critical theoretical contribution of this study is its application of intersectionality as an analytical framework to the study of biometric system integrity. Coined by legal scholar Kimberlé Crenshaw (1989) in the context of anti-discrimination law, intersectionality describes how multiple social identity dimensions</w:t>
      </w:r>
      <w:r w:rsidR="00746CAE" w:rsidRPr="00903F4E">
        <w:rPr>
          <w:rFonts w:cs="Times New Roman"/>
          <w:szCs w:val="24"/>
        </w:rPr>
        <w:t xml:space="preserve">, </w:t>
      </w:r>
      <w:r w:rsidRPr="00903F4E">
        <w:rPr>
          <w:rFonts w:cs="Times New Roman"/>
          <w:szCs w:val="24"/>
        </w:rPr>
        <w:t>race, gender, class</w:t>
      </w:r>
      <w:r w:rsidR="00746CAE" w:rsidRPr="00903F4E">
        <w:rPr>
          <w:rFonts w:cs="Times New Roman"/>
          <w:szCs w:val="24"/>
        </w:rPr>
        <w:t>,</w:t>
      </w:r>
      <w:r w:rsidRPr="00903F4E">
        <w:rPr>
          <w:rFonts w:cs="Times New Roman"/>
          <w:szCs w:val="24"/>
        </w:rPr>
        <w:t xml:space="preserve"> interact to create compounding forms of disadvantage not reducible to any single dimension. In the context of FRT, intersectionality is operationalised as the compounding of error rates across demographic variable combinations.</w:t>
      </w:r>
    </w:p>
    <w:p w14:paraId="47239566" w14:textId="6902CD1E" w:rsidR="00F21B97" w:rsidRPr="00903F4E" w:rsidRDefault="00000000" w:rsidP="00903F4E">
      <w:pPr>
        <w:spacing w:after="140" w:line="276" w:lineRule="auto"/>
        <w:jc w:val="both"/>
        <w:rPr>
          <w:rFonts w:cs="Times New Roman"/>
          <w:szCs w:val="24"/>
        </w:rPr>
      </w:pPr>
      <w:r w:rsidRPr="00903F4E">
        <w:rPr>
          <w:rFonts w:cs="Times New Roman"/>
          <w:szCs w:val="24"/>
        </w:rPr>
        <w:t xml:space="preserve">The foundational empirical evidence for this compounding effect is provided by </w:t>
      </w:r>
      <w:proofErr w:type="spellStart"/>
      <w:r w:rsidRPr="00903F4E">
        <w:rPr>
          <w:rFonts w:cs="Times New Roman"/>
          <w:szCs w:val="24"/>
        </w:rPr>
        <w:t>Buolamwini</w:t>
      </w:r>
      <w:proofErr w:type="spellEnd"/>
      <w:r w:rsidRPr="00903F4E">
        <w:rPr>
          <w:rFonts w:cs="Times New Roman"/>
          <w:szCs w:val="24"/>
        </w:rPr>
        <w:t xml:space="preserve"> and Gebru (2018) in the landmark Gender Shades study. Using the Fitzpatrick Skin Type classification system, their evaluation of three commercial gender classification systems found error rates of up to 34.7% for darker-skinned females, compared to a maximum error rate of 0.8% for lighter-skinned males</w:t>
      </w:r>
      <w:r w:rsidR="00746CAE" w:rsidRPr="00903F4E">
        <w:rPr>
          <w:rFonts w:cs="Times New Roman"/>
          <w:szCs w:val="24"/>
        </w:rPr>
        <w:t>,</w:t>
      </w:r>
      <w:r w:rsidRPr="00903F4E">
        <w:rPr>
          <w:rFonts w:cs="Times New Roman"/>
          <w:szCs w:val="24"/>
        </w:rPr>
        <w:t xml:space="preserve"> a differential exceeding 43x. This finding has been robustly replicated and extended in subsequent literature. Mandal (2025), in a doctoral audit of bias in deep neural networks, confirms the persistence of intersectional geographical-gender bias in multimodal vision models. Kotwal and Marcel (2026), in a comprehensive review of demographic fairness </w:t>
      </w:r>
      <w:r w:rsidRPr="00903F4E">
        <w:rPr>
          <w:rFonts w:cs="Times New Roman"/>
          <w:szCs w:val="24"/>
        </w:rPr>
        <w:lastRenderedPageBreak/>
        <w:t>in face recognition, demonstrate that intersectional group membership systematically predicts which groups bear the greatest accuracy burden.</w:t>
      </w:r>
    </w:p>
    <w:p w14:paraId="3B2755F4" w14:textId="725E4E10" w:rsidR="00F21B97" w:rsidRPr="00903F4E" w:rsidRDefault="00000000" w:rsidP="00903F4E">
      <w:pPr>
        <w:spacing w:after="140" w:line="276" w:lineRule="auto"/>
        <w:jc w:val="both"/>
        <w:rPr>
          <w:rFonts w:cs="Times New Roman"/>
          <w:szCs w:val="24"/>
        </w:rPr>
      </w:pPr>
      <w:r w:rsidRPr="00903F4E">
        <w:rPr>
          <w:rFonts w:cs="Times New Roman"/>
          <w:szCs w:val="24"/>
        </w:rPr>
        <w:t>The theoretical importance of the intersectional framework for information security is that it demands a shift from aggregate accuracy metrics</w:t>
      </w:r>
      <w:r w:rsidR="00746CAE" w:rsidRPr="00903F4E">
        <w:rPr>
          <w:rFonts w:cs="Times New Roman"/>
          <w:szCs w:val="24"/>
        </w:rPr>
        <w:t>,</w:t>
      </w:r>
      <w:r w:rsidRPr="00903F4E">
        <w:rPr>
          <w:rFonts w:cs="Times New Roman"/>
          <w:szCs w:val="24"/>
        </w:rPr>
        <w:t xml:space="preserve"> which can mask differential impacts</w:t>
      </w:r>
      <w:r w:rsidR="00746CAE" w:rsidRPr="00903F4E">
        <w:rPr>
          <w:rFonts w:cs="Times New Roman"/>
          <w:szCs w:val="24"/>
        </w:rPr>
        <w:t>,</w:t>
      </w:r>
      <w:r w:rsidRPr="00903F4E">
        <w:rPr>
          <w:rFonts w:cs="Times New Roman"/>
          <w:szCs w:val="24"/>
        </w:rPr>
        <w:t xml:space="preserve"> to disaggregated, group-specific performance reporting. A system achieving 99% overall accuracy may simultaneously achieve only 85% accuracy for a specific demographic subgroup, and this disparity will not surface in aggregate reporting. This observation directly informs the audit methodology proposed in Chapter 7.</w:t>
      </w:r>
    </w:p>
    <w:p w14:paraId="6F193AB1"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35ED9C53" w14:textId="77777777" w:rsidR="00F21B97" w:rsidRPr="00903F4E" w:rsidRDefault="00000000" w:rsidP="00903F4E">
      <w:pPr>
        <w:pStyle w:val="Heading1"/>
        <w:spacing w:line="276" w:lineRule="auto"/>
        <w:jc w:val="both"/>
        <w:rPr>
          <w:rFonts w:cs="Times New Roman"/>
          <w:szCs w:val="24"/>
        </w:rPr>
      </w:pPr>
      <w:bookmarkStart w:id="9" w:name="_Toc226740462"/>
      <w:r w:rsidRPr="00903F4E">
        <w:rPr>
          <w:rFonts w:cs="Times New Roman"/>
          <w:szCs w:val="24"/>
        </w:rPr>
        <w:lastRenderedPageBreak/>
        <w:t>3. Literature Review</w:t>
      </w:r>
      <w:bookmarkEnd w:id="9"/>
    </w:p>
    <w:p w14:paraId="7792F816" w14:textId="31A4D1F9" w:rsidR="00F21B97" w:rsidRPr="00903F4E" w:rsidRDefault="00000000" w:rsidP="00903F4E">
      <w:pPr>
        <w:spacing w:after="140" w:line="276" w:lineRule="auto"/>
        <w:jc w:val="both"/>
        <w:rPr>
          <w:rFonts w:cs="Times New Roman"/>
          <w:szCs w:val="24"/>
        </w:rPr>
      </w:pPr>
      <w:r w:rsidRPr="00903F4E">
        <w:rPr>
          <w:rFonts w:cs="Times New Roman"/>
          <w:szCs w:val="24"/>
        </w:rPr>
        <w:t xml:space="preserve">This chapter </w:t>
      </w:r>
      <w:r w:rsidR="00F814E2" w:rsidRPr="00903F4E">
        <w:rPr>
          <w:rFonts w:cs="Times New Roman"/>
          <w:szCs w:val="24"/>
        </w:rPr>
        <w:t>breaks down the</w:t>
      </w:r>
      <w:r w:rsidRPr="00903F4E">
        <w:rPr>
          <w:rFonts w:cs="Times New Roman"/>
          <w:szCs w:val="24"/>
        </w:rPr>
        <w:t xml:space="preserve"> literature informing this study across four thematic domains: foundational empirical studies, regulatory and governance literature, technical mitigation research, and legal and liability scholarship. The review spans the </w:t>
      </w:r>
      <w:r w:rsidR="00F814E2" w:rsidRPr="00903F4E">
        <w:rPr>
          <w:rFonts w:cs="Times New Roman"/>
          <w:szCs w:val="24"/>
        </w:rPr>
        <w:t>last eight years</w:t>
      </w:r>
      <w:r w:rsidRPr="00903F4E">
        <w:rPr>
          <w:rFonts w:cs="Times New Roman"/>
          <w:szCs w:val="24"/>
        </w:rPr>
        <w:t>, with particular emphasis on the 2024–2026 window which has seen the most significant developments in both algorithmic performance and regulatory response</w:t>
      </w:r>
      <w:r w:rsidR="00F814E2" w:rsidRPr="00903F4E">
        <w:rPr>
          <w:rFonts w:cs="Times New Roman"/>
          <w:szCs w:val="24"/>
        </w:rPr>
        <w:t xml:space="preserve"> especially with the high adoption of AI</w:t>
      </w:r>
      <w:r w:rsidRPr="00903F4E">
        <w:rPr>
          <w:rFonts w:cs="Times New Roman"/>
          <w:szCs w:val="24"/>
        </w:rPr>
        <w:t>.</w:t>
      </w:r>
    </w:p>
    <w:p w14:paraId="5C445F53" w14:textId="0750C421" w:rsidR="00F21B97" w:rsidRPr="00903F4E" w:rsidRDefault="00000000" w:rsidP="00903F4E">
      <w:pPr>
        <w:pStyle w:val="Heading2"/>
        <w:spacing w:line="276" w:lineRule="auto"/>
        <w:jc w:val="both"/>
        <w:rPr>
          <w:rFonts w:cs="Times New Roman"/>
          <w:szCs w:val="24"/>
        </w:rPr>
      </w:pPr>
      <w:bookmarkStart w:id="10" w:name="_Toc226740463"/>
      <w:r w:rsidRPr="00903F4E">
        <w:rPr>
          <w:rFonts w:cs="Times New Roman"/>
          <w:szCs w:val="24"/>
        </w:rPr>
        <w:t>3.1 Foundational Studies</w:t>
      </w:r>
      <w:bookmarkEnd w:id="10"/>
    </w:p>
    <w:p w14:paraId="4609CC64" w14:textId="7C6FAFD3" w:rsidR="00F21B97" w:rsidRPr="00903F4E" w:rsidRDefault="00000000" w:rsidP="00903F4E">
      <w:pPr>
        <w:spacing w:after="140" w:line="276" w:lineRule="auto"/>
        <w:jc w:val="both"/>
        <w:rPr>
          <w:rFonts w:cs="Times New Roman"/>
          <w:szCs w:val="24"/>
        </w:rPr>
      </w:pPr>
      <w:r w:rsidRPr="00903F4E">
        <w:rPr>
          <w:rFonts w:cs="Times New Roman"/>
          <w:szCs w:val="24"/>
        </w:rPr>
        <w:t xml:space="preserve">The modern discourse on algorithmic bias in facial recognition traces its intellectual origin to </w:t>
      </w:r>
      <w:proofErr w:type="spellStart"/>
      <w:r w:rsidRPr="00903F4E">
        <w:rPr>
          <w:rFonts w:cs="Times New Roman"/>
          <w:szCs w:val="24"/>
        </w:rPr>
        <w:t>Buolamwini</w:t>
      </w:r>
      <w:proofErr w:type="spellEnd"/>
      <w:r w:rsidRPr="00903F4E">
        <w:rPr>
          <w:rFonts w:cs="Times New Roman"/>
          <w:szCs w:val="24"/>
        </w:rPr>
        <w:t xml:space="preserve"> and Gebru (2018), whose Gender Shades study provided the first large-scale empirical demonstration of intersectional error rate disparities in commercial facial analysis systems. Their methodology</w:t>
      </w:r>
      <w:r w:rsidR="00746CAE" w:rsidRPr="00903F4E">
        <w:rPr>
          <w:rFonts w:cs="Times New Roman"/>
          <w:szCs w:val="24"/>
        </w:rPr>
        <w:t>,</w:t>
      </w:r>
      <w:r w:rsidRPr="00903F4E">
        <w:rPr>
          <w:rFonts w:cs="Times New Roman"/>
          <w:szCs w:val="24"/>
        </w:rPr>
        <w:t xml:space="preserve"> using the Fitzpatrick Skin Type system to classify phenotypes across a balanced gender and skin-type dataset</w:t>
      </w:r>
      <w:r w:rsidR="00746CAE" w:rsidRPr="00903F4E">
        <w:rPr>
          <w:rFonts w:cs="Times New Roman"/>
          <w:szCs w:val="24"/>
        </w:rPr>
        <w:t>,</w:t>
      </w:r>
      <w:r w:rsidRPr="00903F4E">
        <w:rPr>
          <w:rFonts w:cs="Times New Roman"/>
          <w:szCs w:val="24"/>
        </w:rPr>
        <w:t xml:space="preserve"> established the empirical scaffolding on which subsequent fairness research has been built. </w:t>
      </w:r>
      <w:proofErr w:type="spellStart"/>
      <w:r w:rsidRPr="00903F4E">
        <w:rPr>
          <w:rFonts w:cs="Times New Roman"/>
          <w:szCs w:val="24"/>
        </w:rPr>
        <w:t>Buolamwini's</w:t>
      </w:r>
      <w:proofErr w:type="spellEnd"/>
      <w:r w:rsidRPr="00903F4E">
        <w:rPr>
          <w:rFonts w:cs="Times New Roman"/>
          <w:szCs w:val="24"/>
        </w:rPr>
        <w:t xml:space="preserve"> 2024 retrospective on five years of Gender Shades reflects on the study's policy impact, noting that while major commercial providers subsequently withdrew or restricted their facial analysis products, the underlying systemic conditions that produced the bias have not been systematically resolved.</w:t>
      </w:r>
    </w:p>
    <w:p w14:paraId="00F2FEFC" w14:textId="3DAAFC52" w:rsidR="00F21B97" w:rsidRPr="00903F4E" w:rsidRDefault="00000000" w:rsidP="00903F4E">
      <w:pPr>
        <w:spacing w:after="140" w:line="276" w:lineRule="auto"/>
        <w:jc w:val="both"/>
        <w:rPr>
          <w:rFonts w:cs="Times New Roman"/>
          <w:szCs w:val="24"/>
        </w:rPr>
      </w:pPr>
      <w:r w:rsidRPr="00903F4E">
        <w:rPr>
          <w:rFonts w:cs="Times New Roman"/>
          <w:szCs w:val="24"/>
        </w:rPr>
        <w:t>Cavazos et al. (2021) extended this foundational work by examining four face recognition algorithms</w:t>
      </w:r>
      <w:r w:rsidR="00746CAE" w:rsidRPr="00903F4E">
        <w:rPr>
          <w:rFonts w:cs="Times New Roman"/>
          <w:szCs w:val="24"/>
        </w:rPr>
        <w:t>,</w:t>
      </w:r>
      <w:r w:rsidRPr="00903F4E">
        <w:rPr>
          <w:rFonts w:cs="Times New Roman"/>
          <w:szCs w:val="24"/>
        </w:rPr>
        <w:t xml:space="preserve"> including three deep convolutional neural networks</w:t>
      </w:r>
      <w:r w:rsidR="00746CAE" w:rsidRPr="00903F4E">
        <w:rPr>
          <w:rFonts w:cs="Times New Roman"/>
          <w:szCs w:val="24"/>
        </w:rPr>
        <w:t>,</w:t>
      </w:r>
      <w:r w:rsidRPr="00903F4E">
        <w:rPr>
          <w:rFonts w:cs="Times New Roman"/>
          <w:szCs w:val="24"/>
        </w:rPr>
        <w:t xml:space="preserve"> across East Asian and Caucasian faces, demonstrating that race bias varies as a function of identification threshold settings, image difficulty, and demographic distribution of the test set. Their conclusion that 'race bias needs to be measured for individual applications' represents a critical methodological insight for this study's audit framework: fairness is context-dependent and cannot be inferred from aggregate benchmark performance alone.</w:t>
      </w:r>
    </w:p>
    <w:p w14:paraId="052CB72F" w14:textId="73463B8A" w:rsidR="00F21B97" w:rsidRPr="00903F4E" w:rsidRDefault="00000000" w:rsidP="00903F4E">
      <w:pPr>
        <w:spacing w:after="140" w:line="276" w:lineRule="auto"/>
        <w:jc w:val="both"/>
        <w:rPr>
          <w:rFonts w:cs="Times New Roman"/>
          <w:szCs w:val="24"/>
        </w:rPr>
      </w:pPr>
      <w:r w:rsidRPr="00903F4E">
        <w:rPr>
          <w:rFonts w:cs="Times New Roman"/>
          <w:szCs w:val="24"/>
        </w:rPr>
        <w:t xml:space="preserve">Serna et al. (2021), in the </w:t>
      </w:r>
      <w:proofErr w:type="spellStart"/>
      <w:r w:rsidRPr="00903F4E">
        <w:rPr>
          <w:rFonts w:cs="Times New Roman"/>
          <w:szCs w:val="24"/>
        </w:rPr>
        <w:t>InsideBias</w:t>
      </w:r>
      <w:proofErr w:type="spellEnd"/>
      <w:r w:rsidRPr="00903F4E">
        <w:rPr>
          <w:rFonts w:cs="Times New Roman"/>
          <w:szCs w:val="24"/>
        </w:rPr>
        <w:t xml:space="preserve"> study, introduced a deep network visualisation methodology for identifying the internal loci of bias within facial biometric models. By mapping the activation patterns of convolutional layers to demographic categories, </w:t>
      </w:r>
      <w:proofErr w:type="spellStart"/>
      <w:r w:rsidRPr="00903F4E">
        <w:rPr>
          <w:rFonts w:cs="Times New Roman"/>
          <w:szCs w:val="24"/>
        </w:rPr>
        <w:t>InsideBias</w:t>
      </w:r>
      <w:proofErr w:type="spellEnd"/>
      <w:r w:rsidRPr="00903F4E">
        <w:rPr>
          <w:rFonts w:cs="Times New Roman"/>
          <w:szCs w:val="24"/>
        </w:rPr>
        <w:t xml:space="preserve"> demonstrated that bias is encoded at multiple levels of the feature extraction hierarchy</w:t>
      </w:r>
      <w:r w:rsidR="00746CAE" w:rsidRPr="00903F4E">
        <w:rPr>
          <w:rFonts w:cs="Times New Roman"/>
          <w:szCs w:val="24"/>
        </w:rPr>
        <w:t>,</w:t>
      </w:r>
      <w:r w:rsidRPr="00903F4E">
        <w:rPr>
          <w:rFonts w:cs="Times New Roman"/>
          <w:szCs w:val="24"/>
        </w:rPr>
        <w:t xml:space="preserve"> a finding that challenges any simplistic assumption that post-hoc threshold adjustments can fully address what is fundamentally an internal representational problem.</w:t>
      </w:r>
    </w:p>
    <w:p w14:paraId="1F7C2AF1" w14:textId="77777777" w:rsidR="00F21B97" w:rsidRPr="00903F4E" w:rsidRDefault="00000000" w:rsidP="00903F4E">
      <w:pPr>
        <w:spacing w:after="140" w:line="276" w:lineRule="auto"/>
        <w:jc w:val="both"/>
        <w:rPr>
          <w:rFonts w:cs="Times New Roman"/>
          <w:szCs w:val="24"/>
        </w:rPr>
      </w:pPr>
      <w:r w:rsidRPr="00903F4E">
        <w:rPr>
          <w:rFonts w:cs="Times New Roman"/>
          <w:szCs w:val="24"/>
        </w:rPr>
        <w:t xml:space="preserve">Albu and Hansen (2021) contribute a critical governance perspective, examining the relationship between </w:t>
      </w:r>
      <w:proofErr w:type="spellStart"/>
      <w:r w:rsidRPr="00903F4E">
        <w:rPr>
          <w:rFonts w:cs="Times New Roman"/>
          <w:szCs w:val="24"/>
        </w:rPr>
        <w:t>datafied</w:t>
      </w:r>
      <w:proofErr w:type="spellEnd"/>
      <w:r w:rsidRPr="00903F4E">
        <w:rPr>
          <w:rFonts w:cs="Times New Roman"/>
          <w:szCs w:val="24"/>
        </w:rPr>
        <w:t xml:space="preserve"> transparency, biometric surveillance, and algorithmic governmentality. Their analysis of how biometric systems shift the locus of identity authority from human judgment to algorithmic determination provides important theoretical grounding for the accountability analysis in Chapter 5.</w:t>
      </w:r>
    </w:p>
    <w:p w14:paraId="79882C9B" w14:textId="156B7A3F" w:rsidR="00F21B97" w:rsidRPr="00903F4E" w:rsidRDefault="00000000" w:rsidP="00903F4E">
      <w:pPr>
        <w:pStyle w:val="Heading2"/>
        <w:spacing w:line="276" w:lineRule="auto"/>
        <w:jc w:val="both"/>
        <w:rPr>
          <w:rFonts w:cs="Times New Roman"/>
          <w:szCs w:val="24"/>
        </w:rPr>
      </w:pPr>
      <w:bookmarkStart w:id="11" w:name="_Toc226740464"/>
      <w:r w:rsidRPr="00903F4E">
        <w:rPr>
          <w:rFonts w:cs="Times New Roman"/>
          <w:szCs w:val="24"/>
        </w:rPr>
        <w:t>3.2 Regulatory and Governance</w:t>
      </w:r>
      <w:bookmarkEnd w:id="11"/>
    </w:p>
    <w:p w14:paraId="78243B0A" w14:textId="77777777" w:rsidR="00F21B97" w:rsidRPr="00903F4E" w:rsidRDefault="00000000" w:rsidP="00903F4E">
      <w:pPr>
        <w:spacing w:after="140" w:line="276" w:lineRule="auto"/>
        <w:jc w:val="both"/>
        <w:rPr>
          <w:rFonts w:cs="Times New Roman"/>
          <w:szCs w:val="24"/>
        </w:rPr>
      </w:pPr>
      <w:r w:rsidRPr="00903F4E">
        <w:rPr>
          <w:rFonts w:cs="Times New Roman"/>
          <w:szCs w:val="24"/>
        </w:rPr>
        <w:t xml:space="preserve">The period 2024–2026 has been marked by a dramatic acceleration in the regulatory response to FRT bias. The EU Artificial Intelligence Act, fully entering enforcement for high-risk AI systems in 2025–2026, represents the most comprehensive regulatory framework yet enacted for biometric systems. </w:t>
      </w:r>
      <w:proofErr w:type="spellStart"/>
      <w:r w:rsidRPr="00903F4E">
        <w:rPr>
          <w:rFonts w:cs="Times New Roman"/>
          <w:szCs w:val="24"/>
        </w:rPr>
        <w:t>Graux</w:t>
      </w:r>
      <w:proofErr w:type="spellEnd"/>
      <w:r w:rsidRPr="00903F4E">
        <w:rPr>
          <w:rFonts w:cs="Times New Roman"/>
          <w:szCs w:val="24"/>
        </w:rPr>
        <w:t xml:space="preserve">, Garstka and Murali (2024) provide a detailed mapping of the AI Act's interaction with the broader EU digital legislative framework, identifying specific obligations </w:t>
      </w:r>
      <w:r w:rsidRPr="00903F4E">
        <w:rPr>
          <w:rFonts w:cs="Times New Roman"/>
          <w:szCs w:val="24"/>
        </w:rPr>
        <w:lastRenderedPageBreak/>
        <w:t>relevant to biometric identification systems: conformity assessments, technical documentation, data governance requirements, and fundamental rights impact assessments.</w:t>
      </w:r>
    </w:p>
    <w:p w14:paraId="20F9F97A" w14:textId="2906FFD0" w:rsidR="00F21B97" w:rsidRPr="00903F4E" w:rsidRDefault="00000000" w:rsidP="00903F4E">
      <w:pPr>
        <w:spacing w:after="140" w:line="276" w:lineRule="auto"/>
        <w:jc w:val="both"/>
        <w:rPr>
          <w:rFonts w:cs="Times New Roman"/>
          <w:szCs w:val="24"/>
        </w:rPr>
      </w:pPr>
      <w:r w:rsidRPr="00903F4E">
        <w:rPr>
          <w:rFonts w:cs="Times New Roman"/>
          <w:szCs w:val="24"/>
        </w:rPr>
        <w:t>The National Academies of Sciences (2024) report on facial recognition technology governance offers the most authoritative comprehensive treatment of the governance landscape. The report's key finding</w:t>
      </w:r>
      <w:r w:rsidR="00746CAE" w:rsidRPr="00903F4E">
        <w:rPr>
          <w:rFonts w:cs="Times New Roman"/>
          <w:szCs w:val="24"/>
        </w:rPr>
        <w:t>,</w:t>
      </w:r>
      <w:r w:rsidRPr="00903F4E">
        <w:rPr>
          <w:rFonts w:cs="Times New Roman"/>
          <w:szCs w:val="24"/>
        </w:rPr>
        <w:t xml:space="preserve"> that 'no existing federal framework in the United States adequately addresses the combination of accuracy, fairness, and accountability requirements' necessary for safe FRT deployment</w:t>
      </w:r>
      <w:r w:rsidR="00746CAE" w:rsidRPr="00903F4E">
        <w:rPr>
          <w:rFonts w:cs="Times New Roman"/>
          <w:szCs w:val="24"/>
        </w:rPr>
        <w:t>,</w:t>
      </w:r>
      <w:r w:rsidRPr="00903F4E">
        <w:rPr>
          <w:rFonts w:cs="Times New Roman"/>
          <w:szCs w:val="24"/>
        </w:rPr>
        <w:t xml:space="preserve"> highlights the regulatory asymmetry between the EU and US contexts that has significant implications for multinational organisations.</w:t>
      </w:r>
    </w:p>
    <w:p w14:paraId="30E48720" w14:textId="77777777" w:rsidR="00F21B97" w:rsidRPr="00903F4E" w:rsidRDefault="00000000" w:rsidP="00903F4E">
      <w:pPr>
        <w:spacing w:after="140" w:line="276" w:lineRule="auto"/>
        <w:jc w:val="both"/>
        <w:rPr>
          <w:rFonts w:cs="Times New Roman"/>
          <w:szCs w:val="24"/>
        </w:rPr>
      </w:pPr>
      <w:r w:rsidRPr="00903F4E">
        <w:rPr>
          <w:rFonts w:cs="Times New Roman"/>
          <w:szCs w:val="24"/>
        </w:rPr>
        <w:t>Raji et al. (2025), in their post-EU AI Act review of audit standards for biometric systems, examine the operationalisation of the Act's requirements in practice. Their analysis reveals significant implementation gaps: the absence of standardised demographic disaggregation protocols, insufficient guidance on acceptable FMR/FNMR differentials, and the absence of mandatory third-party audit requirements in many member state implementations. Raji et al. recommend the adoption of the NIST FRTE evaluation framework as a de facto audit standard, a recommendation this study endorses and incorporates into its CISO Audit Framework.</w:t>
      </w:r>
    </w:p>
    <w:p w14:paraId="4A20AD3E" w14:textId="77777777" w:rsidR="00F21B97" w:rsidRPr="00903F4E" w:rsidRDefault="00000000" w:rsidP="00903F4E">
      <w:pPr>
        <w:spacing w:after="140" w:line="276" w:lineRule="auto"/>
        <w:jc w:val="both"/>
        <w:rPr>
          <w:rFonts w:cs="Times New Roman"/>
          <w:szCs w:val="24"/>
        </w:rPr>
      </w:pPr>
      <w:r w:rsidRPr="00903F4E">
        <w:rPr>
          <w:rFonts w:cs="Times New Roman"/>
          <w:szCs w:val="24"/>
        </w:rPr>
        <w:t>The IEEE P2863 (2025 Draft) Standard for Organisational Governance of Artificial Intelligence provides a complementary framework emphasising governance structures, roles, and processes rather than algorithmic performance metrics. Its definition of an 'AI System Lifecycle Steward' responsible for ongoing demographic fairness monitoring is directly incorporated into the continuous monitoring protocol proposed in Chapter 7.</w:t>
      </w:r>
    </w:p>
    <w:p w14:paraId="62A2FC76" w14:textId="7226B892" w:rsidR="00F21B97" w:rsidRPr="00903F4E" w:rsidRDefault="00000000" w:rsidP="00903F4E">
      <w:pPr>
        <w:spacing w:after="140" w:line="276" w:lineRule="auto"/>
        <w:jc w:val="both"/>
        <w:rPr>
          <w:rFonts w:cs="Times New Roman"/>
          <w:szCs w:val="24"/>
        </w:rPr>
      </w:pPr>
      <w:proofErr w:type="spellStart"/>
      <w:r w:rsidRPr="00903F4E">
        <w:rPr>
          <w:rFonts w:cs="Times New Roman"/>
          <w:szCs w:val="24"/>
        </w:rPr>
        <w:t>Stiernströmer</w:t>
      </w:r>
      <w:proofErr w:type="spellEnd"/>
      <w:r w:rsidRPr="00903F4E">
        <w:rPr>
          <w:rFonts w:cs="Times New Roman"/>
          <w:szCs w:val="24"/>
        </w:rPr>
        <w:t xml:space="preserve"> (2026) provides a timely scoping review of empirical studies on FRT in law enforcement, finding that only a minority of published studies include demographic disaggregation of accuracy metrics, and that operational deployment contexts</w:t>
      </w:r>
      <w:r w:rsidR="00746CAE" w:rsidRPr="00903F4E">
        <w:rPr>
          <w:rFonts w:cs="Times New Roman"/>
          <w:szCs w:val="24"/>
        </w:rPr>
        <w:t>,</w:t>
      </w:r>
      <w:r w:rsidRPr="00903F4E">
        <w:rPr>
          <w:rFonts w:cs="Times New Roman"/>
          <w:szCs w:val="24"/>
        </w:rPr>
        <w:t xml:space="preserve"> which differ significantly from laboratory benchmark conditions</w:t>
      </w:r>
      <w:r w:rsidR="00746CAE" w:rsidRPr="00903F4E">
        <w:rPr>
          <w:rFonts w:cs="Times New Roman"/>
          <w:szCs w:val="24"/>
        </w:rPr>
        <w:t>,</w:t>
      </w:r>
      <w:r w:rsidRPr="00903F4E">
        <w:rPr>
          <w:rFonts w:cs="Times New Roman"/>
          <w:szCs w:val="24"/>
        </w:rPr>
        <w:t xml:space="preserve"> are systematically understudied. This finding reinforces the methodological necessity of the comparative data analysis approach adopted in this study.</w:t>
      </w:r>
    </w:p>
    <w:p w14:paraId="21BC2C03" w14:textId="13A678CF" w:rsidR="00F21B97" w:rsidRPr="00903F4E" w:rsidRDefault="00000000" w:rsidP="00903F4E">
      <w:pPr>
        <w:pStyle w:val="Heading2"/>
        <w:spacing w:line="276" w:lineRule="auto"/>
        <w:jc w:val="both"/>
        <w:rPr>
          <w:rFonts w:cs="Times New Roman"/>
          <w:szCs w:val="24"/>
        </w:rPr>
      </w:pPr>
      <w:bookmarkStart w:id="12" w:name="_Toc226740465"/>
      <w:r w:rsidRPr="00903F4E">
        <w:rPr>
          <w:rFonts w:cs="Times New Roman"/>
          <w:szCs w:val="24"/>
        </w:rPr>
        <w:t>3.3 Technical Mitigation</w:t>
      </w:r>
      <w:bookmarkEnd w:id="12"/>
    </w:p>
    <w:p w14:paraId="4AF12D34" w14:textId="5283B379" w:rsidR="00F21B97" w:rsidRPr="00903F4E" w:rsidRDefault="00000000" w:rsidP="00903F4E">
      <w:pPr>
        <w:spacing w:after="140" w:line="276" w:lineRule="auto"/>
        <w:jc w:val="both"/>
        <w:rPr>
          <w:rFonts w:cs="Times New Roman"/>
          <w:szCs w:val="24"/>
        </w:rPr>
      </w:pPr>
      <w:r w:rsidRPr="00903F4E">
        <w:rPr>
          <w:rFonts w:cs="Times New Roman"/>
          <w:szCs w:val="24"/>
        </w:rPr>
        <w:t>The technical literature reflects a field grappling with the remediation challenges identified by earlier foundational studies. Several distinct mitigation approaches have been investigated:</w:t>
      </w:r>
    </w:p>
    <w:p w14:paraId="216013FC" w14:textId="4836C2CF" w:rsidR="00F21B97" w:rsidRPr="00903F4E" w:rsidRDefault="00000000" w:rsidP="00903F4E">
      <w:pPr>
        <w:spacing w:after="140" w:line="276" w:lineRule="auto"/>
        <w:jc w:val="both"/>
        <w:rPr>
          <w:rFonts w:cs="Times New Roman"/>
          <w:szCs w:val="24"/>
        </w:rPr>
      </w:pPr>
      <w:r w:rsidRPr="00903F4E">
        <w:rPr>
          <w:rFonts w:cs="Times New Roman"/>
          <w:szCs w:val="24"/>
        </w:rPr>
        <w:t xml:space="preserve">Dataset augmentation and diversity enhancement has been extensively studied. Robles et al. (2025) demonstrate that targeted synthetic data augmentation for underrepresented demographic groups significantly reduces FNMR for those groups, though they note a residual trade-off with FMR that requires careful threshold recalibration. Kumar et al. (2025) introduce </w:t>
      </w:r>
      <w:proofErr w:type="spellStart"/>
      <w:r w:rsidRPr="00903F4E">
        <w:rPr>
          <w:rFonts w:cs="Times New Roman"/>
          <w:szCs w:val="24"/>
        </w:rPr>
        <w:t>FaceKeepOriginalAugment</w:t>
      </w:r>
      <w:proofErr w:type="spellEnd"/>
      <w:r w:rsidRPr="00903F4E">
        <w:rPr>
          <w:rFonts w:cs="Times New Roman"/>
          <w:szCs w:val="24"/>
        </w:rPr>
        <w:t xml:space="preserve">, a novel augmentation approach that balances salient and non-salient facial region representation, showing effectiveness in reducing gender bias across CNN and vision transformer architectures. Hassan et al. (2026) present the </w:t>
      </w:r>
      <w:proofErr w:type="spellStart"/>
      <w:r w:rsidRPr="00903F4E">
        <w:rPr>
          <w:rFonts w:cs="Times New Roman"/>
          <w:szCs w:val="24"/>
        </w:rPr>
        <w:t>CeleBImg</w:t>
      </w:r>
      <w:proofErr w:type="spellEnd"/>
      <w:r w:rsidRPr="00903F4E">
        <w:rPr>
          <w:rFonts w:cs="Times New Roman"/>
          <w:szCs w:val="24"/>
        </w:rPr>
        <w:t xml:space="preserve"> benchmark</w:t>
      </w:r>
      <w:r w:rsidR="00746CAE" w:rsidRPr="00903F4E">
        <w:rPr>
          <w:rFonts w:cs="Times New Roman"/>
          <w:szCs w:val="24"/>
        </w:rPr>
        <w:t>,</w:t>
      </w:r>
      <w:r w:rsidRPr="00903F4E">
        <w:rPr>
          <w:rFonts w:cs="Times New Roman"/>
          <w:szCs w:val="24"/>
        </w:rPr>
        <w:t xml:space="preserve"> explicitly designed to overcome algorithmic biases</w:t>
      </w:r>
      <w:r w:rsidR="00746CAE" w:rsidRPr="00903F4E">
        <w:rPr>
          <w:rFonts w:cs="Times New Roman"/>
          <w:szCs w:val="24"/>
        </w:rPr>
        <w:t>,</w:t>
      </w:r>
      <w:r w:rsidRPr="00903F4E">
        <w:rPr>
          <w:rFonts w:cs="Times New Roman"/>
          <w:szCs w:val="24"/>
        </w:rPr>
        <w:t xml:space="preserve"> as a new standard for evaluating soft biometric performance across age, gender, and ethnicity dimensions in surveillance contexts.</w:t>
      </w:r>
    </w:p>
    <w:p w14:paraId="7DEB7A31" w14:textId="77777777" w:rsidR="00F21B97" w:rsidRPr="00903F4E" w:rsidRDefault="00000000" w:rsidP="00903F4E">
      <w:pPr>
        <w:spacing w:after="140" w:line="276" w:lineRule="auto"/>
        <w:jc w:val="both"/>
        <w:rPr>
          <w:rFonts w:cs="Times New Roman"/>
          <w:szCs w:val="24"/>
        </w:rPr>
      </w:pPr>
      <w:r w:rsidRPr="00903F4E">
        <w:rPr>
          <w:rFonts w:cs="Times New Roman"/>
          <w:szCs w:val="24"/>
        </w:rPr>
        <w:t xml:space="preserve">Adversarial and contrastive learning approaches are examined by Patel and Kisku (2025), who demonstrate that KL divergence-induced loss functions combined with dual attention </w:t>
      </w:r>
      <w:r w:rsidRPr="00903F4E">
        <w:rPr>
          <w:rFonts w:cs="Times New Roman"/>
          <w:szCs w:val="24"/>
        </w:rPr>
        <w:lastRenderedPageBreak/>
        <w:t>mechanisms produce more demographically balanced attribute classification. Similarly, Kolla (2024) analyses the relationship between facial quality metrics and racial feature gradations, finding that quality-aware training improves fairness by reducing the influence of low-quality template artifacts that disproportionately affect certain phenotypes.</w:t>
      </w:r>
    </w:p>
    <w:p w14:paraId="4DBBAD39" w14:textId="5C0472A9" w:rsidR="00F21B97" w:rsidRPr="00903F4E" w:rsidRDefault="00000000" w:rsidP="00903F4E">
      <w:pPr>
        <w:spacing w:after="140" w:line="276" w:lineRule="auto"/>
        <w:jc w:val="both"/>
        <w:rPr>
          <w:rFonts w:cs="Times New Roman"/>
          <w:szCs w:val="24"/>
        </w:rPr>
      </w:pPr>
      <w:r w:rsidRPr="00903F4E">
        <w:rPr>
          <w:rFonts w:cs="Times New Roman"/>
          <w:szCs w:val="24"/>
        </w:rPr>
        <w:t xml:space="preserve">Zarei and </w:t>
      </w:r>
      <w:proofErr w:type="spellStart"/>
      <w:r w:rsidRPr="00903F4E">
        <w:rPr>
          <w:rFonts w:cs="Times New Roman"/>
          <w:szCs w:val="24"/>
        </w:rPr>
        <w:t>Harati</w:t>
      </w:r>
      <w:proofErr w:type="spellEnd"/>
      <w:r w:rsidRPr="00903F4E">
        <w:rPr>
          <w:rFonts w:cs="Times New Roman"/>
          <w:szCs w:val="24"/>
        </w:rPr>
        <w:t xml:space="preserve"> (2025), while not addressing biometric fairness directly, present a deep prototype-based learning architecture whose class compactness and inter-class separability properties have direct implications for the threshold calibration problem</w:t>
      </w:r>
      <w:r w:rsidR="008D1689" w:rsidRPr="00903F4E">
        <w:rPr>
          <w:rFonts w:cs="Times New Roman"/>
          <w:szCs w:val="24"/>
        </w:rPr>
        <w:t xml:space="preserve">, </w:t>
      </w:r>
      <w:r w:rsidRPr="00903F4E">
        <w:rPr>
          <w:rFonts w:cs="Times New Roman"/>
          <w:szCs w:val="24"/>
        </w:rPr>
        <w:t>FM3 in the 3FM model</w:t>
      </w:r>
      <w:r w:rsidR="008D1689" w:rsidRPr="00903F4E">
        <w:rPr>
          <w:rFonts w:cs="Times New Roman"/>
          <w:szCs w:val="24"/>
        </w:rPr>
        <w:t xml:space="preserve">. </w:t>
      </w:r>
      <w:r w:rsidRPr="00903F4E">
        <w:rPr>
          <w:rFonts w:cs="Times New Roman"/>
          <w:szCs w:val="24"/>
        </w:rPr>
        <w:t>The DPNP model's ability to create well-organised feature spaces at lower dimensionality suggests a pathway toward more demographically stable similarity score distributions.</w:t>
      </w:r>
    </w:p>
    <w:p w14:paraId="33F154A0" w14:textId="77777777" w:rsidR="00F21B97" w:rsidRPr="00903F4E" w:rsidRDefault="00000000" w:rsidP="00903F4E">
      <w:pPr>
        <w:spacing w:after="140" w:line="276" w:lineRule="auto"/>
        <w:jc w:val="both"/>
        <w:rPr>
          <w:rFonts w:cs="Times New Roman"/>
          <w:szCs w:val="24"/>
        </w:rPr>
      </w:pPr>
      <w:r w:rsidRPr="00903F4E">
        <w:rPr>
          <w:rFonts w:cs="Times New Roman"/>
          <w:szCs w:val="24"/>
        </w:rPr>
        <w:t>Kotwal and Marcel (2026) provide the most comprehensive current review of demographic fairness in face recognition, systematically cataloguing the state of the art across dataset composition, algorithm architecture, verification protocols, and fairness metrics. Their conclusion that 'the field lacks consensus on a single fairness metric adequate for the multidimensional nature of demographic differential' represents a significant finding for audit methodology design.</w:t>
      </w:r>
    </w:p>
    <w:p w14:paraId="4C484DB3" w14:textId="32FF2A16" w:rsidR="00F21B97" w:rsidRPr="00903F4E" w:rsidRDefault="00000000" w:rsidP="00903F4E">
      <w:pPr>
        <w:pStyle w:val="Heading2"/>
        <w:spacing w:line="276" w:lineRule="auto"/>
        <w:jc w:val="both"/>
        <w:rPr>
          <w:rFonts w:cs="Times New Roman"/>
          <w:szCs w:val="24"/>
        </w:rPr>
      </w:pPr>
      <w:bookmarkStart w:id="13" w:name="_Toc226740466"/>
      <w:r w:rsidRPr="00903F4E">
        <w:rPr>
          <w:rFonts w:cs="Times New Roman"/>
          <w:szCs w:val="24"/>
        </w:rPr>
        <w:t>3.4 Legal and Liability</w:t>
      </w:r>
      <w:bookmarkEnd w:id="13"/>
    </w:p>
    <w:p w14:paraId="0CD9A220" w14:textId="7A0F790E" w:rsidR="00F21B97" w:rsidRPr="00903F4E" w:rsidRDefault="00000000" w:rsidP="00903F4E">
      <w:pPr>
        <w:spacing w:after="140" w:line="276" w:lineRule="auto"/>
        <w:jc w:val="both"/>
        <w:rPr>
          <w:rFonts w:cs="Times New Roman"/>
          <w:szCs w:val="24"/>
        </w:rPr>
      </w:pPr>
      <w:proofErr w:type="spellStart"/>
      <w:r w:rsidRPr="00903F4E">
        <w:rPr>
          <w:rFonts w:cs="Times New Roman"/>
          <w:szCs w:val="24"/>
        </w:rPr>
        <w:t>Limantė</w:t>
      </w:r>
      <w:proofErr w:type="spellEnd"/>
      <w:r w:rsidRPr="00903F4E">
        <w:rPr>
          <w:rFonts w:cs="Times New Roman"/>
          <w:szCs w:val="24"/>
        </w:rPr>
        <w:t xml:space="preserve"> (2024) provides a rigorous legal analysis of FRT bias from a Nordic/European human rights perspective, identifying multiple mechanisms by which biased FRT systems violate anti-discrimination law. </w:t>
      </w:r>
      <w:proofErr w:type="spellStart"/>
      <w:r w:rsidRPr="00903F4E">
        <w:rPr>
          <w:rFonts w:cs="Times New Roman"/>
          <w:szCs w:val="24"/>
        </w:rPr>
        <w:t>Limantė</w:t>
      </w:r>
      <w:proofErr w:type="spellEnd"/>
      <w:r w:rsidRPr="00903F4E">
        <w:rPr>
          <w:rFonts w:cs="Times New Roman"/>
          <w:szCs w:val="24"/>
        </w:rPr>
        <w:t xml:space="preserve"> distinguishes between direct discrimination</w:t>
      </w:r>
      <w:r w:rsidR="00746CAE" w:rsidRPr="00903F4E">
        <w:rPr>
          <w:rFonts w:cs="Times New Roman"/>
          <w:szCs w:val="24"/>
        </w:rPr>
        <w:t>,</w:t>
      </w:r>
      <w:r w:rsidRPr="00903F4E">
        <w:rPr>
          <w:rFonts w:cs="Times New Roman"/>
          <w:szCs w:val="24"/>
        </w:rPr>
        <w:t xml:space="preserve"> where demographic group membership is used as an explicit input</w:t>
      </w:r>
      <w:r w:rsidR="00746CAE" w:rsidRPr="00903F4E">
        <w:rPr>
          <w:rFonts w:cs="Times New Roman"/>
          <w:szCs w:val="24"/>
        </w:rPr>
        <w:t>,</w:t>
      </w:r>
      <w:r w:rsidRPr="00903F4E">
        <w:rPr>
          <w:rFonts w:cs="Times New Roman"/>
          <w:szCs w:val="24"/>
        </w:rPr>
        <w:t xml:space="preserve"> and indirect discrimination</w:t>
      </w:r>
      <w:r w:rsidR="00746CAE" w:rsidRPr="00903F4E">
        <w:rPr>
          <w:rFonts w:cs="Times New Roman"/>
          <w:szCs w:val="24"/>
        </w:rPr>
        <w:t>,</w:t>
      </w:r>
      <w:r w:rsidRPr="00903F4E">
        <w:rPr>
          <w:rFonts w:cs="Times New Roman"/>
          <w:szCs w:val="24"/>
        </w:rPr>
        <w:t xml:space="preserve"> where neutral-appearing algorithmic processes produce differential outcomes for protected groups. The latter category is more difficult to litigate but potentially more pervasive.</w:t>
      </w:r>
    </w:p>
    <w:p w14:paraId="142D4DCA" w14:textId="53E355C1" w:rsidR="00F21B97" w:rsidRPr="00903F4E" w:rsidRDefault="00000000" w:rsidP="00903F4E">
      <w:pPr>
        <w:spacing w:after="140" w:line="276" w:lineRule="auto"/>
        <w:jc w:val="both"/>
        <w:rPr>
          <w:rFonts w:cs="Times New Roman"/>
          <w:szCs w:val="24"/>
        </w:rPr>
      </w:pPr>
      <w:r w:rsidRPr="00903F4E">
        <w:rPr>
          <w:rFonts w:cs="Times New Roman"/>
          <w:szCs w:val="24"/>
        </w:rPr>
        <w:t>Smith (2026) conducts a global survey of legal liability in biometric misidentification, documenting a growing body of case law across the United States, United Kingdom, and European Union. Smith identifies 'negligent deployment' as an emerging tort</w:t>
      </w:r>
      <w:r w:rsidR="00746CAE" w:rsidRPr="00903F4E">
        <w:rPr>
          <w:rFonts w:cs="Times New Roman"/>
          <w:szCs w:val="24"/>
        </w:rPr>
        <w:t>,</w:t>
      </w:r>
      <w:r w:rsidRPr="00903F4E">
        <w:rPr>
          <w:rFonts w:cs="Times New Roman"/>
          <w:szCs w:val="24"/>
        </w:rPr>
        <w:t xml:space="preserve"> the failure of an organisation to conduct adequate pre-deployment testing for demographic bias</w:t>
      </w:r>
      <w:r w:rsidR="00746CAE" w:rsidRPr="00903F4E">
        <w:rPr>
          <w:rFonts w:cs="Times New Roman"/>
          <w:szCs w:val="24"/>
        </w:rPr>
        <w:t>,</w:t>
      </w:r>
      <w:r w:rsidRPr="00903F4E">
        <w:rPr>
          <w:rFonts w:cs="Times New Roman"/>
          <w:szCs w:val="24"/>
        </w:rPr>
        <w:t xml:space="preserve"> that has begun to support damages claims in several jurisdictions. The study's finding that median settlement values in wrongful-detention FRT cases increased threefold between 2022 and 2025 underscores the financial dimension of organisational risk.</w:t>
      </w:r>
    </w:p>
    <w:p w14:paraId="290DFFA6" w14:textId="4E13AB32" w:rsidR="00F21B97" w:rsidRPr="00903F4E" w:rsidRDefault="00000000" w:rsidP="00903F4E">
      <w:pPr>
        <w:spacing w:after="140" w:line="276" w:lineRule="auto"/>
        <w:jc w:val="both"/>
        <w:rPr>
          <w:rFonts w:cs="Times New Roman"/>
          <w:szCs w:val="24"/>
        </w:rPr>
      </w:pPr>
      <w:r w:rsidRPr="00903F4E">
        <w:rPr>
          <w:rFonts w:cs="Times New Roman"/>
          <w:szCs w:val="24"/>
        </w:rPr>
        <w:t xml:space="preserve">Mesch and Lam (2025), examining law enforcement FRT deployments specifically, conduct an empirical scoping of accuracy and accountability mechanisms across multiple jurisdictions. Their finding that demographic accuracy reporting is absent from </w:t>
      </w:r>
      <w:r w:rsidR="00746CAE" w:rsidRPr="00903F4E">
        <w:rPr>
          <w:rFonts w:cs="Times New Roman"/>
          <w:szCs w:val="24"/>
        </w:rPr>
        <w:t>many</w:t>
      </w:r>
      <w:r w:rsidRPr="00903F4E">
        <w:rPr>
          <w:rFonts w:cs="Times New Roman"/>
          <w:szCs w:val="24"/>
        </w:rPr>
        <w:t xml:space="preserve"> law enforcement FRT procurement contracts represents a critical accountability gap with direct policy implications.</w:t>
      </w:r>
    </w:p>
    <w:p w14:paraId="19153ECD" w14:textId="4BB7085A" w:rsidR="00F21B97" w:rsidRPr="00903F4E" w:rsidRDefault="00000000" w:rsidP="00903F4E">
      <w:pPr>
        <w:spacing w:after="140" w:line="276" w:lineRule="auto"/>
        <w:jc w:val="both"/>
        <w:rPr>
          <w:rFonts w:cs="Times New Roman"/>
          <w:szCs w:val="24"/>
        </w:rPr>
      </w:pPr>
      <w:proofErr w:type="spellStart"/>
      <w:r w:rsidRPr="00903F4E">
        <w:rPr>
          <w:rFonts w:cs="Times New Roman"/>
          <w:szCs w:val="24"/>
        </w:rPr>
        <w:t>Kagda</w:t>
      </w:r>
      <w:proofErr w:type="spellEnd"/>
      <w:r w:rsidRPr="00903F4E">
        <w:rPr>
          <w:rFonts w:cs="Times New Roman"/>
          <w:szCs w:val="24"/>
        </w:rPr>
        <w:t xml:space="preserve"> (2024) analyses biometric identification systems through the lens of international human rights law, incorporating the Universal Declaration of Human Rights, the ICCPR, and comparative national constitutional jurisprudence. The study's examination of judicial responses to biometric governance</w:t>
      </w:r>
      <w:r w:rsidR="00746CAE" w:rsidRPr="00903F4E">
        <w:rPr>
          <w:rFonts w:cs="Times New Roman"/>
          <w:szCs w:val="24"/>
        </w:rPr>
        <w:t>,</w:t>
      </w:r>
      <w:r w:rsidRPr="00903F4E">
        <w:rPr>
          <w:rFonts w:cs="Times New Roman"/>
          <w:szCs w:val="24"/>
        </w:rPr>
        <w:t xml:space="preserve"> including the UK Supreme Court's judgment in Bridges v Chief Constable of South Wales Police and CJEU rulings on automated decision-making</w:t>
      </w:r>
      <w:r w:rsidR="00746CAE" w:rsidRPr="00903F4E">
        <w:rPr>
          <w:rFonts w:cs="Times New Roman"/>
          <w:szCs w:val="24"/>
        </w:rPr>
        <w:t>,</w:t>
      </w:r>
      <w:r w:rsidRPr="00903F4E">
        <w:rPr>
          <w:rFonts w:cs="Times New Roman"/>
          <w:szCs w:val="24"/>
        </w:rPr>
        <w:t xml:space="preserve"> provides the legal framework for the accountability analysis in Chapter 5.</w:t>
      </w:r>
    </w:p>
    <w:p w14:paraId="5F16FA7D" w14:textId="3E27E411" w:rsidR="00F21B97" w:rsidRPr="00903F4E" w:rsidRDefault="00000000" w:rsidP="00903F4E">
      <w:pPr>
        <w:spacing w:after="140" w:line="276" w:lineRule="auto"/>
        <w:jc w:val="both"/>
        <w:rPr>
          <w:rFonts w:cs="Times New Roman"/>
          <w:szCs w:val="24"/>
        </w:rPr>
      </w:pPr>
      <w:proofErr w:type="spellStart"/>
      <w:r w:rsidRPr="00903F4E">
        <w:rPr>
          <w:rFonts w:cs="Times New Roman"/>
          <w:szCs w:val="24"/>
        </w:rPr>
        <w:lastRenderedPageBreak/>
        <w:t>Hofwitz</w:t>
      </w:r>
      <w:proofErr w:type="spellEnd"/>
      <w:r w:rsidRPr="00903F4E">
        <w:rPr>
          <w:rFonts w:cs="Times New Roman"/>
          <w:szCs w:val="24"/>
        </w:rPr>
        <w:t xml:space="preserve"> (2024), in a case study of UK policing surveillance, documents the operational conditions under which FRT deployments occur, finding systematic deficits in impact assessment, demographic performance documentation, and post-deployment auditing. The study's central</w:t>
      </w:r>
      <w:r w:rsidR="00746CAE" w:rsidRPr="00903F4E">
        <w:rPr>
          <w:rFonts w:cs="Times New Roman"/>
          <w:szCs w:val="24"/>
        </w:rPr>
        <w:t>,</w:t>
      </w:r>
      <w:r w:rsidRPr="00903F4E">
        <w:rPr>
          <w:rFonts w:cs="Times New Roman"/>
          <w:szCs w:val="24"/>
        </w:rPr>
        <w:t xml:space="preserve"> that 'fairness by design' obligations be imposed on vendors rather than left to deploying organisations</w:t>
      </w:r>
      <w:r w:rsidR="00746CAE" w:rsidRPr="00903F4E">
        <w:rPr>
          <w:rFonts w:cs="Times New Roman"/>
          <w:szCs w:val="24"/>
        </w:rPr>
        <w:t>,</w:t>
      </w:r>
      <w:r w:rsidRPr="00903F4E">
        <w:rPr>
          <w:rFonts w:cs="Times New Roman"/>
          <w:szCs w:val="24"/>
        </w:rPr>
        <w:t xml:space="preserve"> directly informs this study's procurement audit framework.</w:t>
      </w:r>
    </w:p>
    <w:p w14:paraId="0F947A36"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4E211334" w14:textId="77777777" w:rsidR="00F21B97" w:rsidRPr="00903F4E" w:rsidRDefault="00000000" w:rsidP="00903F4E">
      <w:pPr>
        <w:pStyle w:val="Heading1"/>
        <w:spacing w:line="276" w:lineRule="auto"/>
        <w:jc w:val="both"/>
        <w:rPr>
          <w:rFonts w:cs="Times New Roman"/>
          <w:szCs w:val="24"/>
        </w:rPr>
      </w:pPr>
      <w:bookmarkStart w:id="14" w:name="_Toc226740467"/>
      <w:r w:rsidRPr="00903F4E">
        <w:rPr>
          <w:rFonts w:cs="Times New Roman"/>
          <w:szCs w:val="24"/>
        </w:rPr>
        <w:lastRenderedPageBreak/>
        <w:t>4. Methodology</w:t>
      </w:r>
      <w:bookmarkEnd w:id="14"/>
    </w:p>
    <w:p w14:paraId="65EA8476" w14:textId="2FC91A4B" w:rsidR="00F21B97" w:rsidRPr="00903F4E" w:rsidRDefault="00000000" w:rsidP="00903F4E">
      <w:pPr>
        <w:spacing w:after="140" w:line="276" w:lineRule="auto"/>
        <w:jc w:val="both"/>
        <w:rPr>
          <w:rFonts w:cs="Times New Roman"/>
          <w:szCs w:val="24"/>
        </w:rPr>
      </w:pPr>
      <w:r w:rsidRPr="00903F4E">
        <w:rPr>
          <w:rFonts w:cs="Times New Roman"/>
          <w:szCs w:val="24"/>
        </w:rPr>
        <w:t xml:space="preserve">This study employs a dual methodological approach: (1) a Systematic Literature Review (SLR) to synthesise existing evidence on FRT demographic differential, and (2) a Comparative Data Analysis (CDA) framework anchored in publicly available NIST FRTE datasets. </w:t>
      </w:r>
      <w:r w:rsidR="00746CAE" w:rsidRPr="00903F4E">
        <w:rPr>
          <w:rFonts w:cs="Times New Roman"/>
          <w:szCs w:val="24"/>
        </w:rPr>
        <w:t>These</w:t>
      </w:r>
      <w:r w:rsidRPr="00903F4E">
        <w:rPr>
          <w:rFonts w:cs="Times New Roman"/>
          <w:szCs w:val="24"/>
        </w:rPr>
        <w:t xml:space="preserve"> methodologies are appropriate for </w:t>
      </w:r>
      <w:r w:rsidR="00746CAE" w:rsidRPr="00903F4E">
        <w:rPr>
          <w:rFonts w:cs="Times New Roman"/>
          <w:szCs w:val="24"/>
        </w:rPr>
        <w:t xml:space="preserve">this </w:t>
      </w:r>
      <w:r w:rsidRPr="00903F4E">
        <w:rPr>
          <w:rFonts w:cs="Times New Roman"/>
          <w:szCs w:val="24"/>
        </w:rPr>
        <w:t xml:space="preserve">research </w:t>
      </w:r>
      <w:r w:rsidR="00746CAE" w:rsidRPr="00903F4E">
        <w:rPr>
          <w:rFonts w:cs="Times New Roman"/>
          <w:szCs w:val="24"/>
        </w:rPr>
        <w:t>a</w:t>
      </w:r>
      <w:r w:rsidRPr="00903F4E">
        <w:rPr>
          <w:rFonts w:cs="Times New Roman"/>
          <w:szCs w:val="24"/>
        </w:rPr>
        <w:t>nd are aligned with the research questions articulated in Section 1.3.</w:t>
      </w:r>
    </w:p>
    <w:p w14:paraId="70E88326" w14:textId="77777777" w:rsidR="00F21B97" w:rsidRPr="00903F4E" w:rsidRDefault="00000000" w:rsidP="00903F4E">
      <w:pPr>
        <w:pStyle w:val="Heading2"/>
        <w:spacing w:line="276" w:lineRule="auto"/>
        <w:jc w:val="both"/>
        <w:rPr>
          <w:rFonts w:cs="Times New Roman"/>
          <w:szCs w:val="24"/>
        </w:rPr>
      </w:pPr>
      <w:bookmarkStart w:id="15" w:name="_Toc226740468"/>
      <w:r w:rsidRPr="00903F4E">
        <w:rPr>
          <w:rFonts w:cs="Times New Roman"/>
          <w:szCs w:val="24"/>
        </w:rPr>
        <w:t>4.1 Systematic Literature Review (SLR) Protocol</w:t>
      </w:r>
      <w:bookmarkEnd w:id="15"/>
    </w:p>
    <w:p w14:paraId="4022AA96" w14:textId="38ECA789" w:rsidR="00F21B97" w:rsidRPr="00903F4E" w:rsidRDefault="00000000" w:rsidP="00903F4E">
      <w:pPr>
        <w:spacing w:after="140" w:line="276" w:lineRule="auto"/>
        <w:jc w:val="both"/>
        <w:rPr>
          <w:rFonts w:cs="Times New Roman"/>
          <w:szCs w:val="24"/>
        </w:rPr>
      </w:pPr>
      <w:r w:rsidRPr="00903F4E">
        <w:rPr>
          <w:rFonts w:cs="Times New Roman"/>
          <w:szCs w:val="24"/>
        </w:rPr>
        <w:t>The SLR adheres to the PRISMA (Preferred Reporting Items for Systematic Reviews and Meta-Analyses) framework, adapted for information systems research following the guidelines of Kitchenham and Charters (2007). The protocol comprises five stages:</w:t>
      </w:r>
    </w:p>
    <w:p w14:paraId="0CF70494" w14:textId="36171ECB" w:rsidR="00F21B97" w:rsidRPr="00903F4E" w:rsidRDefault="00000000" w:rsidP="00903F4E">
      <w:pPr>
        <w:pStyle w:val="ListParagraph"/>
        <w:numPr>
          <w:ilvl w:val="0"/>
          <w:numId w:val="3"/>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 xml:space="preserve">Search Strategy: Electronic database searches were conducted across ACM Digital Library, IEEE Xplore, Springer Link, Taylor &amp; Francis Online, </w:t>
      </w:r>
      <w:proofErr w:type="spellStart"/>
      <w:r w:rsidRPr="00903F4E">
        <w:rPr>
          <w:rFonts w:ascii="Times New Roman" w:hAnsi="Times New Roman" w:cs="Times New Roman"/>
          <w:sz w:val="24"/>
          <w:szCs w:val="24"/>
        </w:rPr>
        <w:t>HeinOnline</w:t>
      </w:r>
      <w:proofErr w:type="spellEnd"/>
      <w:r w:rsidRPr="00903F4E">
        <w:rPr>
          <w:rFonts w:ascii="Times New Roman" w:hAnsi="Times New Roman" w:cs="Times New Roman"/>
          <w:sz w:val="24"/>
          <w:szCs w:val="24"/>
        </w:rPr>
        <w:t xml:space="preserve">, and </w:t>
      </w:r>
      <w:proofErr w:type="spellStart"/>
      <w:r w:rsidRPr="00903F4E">
        <w:rPr>
          <w:rFonts w:ascii="Times New Roman" w:hAnsi="Times New Roman" w:cs="Times New Roman"/>
          <w:sz w:val="24"/>
          <w:szCs w:val="24"/>
        </w:rPr>
        <w:t>arXiv</w:t>
      </w:r>
      <w:proofErr w:type="spellEnd"/>
      <w:r w:rsidRPr="00903F4E">
        <w:rPr>
          <w:rFonts w:ascii="Times New Roman" w:hAnsi="Times New Roman" w:cs="Times New Roman"/>
          <w:sz w:val="24"/>
          <w:szCs w:val="24"/>
        </w:rPr>
        <w:t>. Search strings combined controlled vocabulary terms from the ACM Computing Classification System with free-text terms.</w:t>
      </w:r>
    </w:p>
    <w:p w14:paraId="7B774B33" w14:textId="10843DCE" w:rsidR="00F21B97" w:rsidRPr="00903F4E" w:rsidRDefault="00000000" w:rsidP="00903F4E">
      <w:pPr>
        <w:pStyle w:val="ListParagraph"/>
        <w:numPr>
          <w:ilvl w:val="0"/>
          <w:numId w:val="3"/>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Inclusion/Exclusion Criteria: Included papers were</w:t>
      </w:r>
      <w:r w:rsidR="00746CAE" w:rsidRPr="00903F4E">
        <w:rPr>
          <w:rFonts w:ascii="Times New Roman" w:hAnsi="Times New Roman" w:cs="Times New Roman"/>
          <w:sz w:val="24"/>
          <w:szCs w:val="24"/>
        </w:rPr>
        <w:t xml:space="preserve"> </w:t>
      </w:r>
      <w:r w:rsidRPr="00903F4E">
        <w:rPr>
          <w:rFonts w:ascii="Times New Roman" w:hAnsi="Times New Roman" w:cs="Times New Roman"/>
          <w:sz w:val="24"/>
          <w:szCs w:val="24"/>
        </w:rPr>
        <w:t>peer-reviewed journal articles, conference papers, book chapters, or authoritative reports</w:t>
      </w:r>
      <w:r w:rsidR="00746CAE" w:rsidRPr="00903F4E">
        <w:rPr>
          <w:rFonts w:ascii="Times New Roman" w:hAnsi="Times New Roman" w:cs="Times New Roman"/>
          <w:sz w:val="24"/>
          <w:szCs w:val="24"/>
        </w:rPr>
        <w:t>,</w:t>
      </w:r>
      <w:r w:rsidRPr="00903F4E">
        <w:rPr>
          <w:rFonts w:ascii="Times New Roman" w:hAnsi="Times New Roman" w:cs="Times New Roman"/>
          <w:sz w:val="24"/>
          <w:szCs w:val="24"/>
        </w:rPr>
        <w:t xml:space="preserve"> empirically or theoretically addressing demographic performance differential in FRT or biometric audit governance. Excluded </w:t>
      </w:r>
      <w:r w:rsidR="00746CAE" w:rsidRPr="00903F4E">
        <w:rPr>
          <w:rFonts w:ascii="Times New Roman" w:hAnsi="Times New Roman" w:cs="Times New Roman"/>
          <w:sz w:val="24"/>
          <w:szCs w:val="24"/>
        </w:rPr>
        <w:t>were</w:t>
      </w:r>
      <w:r w:rsidRPr="00903F4E">
        <w:rPr>
          <w:rFonts w:ascii="Times New Roman" w:hAnsi="Times New Roman" w:cs="Times New Roman"/>
          <w:sz w:val="24"/>
          <w:szCs w:val="24"/>
        </w:rPr>
        <w:t xml:space="preserve"> opinion pieces without empirical or legal grounding; studies addressing biometric modalities other than facial recognition unless comparative; and papers whose primary focus was technical implementation without security, policy, or fairness dimensions.</w:t>
      </w:r>
    </w:p>
    <w:p w14:paraId="2A8CCE87" w14:textId="458B6768" w:rsidR="00F21B97" w:rsidRPr="00903F4E" w:rsidRDefault="00000000" w:rsidP="00903F4E">
      <w:pPr>
        <w:pStyle w:val="ListParagraph"/>
        <w:numPr>
          <w:ilvl w:val="0"/>
          <w:numId w:val="3"/>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 xml:space="preserve">Quality Appraisal: Studies were assessed using the Mixed Methods Appraisal Tool (MMAT) adapted for computing research. Empirical studies were evaluated </w:t>
      </w:r>
      <w:r w:rsidR="00746CAE" w:rsidRPr="00903F4E">
        <w:rPr>
          <w:rFonts w:ascii="Times New Roman" w:hAnsi="Times New Roman" w:cs="Times New Roman"/>
          <w:sz w:val="24"/>
          <w:szCs w:val="24"/>
        </w:rPr>
        <w:t>on</w:t>
      </w:r>
      <w:r w:rsidRPr="00903F4E">
        <w:rPr>
          <w:rFonts w:ascii="Times New Roman" w:hAnsi="Times New Roman" w:cs="Times New Roman"/>
          <w:sz w:val="24"/>
          <w:szCs w:val="24"/>
        </w:rPr>
        <w:t xml:space="preserve"> sample diversity, statistical methodology, reproducibility of results, and demographic disaggregation of findings. Governance and legal studies were evaluated </w:t>
      </w:r>
      <w:r w:rsidR="00746CAE" w:rsidRPr="00903F4E">
        <w:rPr>
          <w:rFonts w:ascii="Times New Roman" w:hAnsi="Times New Roman" w:cs="Times New Roman"/>
          <w:sz w:val="24"/>
          <w:szCs w:val="24"/>
        </w:rPr>
        <w:t>on</w:t>
      </w:r>
      <w:r w:rsidRPr="00903F4E">
        <w:rPr>
          <w:rFonts w:ascii="Times New Roman" w:hAnsi="Times New Roman" w:cs="Times New Roman"/>
          <w:sz w:val="24"/>
          <w:szCs w:val="24"/>
        </w:rPr>
        <w:t xml:space="preserve"> theoretical grounding, jurisdictional scope, and currency of regulatory analysis.</w:t>
      </w:r>
    </w:p>
    <w:p w14:paraId="76DBD334" w14:textId="030FFC30" w:rsidR="00F21B97" w:rsidRPr="00903F4E" w:rsidRDefault="00000000" w:rsidP="00903F4E">
      <w:pPr>
        <w:pStyle w:val="ListParagraph"/>
        <w:numPr>
          <w:ilvl w:val="0"/>
          <w:numId w:val="3"/>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Data Extraction: From each included study, the following data fields were extracted: publication metadata; research design; demographic variables examined; key metrics reported (FMR, FNMR, accuracy, error rate differentials); population/dataset used; findings relevant t</w:t>
      </w:r>
      <w:r w:rsidR="008D1689" w:rsidRPr="00903F4E">
        <w:rPr>
          <w:rFonts w:ascii="Times New Roman" w:hAnsi="Times New Roman" w:cs="Times New Roman"/>
          <w:sz w:val="24"/>
          <w:szCs w:val="24"/>
        </w:rPr>
        <w:t>o research questions one to four</w:t>
      </w:r>
      <w:r w:rsidRPr="00903F4E">
        <w:rPr>
          <w:rFonts w:ascii="Times New Roman" w:hAnsi="Times New Roman" w:cs="Times New Roman"/>
          <w:sz w:val="24"/>
          <w:szCs w:val="24"/>
        </w:rPr>
        <w:t>; and policy or governance implications identified.</w:t>
      </w:r>
    </w:p>
    <w:p w14:paraId="0E9C1D06" w14:textId="0B35F16A" w:rsidR="00F21B97" w:rsidRPr="00903F4E" w:rsidRDefault="00000000" w:rsidP="00903F4E">
      <w:pPr>
        <w:pStyle w:val="ListParagraph"/>
        <w:numPr>
          <w:ilvl w:val="0"/>
          <w:numId w:val="3"/>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Synthesis: Findings were synthesised thematically across the four domains identified in Chapter 3, with particular attention to convergent and divergent findings on the magnitude and causes of demographic differential.</w:t>
      </w:r>
    </w:p>
    <w:p w14:paraId="161221AF" w14:textId="77777777" w:rsidR="00F21B97" w:rsidRPr="00903F4E" w:rsidRDefault="00000000" w:rsidP="00903F4E">
      <w:pPr>
        <w:pStyle w:val="Heading2"/>
        <w:spacing w:line="276" w:lineRule="auto"/>
        <w:jc w:val="both"/>
        <w:rPr>
          <w:rFonts w:cs="Times New Roman"/>
          <w:szCs w:val="24"/>
        </w:rPr>
      </w:pPr>
      <w:bookmarkStart w:id="16" w:name="_Toc226740469"/>
      <w:r w:rsidRPr="00903F4E">
        <w:rPr>
          <w:rFonts w:cs="Times New Roman"/>
          <w:szCs w:val="24"/>
        </w:rPr>
        <w:t>4.2 Comparative Data Analysis using NIST FRTE Datasets</w:t>
      </w:r>
      <w:bookmarkEnd w:id="16"/>
    </w:p>
    <w:p w14:paraId="50A2FA62" w14:textId="68951258" w:rsidR="00F21B97" w:rsidRPr="00903F4E" w:rsidRDefault="00000000" w:rsidP="00903F4E">
      <w:pPr>
        <w:spacing w:after="140" w:line="276" w:lineRule="auto"/>
        <w:jc w:val="both"/>
        <w:rPr>
          <w:rFonts w:cs="Times New Roman"/>
          <w:szCs w:val="24"/>
        </w:rPr>
      </w:pPr>
      <w:r w:rsidRPr="00903F4E">
        <w:rPr>
          <w:rFonts w:cs="Times New Roman"/>
          <w:szCs w:val="24"/>
        </w:rPr>
        <w:t xml:space="preserve">The NIST Face Recognition Technology Evaluation (FRTE) provides the most comprehensive publicly available benchmark data on FRT demographic performance. The NIST FRTE Demographics page (NIST, 2025) provides tabulated results for hundreds of submitted </w:t>
      </w:r>
      <w:r w:rsidRPr="00903F4E">
        <w:rPr>
          <w:rFonts w:cs="Times New Roman"/>
          <w:szCs w:val="24"/>
        </w:rPr>
        <w:lastRenderedPageBreak/>
        <w:t>algorithms, including disaggregated FMR and FNMR by demographic group</w:t>
      </w:r>
      <w:r w:rsidR="00746CAE" w:rsidRPr="00903F4E">
        <w:rPr>
          <w:rFonts w:cs="Times New Roman"/>
          <w:szCs w:val="24"/>
        </w:rPr>
        <w:t xml:space="preserve">, </w:t>
      </w:r>
      <w:r w:rsidRPr="00903F4E">
        <w:rPr>
          <w:rFonts w:cs="Times New Roman"/>
          <w:szCs w:val="24"/>
        </w:rPr>
        <w:t>race, gender, and their combinations</w:t>
      </w:r>
      <w:r w:rsidR="00746CAE" w:rsidRPr="00903F4E">
        <w:rPr>
          <w:rFonts w:cs="Times New Roman"/>
          <w:szCs w:val="24"/>
        </w:rPr>
        <w:t>,</w:t>
      </w:r>
      <w:r w:rsidRPr="00903F4E">
        <w:rPr>
          <w:rFonts w:cs="Times New Roman"/>
          <w:szCs w:val="24"/>
        </w:rPr>
        <w:t xml:space="preserve"> across multiple operational scenarios.</w:t>
      </w:r>
    </w:p>
    <w:p w14:paraId="3533163F" w14:textId="7327694A" w:rsidR="00F21B97" w:rsidRPr="00903F4E" w:rsidRDefault="00000000" w:rsidP="00903F4E">
      <w:pPr>
        <w:spacing w:after="140" w:line="276" w:lineRule="auto"/>
        <w:jc w:val="both"/>
        <w:rPr>
          <w:rFonts w:cs="Times New Roman"/>
          <w:szCs w:val="24"/>
        </w:rPr>
      </w:pPr>
      <w:r w:rsidRPr="00903F4E">
        <w:rPr>
          <w:rFonts w:cs="Times New Roman"/>
          <w:szCs w:val="24"/>
        </w:rPr>
        <w:t>The Comparative Data Analysis framework applied in this study involves four analytical procedures: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76AB" w:rsidRPr="00903F4E" w14:paraId="269804C1" w14:textId="77777777" w:rsidTr="00C44135">
        <w:tc>
          <w:tcPr>
            <w:tcW w:w="9360" w:type="dxa"/>
            <w:tcMar>
              <w:top w:w="80" w:type="dxa"/>
              <w:left w:w="160" w:type="dxa"/>
              <w:bottom w:w="80" w:type="dxa"/>
              <w:right w:w="160" w:type="dxa"/>
            </w:tcMar>
          </w:tcPr>
          <w:p w14:paraId="03E94210" w14:textId="77777777" w:rsidR="00F21B97" w:rsidRPr="00903F4E" w:rsidRDefault="00000000" w:rsidP="00903F4E">
            <w:pPr>
              <w:spacing w:line="276" w:lineRule="auto"/>
              <w:jc w:val="both"/>
              <w:rPr>
                <w:rFonts w:cs="Times New Roman"/>
                <w:szCs w:val="24"/>
              </w:rPr>
            </w:pPr>
            <w:r w:rsidRPr="00903F4E">
              <w:rPr>
                <w:rFonts w:cs="Times New Roman"/>
                <w:b/>
                <w:bCs/>
                <w:szCs w:val="24"/>
              </w:rPr>
              <w:t>CDA Analytical Procedures</w:t>
            </w:r>
          </w:p>
        </w:tc>
      </w:tr>
      <w:tr w:rsidR="008776AB" w:rsidRPr="00903F4E" w14:paraId="2E531530" w14:textId="77777777" w:rsidTr="00C44135">
        <w:tc>
          <w:tcPr>
            <w:tcW w:w="9360" w:type="dxa"/>
            <w:tcMar>
              <w:top w:w="60" w:type="dxa"/>
              <w:left w:w="160" w:type="dxa"/>
              <w:bottom w:w="60" w:type="dxa"/>
              <w:right w:w="160" w:type="dxa"/>
            </w:tcMar>
          </w:tcPr>
          <w:p w14:paraId="30FB28A5" w14:textId="6E16D16F" w:rsidR="00F21B97" w:rsidRPr="00903F4E" w:rsidRDefault="00000000" w:rsidP="00903F4E">
            <w:pPr>
              <w:spacing w:after="60" w:line="276" w:lineRule="auto"/>
              <w:jc w:val="both"/>
              <w:rPr>
                <w:rFonts w:cs="Times New Roman"/>
                <w:szCs w:val="24"/>
              </w:rPr>
            </w:pPr>
            <w:r w:rsidRPr="00903F4E">
              <w:rPr>
                <w:rFonts w:cs="Times New Roman"/>
                <w:szCs w:val="24"/>
              </w:rPr>
              <w:t>Procedure 1</w:t>
            </w:r>
            <w:r w:rsidR="00746CAE" w:rsidRPr="00903F4E">
              <w:rPr>
                <w:rFonts w:cs="Times New Roman"/>
                <w:szCs w:val="24"/>
              </w:rPr>
              <w:t>:</w:t>
            </w:r>
            <w:r w:rsidRPr="00903F4E">
              <w:rPr>
                <w:rFonts w:cs="Times New Roman"/>
                <w:szCs w:val="24"/>
              </w:rPr>
              <w:t xml:space="preserve"> Differential Ratio Calculation: For each algorithm in the NIST dataset, the ratio of worst-case demographic group FMR to best-case demographic group FMR is calculated (the 'FMR Differential Ratio'). Algorithms are categorised as Low (ratio &lt; 2x), Medium (2–5x), and High (&gt; 5x) bias. This provides a quantitative typology of bias severity.</w:t>
            </w:r>
          </w:p>
        </w:tc>
      </w:tr>
      <w:tr w:rsidR="008776AB" w:rsidRPr="00903F4E" w14:paraId="4A9B9E87" w14:textId="77777777" w:rsidTr="00C44135">
        <w:tc>
          <w:tcPr>
            <w:tcW w:w="9360" w:type="dxa"/>
            <w:tcMar>
              <w:top w:w="60" w:type="dxa"/>
              <w:left w:w="160" w:type="dxa"/>
              <w:bottom w:w="60" w:type="dxa"/>
              <w:right w:w="160" w:type="dxa"/>
            </w:tcMar>
          </w:tcPr>
          <w:p w14:paraId="4460A4B5" w14:textId="352741D2" w:rsidR="00F21B97" w:rsidRPr="00903F4E" w:rsidRDefault="00000000" w:rsidP="00903F4E">
            <w:pPr>
              <w:spacing w:after="60" w:line="276" w:lineRule="auto"/>
              <w:jc w:val="both"/>
              <w:rPr>
                <w:rFonts w:cs="Times New Roman"/>
                <w:szCs w:val="24"/>
              </w:rPr>
            </w:pPr>
            <w:r w:rsidRPr="00903F4E">
              <w:rPr>
                <w:rFonts w:cs="Times New Roman"/>
                <w:szCs w:val="24"/>
              </w:rPr>
              <w:t>Procedure 2</w:t>
            </w:r>
            <w:r w:rsidR="00746CAE" w:rsidRPr="00903F4E">
              <w:rPr>
                <w:rFonts w:cs="Times New Roman"/>
                <w:szCs w:val="24"/>
              </w:rPr>
              <w:t>:</w:t>
            </w:r>
            <w:r w:rsidRPr="00903F4E">
              <w:rPr>
                <w:rFonts w:cs="Times New Roman"/>
                <w:szCs w:val="24"/>
              </w:rPr>
              <w:t xml:space="preserve"> Intersectional Subgroup Analysis: Performance metrics are analysed for the 2x2 intersection matrix of gender (Male/Female) × race (broadly: lighter/darker skin tone, following Fitzpatrick categories 1-3 vs. 4-6). This surfaces the compounding effects predicted by the intersectionality framework and identifies the subgroup bearing the greatest accuracy burden.</w:t>
            </w:r>
          </w:p>
        </w:tc>
      </w:tr>
      <w:tr w:rsidR="008776AB" w:rsidRPr="00903F4E" w14:paraId="38116C82" w14:textId="77777777" w:rsidTr="00C44135">
        <w:tc>
          <w:tcPr>
            <w:tcW w:w="9360" w:type="dxa"/>
            <w:tcMar>
              <w:top w:w="60" w:type="dxa"/>
              <w:left w:w="160" w:type="dxa"/>
              <w:bottom w:w="60" w:type="dxa"/>
              <w:right w:w="160" w:type="dxa"/>
            </w:tcMar>
          </w:tcPr>
          <w:p w14:paraId="4F1D74AA" w14:textId="2BB1CD97" w:rsidR="00F21B97" w:rsidRPr="00903F4E" w:rsidRDefault="00000000" w:rsidP="00903F4E">
            <w:pPr>
              <w:spacing w:after="60" w:line="276" w:lineRule="auto"/>
              <w:jc w:val="both"/>
              <w:rPr>
                <w:rFonts w:cs="Times New Roman"/>
                <w:szCs w:val="24"/>
              </w:rPr>
            </w:pPr>
            <w:r w:rsidRPr="00903F4E">
              <w:rPr>
                <w:rFonts w:cs="Times New Roman"/>
                <w:szCs w:val="24"/>
              </w:rPr>
              <w:t>Procedure 3</w:t>
            </w:r>
            <w:r w:rsidR="00746CAE" w:rsidRPr="00903F4E">
              <w:rPr>
                <w:rFonts w:cs="Times New Roman"/>
                <w:szCs w:val="24"/>
              </w:rPr>
              <w:t>:</w:t>
            </w:r>
            <w:r w:rsidRPr="00903F4E">
              <w:rPr>
                <w:rFonts w:cs="Times New Roman"/>
                <w:szCs w:val="24"/>
              </w:rPr>
              <w:t xml:space="preserve"> Tier Analysis: Algorithms are stratified by vendor tier</w:t>
            </w:r>
            <w:r w:rsidR="00746CAE" w:rsidRPr="00903F4E">
              <w:rPr>
                <w:rFonts w:cs="Times New Roman"/>
                <w:szCs w:val="24"/>
              </w:rPr>
              <w:t>, top 10</w:t>
            </w:r>
            <w:r w:rsidRPr="00903F4E">
              <w:rPr>
                <w:rFonts w:cs="Times New Roman"/>
                <w:szCs w:val="24"/>
              </w:rPr>
              <w:t xml:space="preserve"> accuracy vs. commercial long-tail</w:t>
            </w:r>
            <w:r w:rsidR="00746CAE" w:rsidRPr="00903F4E">
              <w:rPr>
                <w:rFonts w:cs="Times New Roman"/>
                <w:szCs w:val="24"/>
              </w:rPr>
              <w:t>,</w:t>
            </w:r>
            <w:r w:rsidRPr="00903F4E">
              <w:rPr>
                <w:rFonts w:cs="Times New Roman"/>
                <w:szCs w:val="24"/>
              </w:rPr>
              <w:t xml:space="preserve"> to test the hypothesis from the NIST (2025) data that while top-tier systems show improvements, significant differential persists in widely deployed lower-tier systems.</w:t>
            </w:r>
          </w:p>
        </w:tc>
      </w:tr>
      <w:tr w:rsidR="008776AB" w:rsidRPr="00903F4E" w14:paraId="3849312F" w14:textId="77777777" w:rsidTr="00C44135">
        <w:tc>
          <w:tcPr>
            <w:tcW w:w="9360" w:type="dxa"/>
            <w:tcMar>
              <w:top w:w="60" w:type="dxa"/>
              <w:left w:w="160" w:type="dxa"/>
              <w:bottom w:w="60" w:type="dxa"/>
              <w:right w:w="160" w:type="dxa"/>
            </w:tcMar>
          </w:tcPr>
          <w:p w14:paraId="0F7C8D66" w14:textId="3C5BB056" w:rsidR="00F21B97" w:rsidRPr="00903F4E" w:rsidRDefault="00000000" w:rsidP="00903F4E">
            <w:pPr>
              <w:spacing w:after="60" w:line="276" w:lineRule="auto"/>
              <w:jc w:val="both"/>
              <w:rPr>
                <w:rFonts w:cs="Times New Roman"/>
                <w:szCs w:val="24"/>
              </w:rPr>
            </w:pPr>
            <w:r w:rsidRPr="00903F4E">
              <w:rPr>
                <w:rFonts w:cs="Times New Roman"/>
                <w:szCs w:val="24"/>
              </w:rPr>
              <w:t>Procedure 4</w:t>
            </w:r>
            <w:r w:rsidR="00746CAE" w:rsidRPr="00903F4E">
              <w:rPr>
                <w:rFonts w:cs="Times New Roman"/>
                <w:szCs w:val="24"/>
              </w:rPr>
              <w:t>:</w:t>
            </w:r>
            <w:r w:rsidRPr="00903F4E">
              <w:rPr>
                <w:rFonts w:cs="Times New Roman"/>
                <w:szCs w:val="24"/>
              </w:rPr>
              <w:t xml:space="preserve"> Temporal Trend Analysis: Drawing on multiple years of NIST FRTE submissions, the rate of improvement in demographic equity metrics is assessed against the rate of improvement in overall accuracy. This addresses the question of whether the field is narrowing or maintaining the demographic differential.</w:t>
            </w:r>
          </w:p>
        </w:tc>
      </w:tr>
    </w:tbl>
    <w:p w14:paraId="6AF0BB94" w14:textId="77777777" w:rsidR="00F21B97" w:rsidRPr="00903F4E" w:rsidRDefault="00F21B97" w:rsidP="00903F4E">
      <w:pPr>
        <w:spacing w:line="276" w:lineRule="auto"/>
        <w:jc w:val="both"/>
        <w:rPr>
          <w:rFonts w:cs="Times New Roman"/>
          <w:szCs w:val="24"/>
        </w:rPr>
      </w:pPr>
    </w:p>
    <w:p w14:paraId="3058FEFF" w14:textId="434E1196" w:rsidR="00F21B97" w:rsidRPr="00903F4E" w:rsidRDefault="00000000" w:rsidP="00903F4E">
      <w:pPr>
        <w:spacing w:after="140" w:line="276" w:lineRule="auto"/>
        <w:jc w:val="both"/>
        <w:rPr>
          <w:rFonts w:cs="Times New Roman"/>
          <w:szCs w:val="24"/>
        </w:rPr>
      </w:pPr>
      <w:r w:rsidRPr="00903F4E">
        <w:rPr>
          <w:rFonts w:cs="Times New Roman"/>
          <w:szCs w:val="24"/>
        </w:rPr>
        <w:t>It is important to note the limitations of this analytical approach. NIST FRTE data represents controlled, standardised evaluation conditions that may not reflect operational deployment environments, where image quality, environmental conditions, and subject demographics may differ significantly from benchmark conditions</w:t>
      </w:r>
      <w:r w:rsidR="00A409C8" w:rsidRPr="00903F4E">
        <w:rPr>
          <w:rFonts w:cs="Times New Roman"/>
          <w:szCs w:val="24"/>
        </w:rPr>
        <w:t xml:space="preserve"> </w:t>
      </w:r>
      <w:r w:rsidR="00A409C8" w:rsidRPr="00903F4E">
        <w:rPr>
          <w:rFonts w:cs="Times New Roman"/>
          <w:szCs w:val="24"/>
        </w:rPr>
        <w:fldChar w:fldCharType="begin"/>
      </w:r>
      <w:r w:rsidR="00A409C8" w:rsidRPr="00903F4E">
        <w:rPr>
          <w:rFonts w:cs="Times New Roman"/>
          <w:szCs w:val="24"/>
        </w:rPr>
        <w:instrText xml:space="preserve"> ADDIN ZOTERO_ITEM CSL_CITATION {"citationID":"JdnUokVS","properties":{"unsorted":false,"formattedCitation":"(Stiernstr\\uc0\\u246{}mer, 2026)","plainCitation":"(Stiernströmer, 2026)","noteIndex":0},"citationItems":[{"id":57,"uris":["http://zotero.org/users/19988602/items/XQ9N96S9"],"itemData":{"id":57,"type":"article-journal","container-title":"Police Practice and Research","DOI":"10.1080/15614263.2026.2627208","ISSN":"1561-4263, 1477-271X","journalAbbreviation":"Police Practice and Research","language":"en","page":"1-25","source":"DOI.org (Crossref)","title":"Facial recognition technology in law enforcement- a scoping review of existing empirical studies","author":[{"family":"Stiernströmer","given":"Emelie"}],"issued":{"date-parts":[["2026",2,12]]}}}],"schema":"https://github.com/citation-style-language/schema/raw/master/csl-citation.json"} </w:instrText>
      </w:r>
      <w:r w:rsidR="00A409C8" w:rsidRPr="00903F4E">
        <w:rPr>
          <w:rFonts w:cs="Times New Roman"/>
          <w:szCs w:val="24"/>
        </w:rPr>
        <w:fldChar w:fldCharType="separate"/>
      </w:r>
      <w:r w:rsidR="00A409C8" w:rsidRPr="00903F4E">
        <w:rPr>
          <w:rFonts w:cs="Times New Roman"/>
          <w:szCs w:val="24"/>
        </w:rPr>
        <w:t>(</w:t>
      </w:r>
      <w:proofErr w:type="spellStart"/>
      <w:r w:rsidR="00A409C8" w:rsidRPr="00903F4E">
        <w:rPr>
          <w:rFonts w:cs="Times New Roman"/>
          <w:szCs w:val="24"/>
        </w:rPr>
        <w:t>Stiernströmer</w:t>
      </w:r>
      <w:proofErr w:type="spellEnd"/>
      <w:r w:rsidR="00A409C8" w:rsidRPr="00903F4E">
        <w:rPr>
          <w:rFonts w:cs="Times New Roman"/>
          <w:szCs w:val="24"/>
        </w:rPr>
        <w:t>, 2026)</w:t>
      </w:r>
      <w:r w:rsidR="00A409C8" w:rsidRPr="00903F4E">
        <w:rPr>
          <w:rFonts w:cs="Times New Roman"/>
          <w:szCs w:val="24"/>
        </w:rPr>
        <w:fldChar w:fldCharType="end"/>
      </w:r>
      <w:r w:rsidRPr="00903F4E">
        <w:rPr>
          <w:rFonts w:cs="Times New Roman"/>
          <w:szCs w:val="24"/>
        </w:rPr>
        <w:t>. The findings of the CDA should therefore be interpreted as establishing minimum performance bounds; actual operational disparities may be larger.</w:t>
      </w:r>
    </w:p>
    <w:p w14:paraId="613B5B92" w14:textId="77777777" w:rsidR="00F21B97" w:rsidRPr="00903F4E" w:rsidRDefault="00000000" w:rsidP="00903F4E">
      <w:pPr>
        <w:pStyle w:val="Heading2"/>
        <w:spacing w:line="276" w:lineRule="auto"/>
        <w:jc w:val="both"/>
        <w:rPr>
          <w:rFonts w:cs="Times New Roman"/>
          <w:szCs w:val="24"/>
        </w:rPr>
      </w:pPr>
      <w:bookmarkStart w:id="17" w:name="_Toc226740470"/>
      <w:r w:rsidRPr="00903F4E">
        <w:rPr>
          <w:rFonts w:cs="Times New Roman"/>
          <w:szCs w:val="24"/>
        </w:rPr>
        <w:t>4.3 Audit-Based Analytical Framework</w:t>
      </w:r>
      <w:bookmarkEnd w:id="17"/>
    </w:p>
    <w:p w14:paraId="3D34CF33" w14:textId="273DBBFD" w:rsidR="00F21B97" w:rsidRPr="00903F4E" w:rsidRDefault="00000000" w:rsidP="00903F4E">
      <w:pPr>
        <w:spacing w:after="140" w:line="276" w:lineRule="auto"/>
        <w:jc w:val="both"/>
        <w:rPr>
          <w:rFonts w:cs="Times New Roman"/>
          <w:szCs w:val="24"/>
        </w:rPr>
      </w:pPr>
      <w:r w:rsidRPr="00903F4E">
        <w:rPr>
          <w:rFonts w:cs="Times New Roman"/>
          <w:szCs w:val="24"/>
        </w:rPr>
        <w:t xml:space="preserve">The methodological contribution of this study </w:t>
      </w:r>
      <w:r w:rsidR="00375FE2" w:rsidRPr="00903F4E">
        <w:rPr>
          <w:rFonts w:cs="Times New Roman"/>
          <w:szCs w:val="24"/>
        </w:rPr>
        <w:t>is</w:t>
      </w:r>
      <w:r w:rsidRPr="00903F4E">
        <w:rPr>
          <w:rFonts w:cs="Times New Roman"/>
          <w:szCs w:val="24"/>
        </w:rPr>
        <w:t xml:space="preserve"> the development of an Audit-Based Analytical Framework (ABAF) for biometric system assessment. The ABAF is grounded in three established audit and governance standards:</w:t>
      </w:r>
    </w:p>
    <w:p w14:paraId="2DFDA53B" w14:textId="6F0A8E58"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ISO/IEC 27001:2022</w:t>
      </w:r>
      <w:r w:rsidR="00746CAE" w:rsidRPr="00903F4E">
        <w:rPr>
          <w:rFonts w:ascii="Times New Roman" w:hAnsi="Times New Roman" w:cs="Times New Roman"/>
          <w:sz w:val="24"/>
          <w:szCs w:val="24"/>
        </w:rPr>
        <w:t>:</w:t>
      </w:r>
      <w:r w:rsidRPr="00903F4E">
        <w:rPr>
          <w:rFonts w:ascii="Times New Roman" w:hAnsi="Times New Roman" w:cs="Times New Roman"/>
          <w:sz w:val="24"/>
          <w:szCs w:val="24"/>
        </w:rPr>
        <w:t xml:space="preserve"> Information Security Management Systems, providing the risk assessment methodology for security risk classification.</w:t>
      </w:r>
    </w:p>
    <w:p w14:paraId="76B889C5" w14:textId="594A9193"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NIST SP 800-53 Rev. 5</w:t>
      </w:r>
      <w:r w:rsidR="00746CAE" w:rsidRPr="00903F4E">
        <w:rPr>
          <w:rFonts w:ascii="Times New Roman" w:hAnsi="Times New Roman" w:cs="Times New Roman"/>
          <w:sz w:val="24"/>
          <w:szCs w:val="24"/>
        </w:rPr>
        <w:t>:</w:t>
      </w:r>
      <w:r w:rsidRPr="00903F4E">
        <w:rPr>
          <w:rFonts w:ascii="Times New Roman" w:hAnsi="Times New Roman" w:cs="Times New Roman"/>
          <w:sz w:val="24"/>
          <w:szCs w:val="24"/>
        </w:rPr>
        <w:t xml:space="preserve"> Security and Privacy Controls, specifically the 'System and Information Integrity' (SI) control family, including SI-7 (Software, Firmware, and Information Integrity) and the 'Risk Assessment' (RA) family.</w:t>
      </w:r>
    </w:p>
    <w:p w14:paraId="70E261A9" w14:textId="2DF1725D"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lastRenderedPageBreak/>
        <w:t>IEEE P2863 (2025 Draft)</w:t>
      </w:r>
      <w:r w:rsidR="00746CAE" w:rsidRPr="00903F4E">
        <w:rPr>
          <w:rFonts w:ascii="Times New Roman" w:hAnsi="Times New Roman" w:cs="Times New Roman"/>
          <w:sz w:val="24"/>
          <w:szCs w:val="24"/>
        </w:rPr>
        <w:t>:</w:t>
      </w:r>
      <w:r w:rsidRPr="00903F4E">
        <w:rPr>
          <w:rFonts w:ascii="Times New Roman" w:hAnsi="Times New Roman" w:cs="Times New Roman"/>
          <w:sz w:val="24"/>
          <w:szCs w:val="24"/>
        </w:rPr>
        <w:t xml:space="preserve"> Standard for Organisational Governance of AI, specifically the governance structure requirements and the AI System Lifecycle Steward role.</w:t>
      </w:r>
    </w:p>
    <w:p w14:paraId="37C98489" w14:textId="77777777" w:rsidR="00F21B97" w:rsidRPr="00903F4E" w:rsidRDefault="00000000" w:rsidP="00903F4E">
      <w:pPr>
        <w:spacing w:after="140" w:line="276" w:lineRule="auto"/>
        <w:jc w:val="both"/>
        <w:rPr>
          <w:rFonts w:cs="Times New Roman"/>
          <w:szCs w:val="24"/>
        </w:rPr>
      </w:pPr>
      <w:r w:rsidRPr="00903F4E">
        <w:rPr>
          <w:rFonts w:cs="Times New Roman"/>
          <w:szCs w:val="24"/>
        </w:rPr>
        <w:t>The ABAF positions biometric fairness auditing as a subspecialty of information security auditing, requiring the same systematic, evidence-based, and documented methodology applied to other security controls. This framing is critical for institutionalising fairness assessment within existing organisational security governance structures rather than treating it as an external social responsibility add-on.</w:t>
      </w:r>
    </w:p>
    <w:p w14:paraId="48EE443A"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77BC3158" w14:textId="77777777" w:rsidR="00F21B97" w:rsidRPr="00903F4E" w:rsidRDefault="00000000" w:rsidP="00903F4E">
      <w:pPr>
        <w:pStyle w:val="Heading1"/>
        <w:spacing w:line="276" w:lineRule="auto"/>
        <w:jc w:val="both"/>
        <w:rPr>
          <w:rFonts w:cs="Times New Roman"/>
          <w:szCs w:val="24"/>
        </w:rPr>
      </w:pPr>
      <w:bookmarkStart w:id="18" w:name="_Toc226740471"/>
      <w:r w:rsidRPr="00903F4E">
        <w:rPr>
          <w:rFonts w:cs="Times New Roman"/>
          <w:szCs w:val="24"/>
        </w:rPr>
        <w:lastRenderedPageBreak/>
        <w:t>5. Security and Liability Analysis</w:t>
      </w:r>
      <w:bookmarkEnd w:id="18"/>
    </w:p>
    <w:p w14:paraId="09BDF9BA" w14:textId="77777777" w:rsidR="00F21B97" w:rsidRPr="00903F4E" w:rsidRDefault="00000000" w:rsidP="00903F4E">
      <w:pPr>
        <w:pStyle w:val="Heading2"/>
        <w:spacing w:line="276" w:lineRule="auto"/>
        <w:jc w:val="both"/>
        <w:rPr>
          <w:rFonts w:cs="Times New Roman"/>
          <w:szCs w:val="24"/>
        </w:rPr>
      </w:pPr>
      <w:bookmarkStart w:id="19" w:name="_Toc226740472"/>
      <w:r w:rsidRPr="00903F4E">
        <w:rPr>
          <w:rFonts w:cs="Times New Roman"/>
          <w:szCs w:val="24"/>
        </w:rPr>
        <w:t>5.1 Organisational Security Risk Dimensions</w:t>
      </w:r>
      <w:bookmarkEnd w:id="19"/>
    </w:p>
    <w:p w14:paraId="2F19A952" w14:textId="06619562" w:rsidR="00F21B97" w:rsidRPr="00903F4E" w:rsidRDefault="00000000" w:rsidP="00903F4E">
      <w:pPr>
        <w:spacing w:after="140" w:line="276" w:lineRule="auto"/>
        <w:jc w:val="both"/>
        <w:rPr>
          <w:rFonts w:cs="Times New Roman"/>
          <w:szCs w:val="24"/>
        </w:rPr>
      </w:pPr>
      <w:r w:rsidRPr="00903F4E">
        <w:rPr>
          <w:rFonts w:cs="Times New Roman"/>
          <w:szCs w:val="24"/>
        </w:rPr>
        <w:t>The deployment of a biased biometric system constitutes a multi-dimensional organisational security risk that extends beyond the immediate technical failure. Drawing on ISO 31000 risk management principles and the organisational risk typology of Smith (2026), this study identifies four primary risk dimensions: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2"/>
        <w:gridCol w:w="7634"/>
      </w:tblGrid>
      <w:tr w:rsidR="008776AB" w:rsidRPr="00903F4E" w14:paraId="2C54786A" w14:textId="77777777" w:rsidTr="006C32FD">
        <w:tc>
          <w:tcPr>
            <w:tcW w:w="0" w:type="auto"/>
            <w:tcMar>
              <w:top w:w="80" w:type="dxa"/>
              <w:left w:w="120" w:type="dxa"/>
              <w:bottom w:w="80" w:type="dxa"/>
              <w:right w:w="120" w:type="dxa"/>
            </w:tcMar>
          </w:tcPr>
          <w:p w14:paraId="06818E07" w14:textId="77777777" w:rsidR="00F21B97" w:rsidRPr="00903F4E" w:rsidRDefault="00000000" w:rsidP="00903F4E">
            <w:pPr>
              <w:spacing w:line="276" w:lineRule="auto"/>
              <w:jc w:val="both"/>
              <w:rPr>
                <w:rFonts w:cs="Times New Roman"/>
                <w:szCs w:val="24"/>
              </w:rPr>
            </w:pPr>
            <w:r w:rsidRPr="00903F4E">
              <w:rPr>
                <w:rFonts w:cs="Times New Roman"/>
                <w:b/>
                <w:bCs/>
                <w:szCs w:val="24"/>
              </w:rPr>
              <w:t>Risk Dimension</w:t>
            </w:r>
          </w:p>
        </w:tc>
        <w:tc>
          <w:tcPr>
            <w:tcW w:w="0" w:type="auto"/>
            <w:tcMar>
              <w:top w:w="80" w:type="dxa"/>
              <w:left w:w="120" w:type="dxa"/>
              <w:bottom w:w="80" w:type="dxa"/>
              <w:right w:w="120" w:type="dxa"/>
            </w:tcMar>
          </w:tcPr>
          <w:p w14:paraId="333250DA" w14:textId="77777777" w:rsidR="00F21B97" w:rsidRPr="00903F4E" w:rsidRDefault="00000000" w:rsidP="00903F4E">
            <w:pPr>
              <w:spacing w:line="276" w:lineRule="auto"/>
              <w:jc w:val="both"/>
              <w:rPr>
                <w:rFonts w:cs="Times New Roman"/>
                <w:szCs w:val="24"/>
              </w:rPr>
            </w:pPr>
            <w:r w:rsidRPr="00903F4E">
              <w:rPr>
                <w:rFonts w:cs="Times New Roman"/>
                <w:b/>
                <w:bCs/>
                <w:szCs w:val="24"/>
              </w:rPr>
              <w:t>Manifestation in Biometric Bias Context</w:t>
            </w:r>
          </w:p>
        </w:tc>
      </w:tr>
      <w:tr w:rsidR="008776AB" w:rsidRPr="00903F4E" w14:paraId="1ECE7F52" w14:textId="77777777" w:rsidTr="006C32FD">
        <w:tc>
          <w:tcPr>
            <w:tcW w:w="0" w:type="auto"/>
            <w:tcMar>
              <w:top w:w="70" w:type="dxa"/>
              <w:left w:w="120" w:type="dxa"/>
              <w:bottom w:w="70" w:type="dxa"/>
              <w:right w:w="120" w:type="dxa"/>
            </w:tcMar>
          </w:tcPr>
          <w:p w14:paraId="3F9C3D58" w14:textId="77777777" w:rsidR="00F21B97" w:rsidRPr="00903F4E" w:rsidRDefault="00000000" w:rsidP="00903F4E">
            <w:pPr>
              <w:spacing w:after="40" w:line="276" w:lineRule="auto"/>
              <w:jc w:val="both"/>
              <w:rPr>
                <w:rFonts w:cs="Times New Roman"/>
                <w:szCs w:val="24"/>
              </w:rPr>
            </w:pPr>
            <w:r w:rsidRPr="00903F4E">
              <w:rPr>
                <w:rFonts w:cs="Times New Roman"/>
                <w:szCs w:val="24"/>
              </w:rPr>
              <w:t>Legal Risk</w:t>
            </w:r>
          </w:p>
        </w:tc>
        <w:tc>
          <w:tcPr>
            <w:tcW w:w="0" w:type="auto"/>
            <w:tcMar>
              <w:top w:w="70" w:type="dxa"/>
              <w:left w:w="120" w:type="dxa"/>
              <w:bottom w:w="70" w:type="dxa"/>
              <w:right w:w="120" w:type="dxa"/>
            </w:tcMar>
          </w:tcPr>
          <w:p w14:paraId="67EA33B4" w14:textId="77777777" w:rsidR="00F21B97" w:rsidRPr="00903F4E" w:rsidRDefault="00000000" w:rsidP="00903F4E">
            <w:pPr>
              <w:spacing w:after="40" w:line="276" w:lineRule="auto"/>
              <w:jc w:val="both"/>
              <w:rPr>
                <w:rFonts w:cs="Times New Roman"/>
                <w:szCs w:val="24"/>
              </w:rPr>
            </w:pPr>
            <w:r w:rsidRPr="00903F4E">
              <w:rPr>
                <w:rFonts w:cs="Times New Roman"/>
                <w:szCs w:val="24"/>
              </w:rPr>
              <w:t>Civil liability for wrongful identification, defamation, false imprisonment; regulatory sanctions under GDPR and EU AI Act including fines up to €30 million or 6% of global annual turnover for intentional violations; criminal prosecution under data protection legislation in certain jurisdictions.</w:t>
            </w:r>
          </w:p>
        </w:tc>
      </w:tr>
      <w:tr w:rsidR="008776AB" w:rsidRPr="00903F4E" w14:paraId="29E32B20" w14:textId="77777777" w:rsidTr="006C32FD">
        <w:tc>
          <w:tcPr>
            <w:tcW w:w="0" w:type="auto"/>
            <w:tcMar>
              <w:top w:w="70" w:type="dxa"/>
              <w:left w:w="120" w:type="dxa"/>
              <w:bottom w:w="70" w:type="dxa"/>
              <w:right w:w="120" w:type="dxa"/>
            </w:tcMar>
          </w:tcPr>
          <w:p w14:paraId="72F73B16" w14:textId="77777777" w:rsidR="00F21B97" w:rsidRPr="00903F4E" w:rsidRDefault="00000000" w:rsidP="00903F4E">
            <w:pPr>
              <w:spacing w:after="40" w:line="276" w:lineRule="auto"/>
              <w:jc w:val="both"/>
              <w:rPr>
                <w:rFonts w:cs="Times New Roman"/>
                <w:szCs w:val="24"/>
              </w:rPr>
            </w:pPr>
            <w:r w:rsidRPr="00903F4E">
              <w:rPr>
                <w:rFonts w:cs="Times New Roman"/>
                <w:szCs w:val="24"/>
              </w:rPr>
              <w:t>Financial Risk</w:t>
            </w:r>
          </w:p>
        </w:tc>
        <w:tc>
          <w:tcPr>
            <w:tcW w:w="0" w:type="auto"/>
            <w:tcMar>
              <w:top w:w="70" w:type="dxa"/>
              <w:left w:w="120" w:type="dxa"/>
              <w:bottom w:w="70" w:type="dxa"/>
              <w:right w:w="120" w:type="dxa"/>
            </w:tcMar>
          </w:tcPr>
          <w:p w14:paraId="11A2B414" w14:textId="77777777" w:rsidR="00F21B97" w:rsidRPr="00903F4E" w:rsidRDefault="00000000" w:rsidP="00903F4E">
            <w:pPr>
              <w:spacing w:after="40" w:line="276" w:lineRule="auto"/>
              <w:jc w:val="both"/>
              <w:rPr>
                <w:rFonts w:cs="Times New Roman"/>
                <w:szCs w:val="24"/>
              </w:rPr>
            </w:pPr>
            <w:r w:rsidRPr="00903F4E">
              <w:rPr>
                <w:rFonts w:cs="Times New Roman"/>
                <w:szCs w:val="24"/>
              </w:rPr>
              <w:t>Direct costs: litigation settlements, regulatory fines, system decommissioning costs, remediation expenditure. Indirect costs: insurance premium increases for cyber liability policies; increased due diligence costs for procurement; lost contracts where biometric fairness is a procurement requirement.</w:t>
            </w:r>
          </w:p>
        </w:tc>
      </w:tr>
      <w:tr w:rsidR="008776AB" w:rsidRPr="00903F4E" w14:paraId="39105477" w14:textId="77777777" w:rsidTr="006C32FD">
        <w:tc>
          <w:tcPr>
            <w:tcW w:w="0" w:type="auto"/>
            <w:tcMar>
              <w:top w:w="70" w:type="dxa"/>
              <w:left w:w="120" w:type="dxa"/>
              <w:bottom w:w="70" w:type="dxa"/>
              <w:right w:w="120" w:type="dxa"/>
            </w:tcMar>
          </w:tcPr>
          <w:p w14:paraId="0AFA2586" w14:textId="77777777" w:rsidR="00F21B97" w:rsidRPr="00903F4E" w:rsidRDefault="00000000" w:rsidP="00903F4E">
            <w:pPr>
              <w:spacing w:after="40" w:line="276" w:lineRule="auto"/>
              <w:jc w:val="both"/>
              <w:rPr>
                <w:rFonts w:cs="Times New Roman"/>
                <w:szCs w:val="24"/>
              </w:rPr>
            </w:pPr>
            <w:r w:rsidRPr="00903F4E">
              <w:rPr>
                <w:rFonts w:cs="Times New Roman"/>
                <w:szCs w:val="24"/>
              </w:rPr>
              <w:t>Reputational Risk</w:t>
            </w:r>
          </w:p>
        </w:tc>
        <w:tc>
          <w:tcPr>
            <w:tcW w:w="0" w:type="auto"/>
            <w:tcMar>
              <w:top w:w="70" w:type="dxa"/>
              <w:left w:w="120" w:type="dxa"/>
              <w:bottom w:w="70" w:type="dxa"/>
              <w:right w:w="120" w:type="dxa"/>
            </w:tcMar>
          </w:tcPr>
          <w:p w14:paraId="397E3051" w14:textId="77777777" w:rsidR="00F21B97" w:rsidRPr="00903F4E" w:rsidRDefault="00000000" w:rsidP="00903F4E">
            <w:pPr>
              <w:spacing w:after="40" w:line="276" w:lineRule="auto"/>
              <w:jc w:val="both"/>
              <w:rPr>
                <w:rFonts w:cs="Times New Roman"/>
                <w:szCs w:val="24"/>
              </w:rPr>
            </w:pPr>
            <w:r w:rsidRPr="00903F4E">
              <w:rPr>
                <w:rFonts w:cs="Times New Roman"/>
                <w:szCs w:val="24"/>
              </w:rPr>
              <w:t>Public exposure of demographic bias incidents generates significant media coverage and public trust deficits. For law enforcement agencies, reputational damage translates into reduced community cooperation, undermining operational effectiveness. For commercial entities, consumer boycotts and investor divestment present material financial risks.</w:t>
            </w:r>
          </w:p>
        </w:tc>
      </w:tr>
      <w:tr w:rsidR="008776AB" w:rsidRPr="00903F4E" w14:paraId="443CCAD0" w14:textId="77777777" w:rsidTr="006C32FD">
        <w:tc>
          <w:tcPr>
            <w:tcW w:w="0" w:type="auto"/>
            <w:tcMar>
              <w:top w:w="70" w:type="dxa"/>
              <w:left w:w="120" w:type="dxa"/>
              <w:bottom w:w="70" w:type="dxa"/>
              <w:right w:w="120" w:type="dxa"/>
            </w:tcMar>
          </w:tcPr>
          <w:p w14:paraId="4285262F" w14:textId="77777777" w:rsidR="00F21B97" w:rsidRPr="00903F4E" w:rsidRDefault="00000000" w:rsidP="00903F4E">
            <w:pPr>
              <w:spacing w:after="40" w:line="276" w:lineRule="auto"/>
              <w:jc w:val="both"/>
              <w:rPr>
                <w:rFonts w:cs="Times New Roman"/>
                <w:szCs w:val="24"/>
              </w:rPr>
            </w:pPr>
            <w:r w:rsidRPr="00903F4E">
              <w:rPr>
                <w:rFonts w:cs="Times New Roman"/>
                <w:szCs w:val="24"/>
              </w:rPr>
              <w:t>Operational Risk</w:t>
            </w:r>
          </w:p>
        </w:tc>
        <w:tc>
          <w:tcPr>
            <w:tcW w:w="0" w:type="auto"/>
            <w:tcMar>
              <w:top w:w="70" w:type="dxa"/>
              <w:left w:w="120" w:type="dxa"/>
              <w:bottom w:w="70" w:type="dxa"/>
              <w:right w:w="120" w:type="dxa"/>
            </w:tcMar>
          </w:tcPr>
          <w:p w14:paraId="0916A175" w14:textId="77777777" w:rsidR="00F21B97" w:rsidRPr="00903F4E" w:rsidRDefault="00000000" w:rsidP="00903F4E">
            <w:pPr>
              <w:spacing w:after="40" w:line="276" w:lineRule="auto"/>
              <w:jc w:val="both"/>
              <w:rPr>
                <w:rFonts w:cs="Times New Roman"/>
                <w:szCs w:val="24"/>
              </w:rPr>
            </w:pPr>
            <w:r w:rsidRPr="00903F4E">
              <w:rPr>
                <w:rFonts w:cs="Times New Roman"/>
                <w:szCs w:val="24"/>
              </w:rPr>
              <w:t>EU AI Act non-compliance can trigger mandatory system decommissioning, creating an acute availability failure. Ongoing litigation may require injunctive relief halting system operation. Internal investigations divert security personnel resources from other critical functions.</w:t>
            </w:r>
          </w:p>
        </w:tc>
      </w:tr>
    </w:tbl>
    <w:p w14:paraId="3AEF807C" w14:textId="77777777" w:rsidR="00375FE2" w:rsidRPr="00903F4E" w:rsidRDefault="00375FE2" w:rsidP="00903F4E">
      <w:pPr>
        <w:spacing w:after="140" w:line="276" w:lineRule="auto"/>
        <w:jc w:val="both"/>
        <w:rPr>
          <w:rFonts w:cs="Times New Roman"/>
          <w:szCs w:val="24"/>
        </w:rPr>
      </w:pPr>
    </w:p>
    <w:p w14:paraId="2DCE8AED" w14:textId="68AC741E" w:rsidR="00F21B97" w:rsidRPr="00903F4E" w:rsidRDefault="00000000" w:rsidP="00903F4E">
      <w:pPr>
        <w:spacing w:after="140" w:line="276" w:lineRule="auto"/>
        <w:jc w:val="both"/>
        <w:rPr>
          <w:rFonts w:cs="Times New Roman"/>
          <w:szCs w:val="24"/>
        </w:rPr>
      </w:pPr>
      <w:r w:rsidRPr="00903F4E">
        <w:rPr>
          <w:rFonts w:cs="Times New Roman"/>
          <w:szCs w:val="24"/>
        </w:rPr>
        <w:t>These risk dimensions are interrelated and can cascade: a single wrongful identification incident triggers immediate reputational damage, precipitates legal proceedings, imposes financial costs, and may force operational suspension. The National Academies (2024) term this a 'cascade event' and identify it as one of the most significant underestimated risks in organisational biometric risk assessments.</w:t>
      </w:r>
    </w:p>
    <w:p w14:paraId="67B480D5" w14:textId="77777777" w:rsidR="00F21B97" w:rsidRPr="00903F4E" w:rsidRDefault="00000000" w:rsidP="00903F4E">
      <w:pPr>
        <w:pStyle w:val="Heading2"/>
        <w:spacing w:line="276" w:lineRule="auto"/>
        <w:jc w:val="both"/>
        <w:rPr>
          <w:rFonts w:cs="Times New Roman"/>
          <w:szCs w:val="24"/>
        </w:rPr>
      </w:pPr>
      <w:bookmarkStart w:id="20" w:name="_Toc226740473"/>
      <w:r w:rsidRPr="00903F4E">
        <w:rPr>
          <w:rFonts w:cs="Times New Roman"/>
          <w:szCs w:val="24"/>
        </w:rPr>
        <w:t>5.2 Legal Risk and Wrongful Detention Litigation</w:t>
      </w:r>
      <w:bookmarkEnd w:id="20"/>
    </w:p>
    <w:p w14:paraId="12BF6A4F" w14:textId="77777777" w:rsidR="00F21B97" w:rsidRPr="00903F4E" w:rsidRDefault="00000000" w:rsidP="00903F4E">
      <w:pPr>
        <w:spacing w:after="140" w:line="276" w:lineRule="auto"/>
        <w:jc w:val="both"/>
        <w:rPr>
          <w:rFonts w:cs="Times New Roman"/>
          <w:szCs w:val="24"/>
        </w:rPr>
      </w:pPr>
      <w:r w:rsidRPr="00903F4E">
        <w:rPr>
          <w:rFonts w:cs="Times New Roman"/>
          <w:szCs w:val="24"/>
        </w:rPr>
        <w:t xml:space="preserve">The 2024–2025 period has produced a substantial body of high-profile wrongful detention cases attributable to FRT misidentification. Smith (2026) documents a pattern across US, UK, and EU jurisdictions characterised by four common features: (1) FRT-generated match used as primary identification evidence without human verification corroboration; (2) demographic profile of the misidentified individual consistently in the highest-error-rate subgroup for the deployed system; </w:t>
      </w:r>
      <w:r w:rsidRPr="00903F4E">
        <w:rPr>
          <w:rFonts w:cs="Times New Roman"/>
          <w:szCs w:val="24"/>
        </w:rPr>
        <w:lastRenderedPageBreak/>
        <w:t>(3) deploying organisation unable to produce demographic performance documentation for the specific system version used; and (4) subsequent civil proceedings supported by expert testimony on the known bias characteristics of the algorithm.</w:t>
      </w:r>
    </w:p>
    <w:p w14:paraId="545E2700" w14:textId="76CE4E6C" w:rsidR="00F21B97" w:rsidRPr="00903F4E" w:rsidRDefault="00000000" w:rsidP="00903F4E">
      <w:pPr>
        <w:spacing w:after="140" w:line="276" w:lineRule="auto"/>
        <w:jc w:val="both"/>
        <w:rPr>
          <w:rFonts w:cs="Times New Roman"/>
          <w:szCs w:val="24"/>
        </w:rPr>
      </w:pPr>
      <w:r w:rsidRPr="00903F4E">
        <w:rPr>
          <w:rFonts w:cs="Times New Roman"/>
          <w:szCs w:val="24"/>
        </w:rPr>
        <w:t>The legal theory of 'negligent deployment' identified by Smith (2026) is particularly significant for organisational risk analysis. Under this theory, an organisation that deploys an FRT system without conducting adequate pre-deployment demographic bias testing, and where that system subsequently produces a false positive resulting in harm, may be held liable under the tort of negligence on the basis that the harm was foreseeable and a reasonable precaution</w:t>
      </w:r>
      <w:r w:rsidR="00375FE2" w:rsidRPr="00903F4E">
        <w:rPr>
          <w:rFonts w:cs="Times New Roman"/>
          <w:szCs w:val="24"/>
        </w:rPr>
        <w:t xml:space="preserve">, </w:t>
      </w:r>
      <w:r w:rsidRPr="00903F4E">
        <w:rPr>
          <w:rFonts w:cs="Times New Roman"/>
          <w:szCs w:val="24"/>
        </w:rPr>
        <w:t>adequate testing</w:t>
      </w:r>
      <w:r w:rsidR="00375FE2" w:rsidRPr="00903F4E">
        <w:rPr>
          <w:rFonts w:cs="Times New Roman"/>
          <w:szCs w:val="24"/>
        </w:rPr>
        <w:t>,</w:t>
      </w:r>
      <w:r w:rsidRPr="00903F4E">
        <w:rPr>
          <w:rFonts w:cs="Times New Roman"/>
          <w:szCs w:val="24"/>
        </w:rPr>
        <w:t xml:space="preserve"> was not taken. This theory has succeeded in US federal and state courts and is being actively developed in UK tort law.</w:t>
      </w:r>
    </w:p>
    <w:p w14:paraId="3B0AFDB9" w14:textId="2724A9A4" w:rsidR="00F21B97" w:rsidRPr="00903F4E" w:rsidRDefault="00000000" w:rsidP="00903F4E">
      <w:pPr>
        <w:spacing w:after="140" w:line="276" w:lineRule="auto"/>
        <w:jc w:val="both"/>
        <w:rPr>
          <w:rFonts w:cs="Times New Roman"/>
          <w:szCs w:val="24"/>
        </w:rPr>
      </w:pPr>
      <w:proofErr w:type="spellStart"/>
      <w:r w:rsidRPr="00903F4E">
        <w:rPr>
          <w:rFonts w:cs="Times New Roman"/>
          <w:szCs w:val="24"/>
        </w:rPr>
        <w:t>Limantė</w:t>
      </w:r>
      <w:proofErr w:type="spellEnd"/>
      <w:r w:rsidRPr="00903F4E">
        <w:rPr>
          <w:rFonts w:cs="Times New Roman"/>
          <w:szCs w:val="24"/>
        </w:rPr>
        <w:t xml:space="preserve"> (2024) extends this analysis to indirect discrimination claims under EU law. Article 21 of the EU Charter of Fundamental Rights prohibits discrimination on grounds of race and gender. Where a biometric system produces systematically higher error rates for a protected demographic group</w:t>
      </w:r>
      <w:r w:rsidR="00375FE2" w:rsidRPr="00903F4E">
        <w:rPr>
          <w:rFonts w:cs="Times New Roman"/>
          <w:szCs w:val="24"/>
        </w:rPr>
        <w:t>,</w:t>
      </w:r>
      <w:r w:rsidRPr="00903F4E">
        <w:rPr>
          <w:rFonts w:cs="Times New Roman"/>
          <w:szCs w:val="24"/>
        </w:rPr>
        <w:t xml:space="preserve"> even in the absence of any intent to discriminate</w:t>
      </w:r>
      <w:r w:rsidR="00375FE2" w:rsidRPr="00903F4E">
        <w:rPr>
          <w:rFonts w:cs="Times New Roman"/>
          <w:szCs w:val="24"/>
        </w:rPr>
        <w:t>,</w:t>
      </w:r>
      <w:r w:rsidRPr="00903F4E">
        <w:rPr>
          <w:rFonts w:cs="Times New Roman"/>
          <w:szCs w:val="24"/>
        </w:rPr>
        <w:t xml:space="preserve"> this may constitute indirect discrimination unlawful under both EU law and the national legislation of member states. The practical implication is that organisations cannot shelter behind the algorithmic opacity of their vendors; deploying a biased system creates independent organisational liability regardless of where in the procurement chain the bias originated.</w:t>
      </w:r>
    </w:p>
    <w:p w14:paraId="2FB46A11" w14:textId="22BD18F4" w:rsidR="00F21B97" w:rsidRPr="00903F4E" w:rsidRDefault="00000000" w:rsidP="00903F4E">
      <w:pPr>
        <w:spacing w:before="60" w:after="60" w:line="276" w:lineRule="auto"/>
        <w:ind w:left="720" w:right="720"/>
        <w:jc w:val="both"/>
        <w:rPr>
          <w:rFonts w:cs="Times New Roman"/>
          <w:szCs w:val="24"/>
        </w:rPr>
      </w:pPr>
      <w:r w:rsidRPr="00903F4E">
        <w:rPr>
          <w:rFonts w:cs="Times New Roman"/>
          <w:i/>
          <w:iCs/>
          <w:szCs w:val="24"/>
        </w:rPr>
        <w:t>"The organization deploying the system cannot escape liability by pointing to the vendor's algorithm. Deployment constitutes adoption, and adoption carries the full weight of the system's known deficiencies." Smith (2026)</w:t>
      </w:r>
    </w:p>
    <w:p w14:paraId="3755C912" w14:textId="77777777" w:rsidR="00F21B97" w:rsidRPr="00903F4E" w:rsidRDefault="00000000" w:rsidP="00903F4E">
      <w:pPr>
        <w:pStyle w:val="Heading2"/>
        <w:spacing w:line="276" w:lineRule="auto"/>
        <w:jc w:val="both"/>
        <w:rPr>
          <w:rFonts w:cs="Times New Roman"/>
          <w:szCs w:val="24"/>
        </w:rPr>
      </w:pPr>
      <w:bookmarkStart w:id="21" w:name="_Toc226740474"/>
      <w:r w:rsidRPr="00903F4E">
        <w:rPr>
          <w:rFonts w:cs="Times New Roman"/>
          <w:szCs w:val="24"/>
        </w:rPr>
        <w:t>5.3 Regulatory Compliance Risk: EU AI Act (2025/26)</w:t>
      </w:r>
      <w:bookmarkEnd w:id="21"/>
    </w:p>
    <w:p w14:paraId="710F8889" w14:textId="77777777" w:rsidR="00F21B97" w:rsidRPr="00903F4E" w:rsidRDefault="00000000" w:rsidP="00903F4E">
      <w:pPr>
        <w:spacing w:after="140" w:line="276" w:lineRule="auto"/>
        <w:jc w:val="both"/>
        <w:rPr>
          <w:rFonts w:cs="Times New Roman"/>
          <w:szCs w:val="24"/>
        </w:rPr>
      </w:pPr>
      <w:r w:rsidRPr="00903F4E">
        <w:rPr>
          <w:rFonts w:cs="Times New Roman"/>
          <w:szCs w:val="24"/>
        </w:rPr>
        <w:t>The EU AI Act, which entered application for high-risk AI systems including biometric identification in 2025–2026, represents the most significant regulatory development in the governance of FRT since GDPR. The Act's Annex III classifies 'real-time' and 'post' remote biometric identification systems as high-risk AI systems subject to Chapter III obligations including: (a) risk management systems; (b) data and data governance requirements mandating training data representativeness; (c) technical documentation; (d) transparency obligations; (e) human oversight measures; and (f) accuracy, robustness, and cybersecurity requirements.</w:t>
      </w:r>
    </w:p>
    <w:p w14:paraId="7BF5D72B" w14:textId="68EFCA5C" w:rsidR="00F21B97" w:rsidRPr="00903F4E" w:rsidRDefault="00000000" w:rsidP="00903F4E">
      <w:pPr>
        <w:spacing w:after="140" w:line="276" w:lineRule="auto"/>
        <w:jc w:val="both"/>
        <w:rPr>
          <w:rFonts w:cs="Times New Roman"/>
          <w:szCs w:val="24"/>
        </w:rPr>
      </w:pPr>
      <w:r w:rsidRPr="00903F4E">
        <w:rPr>
          <w:rFonts w:cs="Times New Roman"/>
          <w:szCs w:val="24"/>
        </w:rPr>
        <w:t>Article 15 of the EU AI Act specifically requires that high-risk AI systems achieve 'appropriate levels of accuracy, robustness, and cybersecurity.' Raji et al. (2025) interpret this as implicitly requiring demographic</w:t>
      </w:r>
      <w:r w:rsidR="00375FE2" w:rsidRPr="00903F4E">
        <w:rPr>
          <w:rFonts w:cs="Times New Roman"/>
          <w:szCs w:val="24"/>
        </w:rPr>
        <w:t xml:space="preserve"> </w:t>
      </w:r>
      <w:r w:rsidRPr="00903F4E">
        <w:rPr>
          <w:rFonts w:cs="Times New Roman"/>
          <w:szCs w:val="24"/>
        </w:rPr>
        <w:t>disaggregated accuracy reporting, since aggregate accuracy metrics are insufficient to establish that accuracy is 'appropriate' across all relevant demographic groups. This interpretation, if adopted by the European AI Office, would impose mandatory demographic performance reporting obligations across all FRT deployments in the EU.</w:t>
      </w:r>
    </w:p>
    <w:p w14:paraId="0ED4E2A6" w14:textId="0150DBB5" w:rsidR="00F21B97" w:rsidRPr="00903F4E" w:rsidRDefault="00000000" w:rsidP="00903F4E">
      <w:pPr>
        <w:spacing w:after="140" w:line="276" w:lineRule="auto"/>
        <w:jc w:val="both"/>
        <w:rPr>
          <w:rFonts w:cs="Times New Roman"/>
          <w:szCs w:val="24"/>
        </w:rPr>
      </w:pPr>
      <w:r w:rsidRPr="00903F4E">
        <w:rPr>
          <w:rFonts w:cs="Times New Roman"/>
          <w:szCs w:val="24"/>
        </w:rPr>
        <w:t xml:space="preserve">The enforcement mechanism is equally significant. Article 71 empowers competent authorities to order immediate suspension of non-compliant high-risk AI systems and to impose fines of up to €30 million or 6% of global annual turnover for serious violations. For organisations whose operations depend on biometric access control, authentication, or surveillance systems, </w:t>
      </w:r>
      <w:r w:rsidRPr="00903F4E">
        <w:rPr>
          <w:rFonts w:cs="Times New Roman"/>
          <w:szCs w:val="24"/>
        </w:rPr>
        <w:lastRenderedPageBreak/>
        <w:t>mandatory suspension represents an existential operational threat</w:t>
      </w:r>
      <w:r w:rsidR="00746CAE" w:rsidRPr="00903F4E">
        <w:rPr>
          <w:rFonts w:cs="Times New Roman"/>
          <w:szCs w:val="24"/>
        </w:rPr>
        <w:t>,</w:t>
      </w:r>
      <w:r w:rsidRPr="00903F4E">
        <w:rPr>
          <w:rFonts w:cs="Times New Roman"/>
          <w:szCs w:val="24"/>
        </w:rPr>
        <w:t xml:space="preserve"> a form of availability failure imposed by regulatory action rather than technical fault.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8776AB" w:rsidRPr="00903F4E" w14:paraId="779A5ABC" w14:textId="77777777" w:rsidTr="00C44135">
        <w:tc>
          <w:tcPr>
            <w:tcW w:w="9360" w:type="dxa"/>
            <w:tcMar>
              <w:top w:w="80" w:type="dxa"/>
              <w:left w:w="160" w:type="dxa"/>
              <w:bottom w:w="80" w:type="dxa"/>
              <w:right w:w="160" w:type="dxa"/>
            </w:tcMar>
          </w:tcPr>
          <w:p w14:paraId="1807A039" w14:textId="039FCBC3" w:rsidR="00F21B97" w:rsidRPr="00903F4E" w:rsidRDefault="00746CAE" w:rsidP="00903F4E">
            <w:pPr>
              <w:spacing w:line="276" w:lineRule="auto"/>
              <w:jc w:val="both"/>
              <w:rPr>
                <w:rFonts w:cs="Times New Roman"/>
                <w:szCs w:val="24"/>
              </w:rPr>
            </w:pPr>
            <w:r w:rsidRPr="00903F4E">
              <w:rPr>
                <w:rFonts w:cs="Times New Roman"/>
                <w:b/>
                <w:bCs/>
                <w:szCs w:val="24"/>
              </w:rPr>
              <w:t>Summary of EU AI Act Compliance Obligations for Biometric Systems</w:t>
            </w:r>
          </w:p>
        </w:tc>
      </w:tr>
      <w:tr w:rsidR="008776AB" w:rsidRPr="00903F4E" w14:paraId="14FB2BCF" w14:textId="77777777" w:rsidTr="00C44135">
        <w:tc>
          <w:tcPr>
            <w:tcW w:w="9360" w:type="dxa"/>
            <w:tcMar>
              <w:top w:w="60" w:type="dxa"/>
              <w:left w:w="160" w:type="dxa"/>
              <w:bottom w:w="60" w:type="dxa"/>
              <w:right w:w="160" w:type="dxa"/>
            </w:tcMar>
          </w:tcPr>
          <w:p w14:paraId="7797C8B1" w14:textId="77777777" w:rsidR="00F21B97" w:rsidRPr="00903F4E" w:rsidRDefault="00000000" w:rsidP="00903F4E">
            <w:pPr>
              <w:spacing w:after="60" w:line="276" w:lineRule="auto"/>
              <w:jc w:val="both"/>
              <w:rPr>
                <w:rFonts w:cs="Times New Roman"/>
                <w:szCs w:val="24"/>
              </w:rPr>
            </w:pPr>
            <w:r w:rsidRPr="00903F4E">
              <w:rPr>
                <w:rFonts w:cs="Times New Roman"/>
                <w:szCs w:val="24"/>
              </w:rPr>
              <w:t>High-Risk Classification: Remote biometric identification systems in publicly accessible spaces are classified as prohibited (real-time, law enforcement) or high-risk (post-remote, commercial). High-risk classification triggers Chapter III obligations.</w:t>
            </w:r>
          </w:p>
        </w:tc>
      </w:tr>
      <w:tr w:rsidR="008776AB" w:rsidRPr="00903F4E" w14:paraId="75BC48F6" w14:textId="77777777" w:rsidTr="00C44135">
        <w:tc>
          <w:tcPr>
            <w:tcW w:w="9360" w:type="dxa"/>
            <w:tcMar>
              <w:top w:w="60" w:type="dxa"/>
              <w:left w:w="160" w:type="dxa"/>
              <w:bottom w:w="60" w:type="dxa"/>
              <w:right w:w="160" w:type="dxa"/>
            </w:tcMar>
          </w:tcPr>
          <w:p w14:paraId="02CC6145" w14:textId="77777777" w:rsidR="00F21B97" w:rsidRPr="00903F4E" w:rsidRDefault="00000000" w:rsidP="00903F4E">
            <w:pPr>
              <w:spacing w:after="60" w:line="276" w:lineRule="auto"/>
              <w:jc w:val="both"/>
              <w:rPr>
                <w:rFonts w:cs="Times New Roman"/>
                <w:szCs w:val="24"/>
              </w:rPr>
            </w:pPr>
            <w:r w:rsidRPr="00903F4E">
              <w:rPr>
                <w:rFonts w:cs="Times New Roman"/>
                <w:szCs w:val="24"/>
              </w:rPr>
              <w:t>Data Governance (Art. 10): Training, validation, and testing data must be 'relevant, representative, free from errors and complete' with explicit attention to demographic coverage.</w:t>
            </w:r>
          </w:p>
        </w:tc>
      </w:tr>
      <w:tr w:rsidR="008776AB" w:rsidRPr="00903F4E" w14:paraId="0E694AF1" w14:textId="77777777" w:rsidTr="00C44135">
        <w:tc>
          <w:tcPr>
            <w:tcW w:w="9360" w:type="dxa"/>
            <w:tcMar>
              <w:top w:w="60" w:type="dxa"/>
              <w:left w:w="160" w:type="dxa"/>
              <w:bottom w:w="60" w:type="dxa"/>
              <w:right w:w="160" w:type="dxa"/>
            </w:tcMar>
          </w:tcPr>
          <w:p w14:paraId="53480EB6" w14:textId="77777777" w:rsidR="00F21B97" w:rsidRPr="00903F4E" w:rsidRDefault="00000000" w:rsidP="00903F4E">
            <w:pPr>
              <w:spacing w:after="60" w:line="276" w:lineRule="auto"/>
              <w:jc w:val="both"/>
              <w:rPr>
                <w:rFonts w:cs="Times New Roman"/>
                <w:szCs w:val="24"/>
              </w:rPr>
            </w:pPr>
            <w:r w:rsidRPr="00903F4E">
              <w:rPr>
                <w:rFonts w:cs="Times New Roman"/>
                <w:szCs w:val="24"/>
              </w:rPr>
              <w:t>Technical Documentation (Art. 11): Detailed documentation of training data demographics, algorithmic design, performance testing, and known limitations must be maintained and made available to authorities.</w:t>
            </w:r>
          </w:p>
        </w:tc>
      </w:tr>
      <w:tr w:rsidR="008776AB" w:rsidRPr="00903F4E" w14:paraId="7B149C9F" w14:textId="77777777" w:rsidTr="00C44135">
        <w:tc>
          <w:tcPr>
            <w:tcW w:w="9360" w:type="dxa"/>
            <w:tcMar>
              <w:top w:w="60" w:type="dxa"/>
              <w:left w:w="160" w:type="dxa"/>
              <w:bottom w:w="60" w:type="dxa"/>
              <w:right w:w="160" w:type="dxa"/>
            </w:tcMar>
          </w:tcPr>
          <w:p w14:paraId="786CA576" w14:textId="77777777" w:rsidR="00F21B97" w:rsidRPr="00903F4E" w:rsidRDefault="00000000" w:rsidP="00903F4E">
            <w:pPr>
              <w:spacing w:after="60" w:line="276" w:lineRule="auto"/>
              <w:jc w:val="both"/>
              <w:rPr>
                <w:rFonts w:cs="Times New Roman"/>
                <w:szCs w:val="24"/>
              </w:rPr>
            </w:pPr>
            <w:r w:rsidRPr="00903F4E">
              <w:rPr>
                <w:rFonts w:cs="Times New Roman"/>
                <w:szCs w:val="24"/>
              </w:rPr>
              <w:t>Accuracy Reporting (Art. 15): Systems must achieve consistent accuracy across 'relevant population groups.' Failure to disaggregate accuracy reporting by demographic group creates a presumptive compliance gap.</w:t>
            </w:r>
          </w:p>
        </w:tc>
      </w:tr>
      <w:tr w:rsidR="008776AB" w:rsidRPr="00903F4E" w14:paraId="29FD5DFC" w14:textId="77777777" w:rsidTr="00C44135">
        <w:tc>
          <w:tcPr>
            <w:tcW w:w="9360" w:type="dxa"/>
            <w:tcMar>
              <w:top w:w="60" w:type="dxa"/>
              <w:left w:w="160" w:type="dxa"/>
              <w:bottom w:w="60" w:type="dxa"/>
              <w:right w:w="160" w:type="dxa"/>
            </w:tcMar>
          </w:tcPr>
          <w:p w14:paraId="60C96A3C" w14:textId="68380A32" w:rsidR="00F21B97" w:rsidRPr="00903F4E" w:rsidRDefault="00000000" w:rsidP="00903F4E">
            <w:pPr>
              <w:spacing w:after="60" w:line="276" w:lineRule="auto"/>
              <w:jc w:val="both"/>
              <w:rPr>
                <w:rFonts w:cs="Times New Roman"/>
                <w:szCs w:val="24"/>
              </w:rPr>
            </w:pPr>
            <w:r w:rsidRPr="00903F4E">
              <w:rPr>
                <w:rFonts w:cs="Times New Roman"/>
                <w:szCs w:val="24"/>
              </w:rPr>
              <w:t>Conformity Assessment (Art. 43): High-risk systems require a conformity assessment</w:t>
            </w:r>
            <w:r w:rsidR="00746CAE" w:rsidRPr="00903F4E">
              <w:rPr>
                <w:rFonts w:cs="Times New Roman"/>
                <w:szCs w:val="24"/>
              </w:rPr>
              <w:t>,</w:t>
            </w:r>
            <w:r w:rsidRPr="00903F4E">
              <w:rPr>
                <w:rFonts w:cs="Times New Roman"/>
                <w:szCs w:val="24"/>
              </w:rPr>
              <w:t xml:space="preserve"> either self-assessed (Annex VI) or third-party (Annex VII)</w:t>
            </w:r>
            <w:r w:rsidR="00746CAE" w:rsidRPr="00903F4E">
              <w:rPr>
                <w:rFonts w:cs="Times New Roman"/>
                <w:szCs w:val="24"/>
              </w:rPr>
              <w:t>,</w:t>
            </w:r>
            <w:r w:rsidRPr="00903F4E">
              <w:rPr>
                <w:rFonts w:cs="Times New Roman"/>
                <w:szCs w:val="24"/>
              </w:rPr>
              <w:t xml:space="preserve"> before market placement.</w:t>
            </w:r>
          </w:p>
        </w:tc>
      </w:tr>
      <w:tr w:rsidR="008776AB" w:rsidRPr="00903F4E" w14:paraId="647E4283" w14:textId="77777777" w:rsidTr="00C44135">
        <w:tc>
          <w:tcPr>
            <w:tcW w:w="9360" w:type="dxa"/>
            <w:tcMar>
              <w:top w:w="60" w:type="dxa"/>
              <w:left w:w="160" w:type="dxa"/>
              <w:bottom w:w="60" w:type="dxa"/>
              <w:right w:w="160" w:type="dxa"/>
            </w:tcMar>
          </w:tcPr>
          <w:p w14:paraId="780B4C62" w14:textId="77777777" w:rsidR="00F21B97" w:rsidRPr="00903F4E" w:rsidRDefault="00000000" w:rsidP="00903F4E">
            <w:pPr>
              <w:spacing w:after="60" w:line="276" w:lineRule="auto"/>
              <w:jc w:val="both"/>
              <w:rPr>
                <w:rFonts w:cs="Times New Roman"/>
                <w:szCs w:val="24"/>
              </w:rPr>
            </w:pPr>
            <w:r w:rsidRPr="00903F4E">
              <w:rPr>
                <w:rFonts w:cs="Times New Roman"/>
                <w:szCs w:val="24"/>
              </w:rPr>
              <w:t>Fines: Up to €30 million or 6% global annual turnover for intentional or negligent non-compliance.</w:t>
            </w:r>
          </w:p>
        </w:tc>
      </w:tr>
    </w:tbl>
    <w:p w14:paraId="258EBD0C" w14:textId="77777777" w:rsidR="00F21B97" w:rsidRPr="00903F4E" w:rsidRDefault="00000000" w:rsidP="00903F4E">
      <w:pPr>
        <w:pStyle w:val="Heading2"/>
        <w:spacing w:line="276" w:lineRule="auto"/>
        <w:jc w:val="both"/>
        <w:rPr>
          <w:rFonts w:cs="Times New Roman"/>
          <w:szCs w:val="24"/>
        </w:rPr>
      </w:pPr>
      <w:bookmarkStart w:id="22" w:name="_Toc226740475"/>
      <w:r w:rsidRPr="00903F4E">
        <w:rPr>
          <w:rFonts w:cs="Times New Roman"/>
          <w:szCs w:val="24"/>
        </w:rPr>
        <w:t>5.4 Financial and Reputational Risk</w:t>
      </w:r>
      <w:bookmarkEnd w:id="22"/>
    </w:p>
    <w:p w14:paraId="6FF7375E" w14:textId="5C5FDE69" w:rsidR="00F21B97" w:rsidRPr="00903F4E" w:rsidRDefault="00000000" w:rsidP="00903F4E">
      <w:pPr>
        <w:spacing w:after="140" w:line="276" w:lineRule="auto"/>
        <w:jc w:val="both"/>
        <w:rPr>
          <w:rFonts w:cs="Times New Roman"/>
          <w:szCs w:val="24"/>
        </w:rPr>
      </w:pPr>
      <w:r w:rsidRPr="00903F4E">
        <w:rPr>
          <w:rFonts w:cs="Times New Roman"/>
          <w:szCs w:val="24"/>
        </w:rPr>
        <w:t xml:space="preserve">The financial risk dimensions of biometric bias are substantial and increasingly quantifiable. Smith (2026) reports that the median settlement value of wrongful-detention FRT cases in the United States tripled between 2022 and 2025, with several individual cases settling for amounts </w:t>
      </w:r>
      <w:proofErr w:type="gramStart"/>
      <w:r w:rsidRPr="00903F4E">
        <w:rPr>
          <w:rFonts w:cs="Times New Roman"/>
          <w:szCs w:val="24"/>
        </w:rPr>
        <w:t>in excess of</w:t>
      </w:r>
      <w:proofErr w:type="gramEnd"/>
      <w:r w:rsidRPr="00903F4E">
        <w:rPr>
          <w:rFonts w:cs="Times New Roman"/>
          <w:szCs w:val="24"/>
        </w:rPr>
        <w:t xml:space="preserve"> USD $1 million. In the United Kingdom, the Court of Appeal's judgment in Bridges v Chief Constable of South Wales Police established that automated facial recognition deployments may violate Article 8 of the European Convention on Human Rights</w:t>
      </w:r>
      <w:r w:rsidR="00375FE2" w:rsidRPr="00903F4E">
        <w:rPr>
          <w:rFonts w:cs="Times New Roman"/>
          <w:szCs w:val="24"/>
        </w:rPr>
        <w:t xml:space="preserve">, </w:t>
      </w:r>
      <w:r w:rsidRPr="00903F4E">
        <w:rPr>
          <w:rFonts w:cs="Times New Roman"/>
          <w:szCs w:val="24"/>
        </w:rPr>
        <w:t>right to private life</w:t>
      </w:r>
      <w:r w:rsidR="00375FE2" w:rsidRPr="00903F4E">
        <w:rPr>
          <w:rFonts w:cs="Times New Roman"/>
          <w:szCs w:val="24"/>
        </w:rPr>
        <w:t>,</w:t>
      </w:r>
      <w:r w:rsidRPr="00903F4E">
        <w:rPr>
          <w:rFonts w:cs="Times New Roman"/>
          <w:szCs w:val="24"/>
        </w:rPr>
        <w:t xml:space="preserve"> without adequate safeguards, opening a class of public-law claims that extends beyond individual damages to systemic injunctive relief.</w:t>
      </w:r>
    </w:p>
    <w:p w14:paraId="7A141252" w14:textId="12E9A6A5" w:rsidR="00F21B97" w:rsidRPr="00903F4E" w:rsidRDefault="00000000" w:rsidP="00903F4E">
      <w:pPr>
        <w:spacing w:after="140" w:line="276" w:lineRule="auto"/>
        <w:jc w:val="both"/>
        <w:rPr>
          <w:rFonts w:cs="Times New Roman"/>
          <w:szCs w:val="24"/>
        </w:rPr>
      </w:pPr>
      <w:r w:rsidRPr="00903F4E">
        <w:rPr>
          <w:rFonts w:cs="Times New Roman"/>
          <w:szCs w:val="24"/>
        </w:rPr>
        <w:t>For commercial entities deploying FRT in retail, finance, or employment contexts, the reputational risk is amplified by the social media information environment. Davis et al. (2025), in their analysis of cybersecurity discourse dynamics in financial institutions, demonstrate that AI-related incidents</w:t>
      </w:r>
      <w:r w:rsidR="00746CAE" w:rsidRPr="00903F4E">
        <w:rPr>
          <w:rFonts w:cs="Times New Roman"/>
          <w:szCs w:val="24"/>
        </w:rPr>
        <w:t>,</w:t>
      </w:r>
      <w:r w:rsidRPr="00903F4E">
        <w:rPr>
          <w:rFonts w:cs="Times New Roman"/>
          <w:szCs w:val="24"/>
        </w:rPr>
        <w:t xml:space="preserve"> including biometric failures</w:t>
      </w:r>
      <w:r w:rsidR="00152A24" w:rsidRPr="00903F4E">
        <w:rPr>
          <w:rFonts w:cs="Times New Roman"/>
          <w:szCs w:val="24"/>
        </w:rPr>
        <w:t>,</w:t>
      </w:r>
      <w:r w:rsidRPr="00903F4E">
        <w:rPr>
          <w:rFonts w:cs="Times New Roman"/>
          <w:szCs w:val="24"/>
        </w:rPr>
        <w:t xml:space="preserve"> generate disproportionately large negative coverage relative to equivalent technical failures in non-AI contexts, reflecting elevated public sensitivity to algorithmic decision-making in identity-related processes. The implication is that the reputational damage cost of a single high-profile FRT misidentification incident may substantially exceed the direct financial cost of the incident itself.</w:t>
      </w:r>
    </w:p>
    <w:p w14:paraId="6F0FD9AF"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4E1EFF31" w14:textId="77777777" w:rsidR="00F21B97" w:rsidRPr="00903F4E" w:rsidRDefault="00000000" w:rsidP="00903F4E">
      <w:pPr>
        <w:pStyle w:val="Heading1"/>
        <w:spacing w:line="276" w:lineRule="auto"/>
        <w:jc w:val="both"/>
        <w:rPr>
          <w:rFonts w:cs="Times New Roman"/>
          <w:szCs w:val="24"/>
        </w:rPr>
      </w:pPr>
      <w:bookmarkStart w:id="23" w:name="_Toc226740476"/>
      <w:r w:rsidRPr="00903F4E">
        <w:rPr>
          <w:rFonts w:cs="Times New Roman"/>
          <w:szCs w:val="24"/>
        </w:rPr>
        <w:lastRenderedPageBreak/>
        <w:t>6. Ethical Framework</w:t>
      </w:r>
      <w:bookmarkEnd w:id="23"/>
    </w:p>
    <w:p w14:paraId="1630D4F1" w14:textId="77777777" w:rsidR="00F21B97" w:rsidRPr="00903F4E" w:rsidRDefault="00000000" w:rsidP="00903F4E">
      <w:pPr>
        <w:pStyle w:val="Heading2"/>
        <w:spacing w:line="276" w:lineRule="auto"/>
        <w:jc w:val="both"/>
        <w:rPr>
          <w:rFonts w:cs="Times New Roman"/>
          <w:szCs w:val="24"/>
        </w:rPr>
      </w:pPr>
      <w:bookmarkStart w:id="24" w:name="_Toc226740477"/>
      <w:r w:rsidRPr="00903F4E">
        <w:rPr>
          <w:rFonts w:cs="Times New Roman"/>
          <w:szCs w:val="24"/>
        </w:rPr>
        <w:t>6.1 Surveillance Ethics and Structural Inequity</w:t>
      </w:r>
      <w:bookmarkEnd w:id="24"/>
    </w:p>
    <w:p w14:paraId="6A65E8BB" w14:textId="45780A19" w:rsidR="00F21B97" w:rsidRPr="00903F4E" w:rsidRDefault="00000000" w:rsidP="00903F4E">
      <w:pPr>
        <w:spacing w:after="140" w:line="276" w:lineRule="auto"/>
        <w:jc w:val="both"/>
        <w:rPr>
          <w:rFonts w:cs="Times New Roman"/>
          <w:szCs w:val="24"/>
        </w:rPr>
      </w:pPr>
      <w:r w:rsidRPr="00903F4E">
        <w:rPr>
          <w:rFonts w:cs="Times New Roman"/>
          <w:szCs w:val="24"/>
        </w:rPr>
        <w:t>The ethical analysis of FRT bias cannot be confined to the technical domain of algorithmic performance without engaging the broader social and political context in which these systems are deployed. Biometric surveillance is not a neutral technological application; it is a form of social control whose accuracy failures do not occur randomly but along the grooves of existing social inequalities. Albu and Hansen (2021) theorise this as 'algorithmic governmentality'</w:t>
      </w:r>
      <w:r w:rsidR="00152A24" w:rsidRPr="00903F4E">
        <w:rPr>
          <w:rFonts w:cs="Times New Roman"/>
          <w:szCs w:val="24"/>
        </w:rPr>
        <w:t>,</w:t>
      </w:r>
      <w:r w:rsidRPr="00903F4E">
        <w:rPr>
          <w:rFonts w:cs="Times New Roman"/>
          <w:szCs w:val="24"/>
        </w:rPr>
        <w:t xml:space="preserve"> the delegation of identity adjudication to algorithmic systems that simultaneously embody and reinforce the social hierarchies encoded in their training data.</w:t>
      </w:r>
    </w:p>
    <w:p w14:paraId="629E3D33" w14:textId="7DA7D72F" w:rsidR="00F21B97" w:rsidRPr="00903F4E" w:rsidRDefault="00000000" w:rsidP="00903F4E">
      <w:pPr>
        <w:spacing w:after="140" w:line="276" w:lineRule="auto"/>
        <w:jc w:val="both"/>
        <w:rPr>
          <w:rFonts w:cs="Times New Roman"/>
          <w:szCs w:val="24"/>
        </w:rPr>
      </w:pPr>
      <w:r w:rsidRPr="00903F4E">
        <w:rPr>
          <w:rFonts w:cs="Times New Roman"/>
          <w:szCs w:val="24"/>
        </w:rPr>
        <w:t xml:space="preserve">The structural dimension of FRT bias is most sharply illustrated by its deployment patterns. </w:t>
      </w:r>
      <w:proofErr w:type="spellStart"/>
      <w:r w:rsidRPr="00903F4E">
        <w:rPr>
          <w:rFonts w:cs="Times New Roman"/>
          <w:szCs w:val="24"/>
        </w:rPr>
        <w:t>Hofwitz</w:t>
      </w:r>
      <w:proofErr w:type="spellEnd"/>
      <w:r w:rsidRPr="00903F4E">
        <w:rPr>
          <w:rFonts w:cs="Times New Roman"/>
          <w:szCs w:val="24"/>
        </w:rPr>
        <w:t xml:space="preserve"> (2024) documents that UK police FRT deployments are concentrated in areas with high proportions of Black, Asian, and minority ethnic residents</w:t>
      </w:r>
      <w:r w:rsidR="00152A24" w:rsidRPr="00903F4E">
        <w:rPr>
          <w:rFonts w:cs="Times New Roman"/>
          <w:szCs w:val="24"/>
        </w:rPr>
        <w:t>,</w:t>
      </w:r>
      <w:r w:rsidRPr="00903F4E">
        <w:rPr>
          <w:rFonts w:cs="Times New Roman"/>
          <w:szCs w:val="24"/>
        </w:rPr>
        <w:t xml:space="preserve"> the demographic groups for whom the deployed systems have the highest documented error rates. This creates a structural feedback loop: the populations subjected to the most surveillance are simultaneously the populations most likely to be misidentified. The security implications are severe: for law enforcement specifically, the deployment of a biased identification tool in a context that amplifies its worst-case performance does not merely fail to enhance security</w:t>
      </w:r>
      <w:r w:rsidR="00152A24" w:rsidRPr="00903F4E">
        <w:rPr>
          <w:rFonts w:cs="Times New Roman"/>
          <w:szCs w:val="24"/>
        </w:rPr>
        <w:t>,</w:t>
      </w:r>
      <w:r w:rsidRPr="00903F4E">
        <w:rPr>
          <w:rFonts w:cs="Times New Roman"/>
          <w:szCs w:val="24"/>
        </w:rPr>
        <w:t xml:space="preserve"> it actively undermines it by generating false leads, misallocating investigative resources, and eroding community trust.</w:t>
      </w:r>
    </w:p>
    <w:p w14:paraId="6B9EC39D" w14:textId="7383468B" w:rsidR="00F21B97" w:rsidRPr="00903F4E" w:rsidRDefault="00000000" w:rsidP="00903F4E">
      <w:pPr>
        <w:spacing w:after="140" w:line="276" w:lineRule="auto"/>
        <w:jc w:val="both"/>
        <w:rPr>
          <w:rFonts w:cs="Times New Roman"/>
          <w:szCs w:val="24"/>
        </w:rPr>
      </w:pPr>
      <w:r w:rsidRPr="00903F4E">
        <w:rPr>
          <w:rFonts w:cs="Times New Roman"/>
          <w:szCs w:val="24"/>
        </w:rPr>
        <w:t>The EU AI Act's explicit prohibition on real-time remote biometric identification in publicly accessible spaces for law enforcement purposes</w:t>
      </w:r>
      <w:r w:rsidR="006812F1" w:rsidRPr="00903F4E">
        <w:rPr>
          <w:rFonts w:cs="Times New Roman"/>
          <w:szCs w:val="24"/>
        </w:rPr>
        <w:t xml:space="preserve">, </w:t>
      </w:r>
      <w:r w:rsidRPr="00903F4E">
        <w:rPr>
          <w:rFonts w:cs="Times New Roman"/>
          <w:szCs w:val="24"/>
        </w:rPr>
        <w:t>with narrow exceptions</w:t>
      </w:r>
      <w:r w:rsidR="006812F1" w:rsidRPr="00903F4E">
        <w:rPr>
          <w:rFonts w:cs="Times New Roman"/>
          <w:szCs w:val="24"/>
        </w:rPr>
        <w:t>,</w:t>
      </w:r>
      <w:r w:rsidRPr="00903F4E">
        <w:rPr>
          <w:rFonts w:cs="Times New Roman"/>
          <w:szCs w:val="24"/>
        </w:rPr>
        <w:t xml:space="preserve"> reflects a legislative judgement that the ethical and societal risks of mass biometric surveillance are not adequately mitigated by current algorithmic accuracy levels. This prohibition can be understood as a precautionary principle applied to high-stakes identification</w:t>
      </w:r>
      <w:r w:rsidR="00152A24" w:rsidRPr="00903F4E">
        <w:rPr>
          <w:rFonts w:cs="Times New Roman"/>
          <w:szCs w:val="24"/>
        </w:rPr>
        <w:t>,</w:t>
      </w:r>
      <w:r w:rsidRPr="00903F4E">
        <w:rPr>
          <w:rFonts w:cs="Times New Roman"/>
          <w:szCs w:val="24"/>
        </w:rPr>
        <w:t xml:space="preserve"> a recognition that the asymmetric burden of false positives on specific demographic groups constitutes an unacceptable systemic injustice.</w:t>
      </w:r>
    </w:p>
    <w:p w14:paraId="44C34211" w14:textId="77777777" w:rsidR="00F21B97" w:rsidRPr="00903F4E" w:rsidRDefault="00000000" w:rsidP="00903F4E">
      <w:pPr>
        <w:pStyle w:val="Heading2"/>
        <w:spacing w:line="276" w:lineRule="auto"/>
        <w:jc w:val="both"/>
        <w:rPr>
          <w:rFonts w:cs="Times New Roman"/>
          <w:szCs w:val="24"/>
        </w:rPr>
      </w:pPr>
      <w:bookmarkStart w:id="25" w:name="_Toc226740478"/>
      <w:r w:rsidRPr="00903F4E">
        <w:rPr>
          <w:rFonts w:cs="Times New Roman"/>
          <w:szCs w:val="24"/>
        </w:rPr>
        <w:t>6.2 Due Process, Wrongful Identification, and Accountability</w:t>
      </w:r>
      <w:bookmarkEnd w:id="25"/>
    </w:p>
    <w:p w14:paraId="11CA4C89" w14:textId="648E4F08" w:rsidR="00F21B97" w:rsidRPr="00903F4E" w:rsidRDefault="00000000" w:rsidP="00903F4E">
      <w:pPr>
        <w:spacing w:after="140" w:line="276" w:lineRule="auto"/>
        <w:jc w:val="both"/>
        <w:rPr>
          <w:rFonts w:cs="Times New Roman"/>
          <w:szCs w:val="24"/>
        </w:rPr>
      </w:pPr>
      <w:r w:rsidRPr="00903F4E">
        <w:rPr>
          <w:rFonts w:cs="Times New Roman"/>
          <w:szCs w:val="24"/>
        </w:rPr>
        <w:t>The wrongful identification problem sits at the intersection of technical failure and fundamental rights. When a biometric system produces a false positive</w:t>
      </w:r>
      <w:r w:rsidR="00152A24" w:rsidRPr="00903F4E">
        <w:rPr>
          <w:rFonts w:cs="Times New Roman"/>
          <w:szCs w:val="24"/>
        </w:rPr>
        <w:t>,</w:t>
      </w:r>
      <w:r w:rsidRPr="00903F4E">
        <w:rPr>
          <w:rFonts w:cs="Times New Roman"/>
          <w:szCs w:val="24"/>
        </w:rPr>
        <w:t xml:space="preserve"> matching an innocent person to a criminal record</w:t>
      </w:r>
      <w:r w:rsidR="00152A24" w:rsidRPr="00903F4E">
        <w:rPr>
          <w:rFonts w:cs="Times New Roman"/>
          <w:szCs w:val="24"/>
        </w:rPr>
        <w:t>,</w:t>
      </w:r>
      <w:r w:rsidRPr="00903F4E">
        <w:rPr>
          <w:rFonts w:cs="Times New Roman"/>
          <w:szCs w:val="24"/>
        </w:rPr>
        <w:t xml:space="preserve"> and that match is used as the basis for detention, arrest, or adverse administrative action, a cascade of due process violations can follow. </w:t>
      </w:r>
      <w:proofErr w:type="spellStart"/>
      <w:r w:rsidRPr="00903F4E">
        <w:rPr>
          <w:rFonts w:cs="Times New Roman"/>
          <w:szCs w:val="24"/>
        </w:rPr>
        <w:t>Kagda</w:t>
      </w:r>
      <w:proofErr w:type="spellEnd"/>
      <w:r w:rsidRPr="00903F4E">
        <w:rPr>
          <w:rFonts w:cs="Times New Roman"/>
          <w:szCs w:val="24"/>
        </w:rPr>
        <w:t xml:space="preserve"> (2024) maps this cascade against the international human rights framework: Article 9 of the ICCPR (prohibition of arbitrary detention), Article 14 (right to fair trial), and Article 2 (equality before the law) are all potentially engaged by a wrongful detention predicated on a biased biometric match.</w:t>
      </w:r>
    </w:p>
    <w:p w14:paraId="18E6ECC1" w14:textId="77777777" w:rsidR="00F21B97" w:rsidRPr="00903F4E" w:rsidRDefault="00000000" w:rsidP="00903F4E">
      <w:pPr>
        <w:spacing w:after="140" w:line="276" w:lineRule="auto"/>
        <w:jc w:val="both"/>
        <w:rPr>
          <w:rFonts w:cs="Times New Roman"/>
          <w:szCs w:val="24"/>
        </w:rPr>
      </w:pPr>
      <w:r w:rsidRPr="00903F4E">
        <w:rPr>
          <w:rFonts w:cs="Times New Roman"/>
          <w:szCs w:val="24"/>
        </w:rPr>
        <w:t xml:space="preserve">The accountability deficit documented in the literature is particularly troubling. Mesch and Lam (2025) find that in the majority of documented wrongful identification incidents, the affected individual was not informed that facial recognition was used in the identification process, could not access the demographic performance data for the specific algorithm version employed, and had no recourse to challenge the algorithmic determination through any administrative process prior to detention or adverse action. This accountability vacuum contradicts the right of </w:t>
      </w:r>
      <w:r w:rsidRPr="00903F4E">
        <w:rPr>
          <w:rFonts w:cs="Times New Roman"/>
          <w:szCs w:val="24"/>
        </w:rPr>
        <w:lastRenderedPageBreak/>
        <w:t>individuals to challenge automated decisions affecting them, a right explicitly protected by GDPR Article 22 and the EU AI Act's human oversight requirements.</w:t>
      </w:r>
    </w:p>
    <w:p w14:paraId="6E155871" w14:textId="3C7DC8FA" w:rsidR="00F21B97" w:rsidRPr="00903F4E" w:rsidRDefault="00000000" w:rsidP="00903F4E">
      <w:pPr>
        <w:spacing w:after="140" w:line="276" w:lineRule="auto"/>
        <w:jc w:val="both"/>
        <w:rPr>
          <w:rFonts w:cs="Times New Roman"/>
          <w:szCs w:val="24"/>
        </w:rPr>
      </w:pPr>
      <w:r w:rsidRPr="00903F4E">
        <w:rPr>
          <w:rFonts w:cs="Times New Roman"/>
          <w:szCs w:val="24"/>
        </w:rPr>
        <w:t>The development of an effective accountability structure requires what Raji et al. (2025) term 'audit trails with demographic granularity'</w:t>
      </w:r>
      <w:r w:rsidR="00152A24" w:rsidRPr="00903F4E">
        <w:rPr>
          <w:rFonts w:cs="Times New Roman"/>
          <w:szCs w:val="24"/>
        </w:rPr>
        <w:t>,</w:t>
      </w:r>
      <w:r w:rsidRPr="00903F4E">
        <w:rPr>
          <w:rFonts w:cs="Times New Roman"/>
          <w:szCs w:val="24"/>
        </w:rPr>
        <w:t xml:space="preserve"> systematic logging of every FRT-based identification decision, with associated algorithmic confidence scores, demographic metadata for the enrolled population, and the demographic performance characteristics of the algorithm version used. Such audit trails would enable: (a) individuals to exercise subject access rights; (b) regulators to conduct retrospective audits; and (c) organisations to detect emerging bias patterns before they produce large-scale harms.</w:t>
      </w:r>
    </w:p>
    <w:p w14:paraId="43EEC6F6" w14:textId="6A2DAA2F" w:rsidR="00F21B97" w:rsidRPr="00903F4E" w:rsidRDefault="00000000" w:rsidP="00903F4E">
      <w:pPr>
        <w:pStyle w:val="Heading2"/>
        <w:spacing w:line="276" w:lineRule="auto"/>
        <w:jc w:val="both"/>
        <w:rPr>
          <w:rFonts w:cs="Times New Roman"/>
          <w:szCs w:val="24"/>
        </w:rPr>
      </w:pPr>
      <w:bookmarkStart w:id="26" w:name="_Toc226740479"/>
      <w:r w:rsidRPr="00903F4E">
        <w:rPr>
          <w:rFonts w:cs="Times New Roman"/>
          <w:szCs w:val="24"/>
        </w:rPr>
        <w:t>6.3 The Fairness</w:t>
      </w:r>
      <w:r w:rsidR="006812F1" w:rsidRPr="00903F4E">
        <w:rPr>
          <w:rFonts w:cs="Times New Roman"/>
          <w:szCs w:val="24"/>
        </w:rPr>
        <w:t xml:space="preserve">: </w:t>
      </w:r>
      <w:r w:rsidRPr="00903F4E">
        <w:rPr>
          <w:rFonts w:cs="Times New Roman"/>
          <w:szCs w:val="24"/>
        </w:rPr>
        <w:t>Privacy Paradox</w:t>
      </w:r>
      <w:bookmarkEnd w:id="26"/>
    </w:p>
    <w:p w14:paraId="3A539206" w14:textId="18DA3438" w:rsidR="00F21B97" w:rsidRPr="00903F4E" w:rsidRDefault="00000000" w:rsidP="00903F4E">
      <w:pPr>
        <w:spacing w:after="140" w:line="276" w:lineRule="auto"/>
        <w:jc w:val="both"/>
        <w:rPr>
          <w:rFonts w:cs="Times New Roman"/>
          <w:szCs w:val="24"/>
        </w:rPr>
      </w:pPr>
      <w:r w:rsidRPr="00903F4E">
        <w:rPr>
          <w:rFonts w:cs="Times New Roman"/>
          <w:szCs w:val="24"/>
        </w:rPr>
        <w:t>A significant ethical tension identified in the literature concerns the relationship between fairness and privacy in biometric systems. Achieving demographic fairness</w:t>
      </w:r>
      <w:r w:rsidR="00152A24" w:rsidRPr="00903F4E">
        <w:rPr>
          <w:rFonts w:cs="Times New Roman"/>
          <w:szCs w:val="24"/>
        </w:rPr>
        <w:t>,</w:t>
      </w:r>
      <w:r w:rsidRPr="00903F4E">
        <w:rPr>
          <w:rFonts w:cs="Times New Roman"/>
          <w:szCs w:val="24"/>
        </w:rPr>
        <w:t xml:space="preserve"> in the sense of accurate, disaggregated performance across demographic subgroups</w:t>
      </w:r>
      <w:r w:rsidR="00152A24" w:rsidRPr="00903F4E">
        <w:rPr>
          <w:rFonts w:cs="Times New Roman"/>
          <w:szCs w:val="24"/>
        </w:rPr>
        <w:t>,</w:t>
      </w:r>
      <w:r w:rsidRPr="00903F4E">
        <w:rPr>
          <w:rFonts w:cs="Times New Roman"/>
          <w:szCs w:val="24"/>
        </w:rPr>
        <w:t xml:space="preserve"> requires collecting and processing demographic data about system users and subjects. Yet the collection of racial and gender data from biometric system subjects raises its own profound privacy and data protection concerns, including the sensitivity of ethnic origin data under GDPR Article 9 and the potential for demographic data to be repurposed for surveillance or discriminatory profiling.</w:t>
      </w:r>
    </w:p>
    <w:p w14:paraId="3315D509" w14:textId="00A4F0DA" w:rsidR="00F21B97" w:rsidRPr="00903F4E" w:rsidRDefault="00000000" w:rsidP="00903F4E">
      <w:pPr>
        <w:spacing w:after="140" w:line="276" w:lineRule="auto"/>
        <w:jc w:val="both"/>
        <w:rPr>
          <w:rFonts w:cs="Times New Roman"/>
          <w:szCs w:val="24"/>
        </w:rPr>
      </w:pPr>
      <w:r w:rsidRPr="00903F4E">
        <w:rPr>
          <w:rFonts w:cs="Times New Roman"/>
          <w:szCs w:val="24"/>
        </w:rPr>
        <w:t>Zarei et al. (2025) examine this tension in the context of differential privacy mechanisms, finding that adding privacy-preserving noise to protect individual demographic data</w:t>
      </w:r>
      <w:r w:rsidR="00152A24" w:rsidRPr="00903F4E">
        <w:rPr>
          <w:rFonts w:cs="Times New Roman"/>
          <w:szCs w:val="24"/>
        </w:rPr>
        <w:t>,</w:t>
      </w:r>
      <w:r w:rsidRPr="00903F4E">
        <w:rPr>
          <w:rFonts w:cs="Times New Roman"/>
          <w:szCs w:val="24"/>
        </w:rPr>
        <w:t xml:space="preserve"> a technically sound privacy measure</w:t>
      </w:r>
      <w:r w:rsidR="00152A24" w:rsidRPr="00903F4E">
        <w:rPr>
          <w:rFonts w:cs="Times New Roman"/>
          <w:szCs w:val="24"/>
        </w:rPr>
        <w:t>,</w:t>
      </w:r>
      <w:r w:rsidRPr="00903F4E">
        <w:rPr>
          <w:rFonts w:cs="Times New Roman"/>
          <w:szCs w:val="24"/>
        </w:rPr>
        <w:t xml:space="preserve"> paradoxically increases demographic parity violations by degrading the quality of the minority-group training signal more severely than the majority-group signal. This 'fairness–privacy paradox' has no easy resolution and represents a genuinely contested ethical terrain where different foundational value commitments produce different policy preferences.</w:t>
      </w:r>
    </w:p>
    <w:p w14:paraId="679A807A" w14:textId="5DA045F2" w:rsidR="00F21B97" w:rsidRPr="00903F4E" w:rsidRDefault="00000000" w:rsidP="00903F4E">
      <w:pPr>
        <w:spacing w:after="140" w:line="276" w:lineRule="auto"/>
        <w:jc w:val="both"/>
        <w:rPr>
          <w:rFonts w:cs="Times New Roman"/>
          <w:szCs w:val="24"/>
        </w:rPr>
      </w:pPr>
      <w:r w:rsidRPr="00903F4E">
        <w:rPr>
          <w:rFonts w:cs="Times New Roman"/>
          <w:szCs w:val="24"/>
        </w:rPr>
        <w:t>This study takes the position that the resolution of the fairness–privacy paradox requires institutional rather than purely technical solutions. Privacy-preserving fairness auditing</w:t>
      </w:r>
      <w:r w:rsidR="00152A24" w:rsidRPr="00903F4E">
        <w:rPr>
          <w:rFonts w:cs="Times New Roman"/>
          <w:szCs w:val="24"/>
        </w:rPr>
        <w:t>,</w:t>
      </w:r>
      <w:r w:rsidRPr="00903F4E">
        <w:rPr>
          <w:rFonts w:cs="Times New Roman"/>
          <w:szCs w:val="24"/>
        </w:rPr>
        <w:t xml:space="preserve"> conducted by independent third parties with appropriate data handling obligations, producing aggregate fairness metrics without individual demographic disclosure</w:t>
      </w:r>
      <w:r w:rsidR="00152A24" w:rsidRPr="00903F4E">
        <w:rPr>
          <w:rFonts w:cs="Times New Roman"/>
          <w:szCs w:val="24"/>
        </w:rPr>
        <w:t>,</w:t>
      </w:r>
      <w:r w:rsidRPr="00903F4E">
        <w:rPr>
          <w:rFonts w:cs="Times New Roman"/>
          <w:szCs w:val="24"/>
        </w:rPr>
        <w:t xml:space="preserve"> represents a practical pathway that can satisfy both imperatives without fully compromising either. The CISO Audit Framework proposed in Chapter 7 incorporates this model.</w:t>
      </w:r>
    </w:p>
    <w:p w14:paraId="2D3FA9BB"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7E5F2380" w14:textId="77777777" w:rsidR="00F21B97" w:rsidRPr="00903F4E" w:rsidRDefault="00000000" w:rsidP="00903F4E">
      <w:pPr>
        <w:pStyle w:val="Heading1"/>
        <w:spacing w:line="276" w:lineRule="auto"/>
        <w:jc w:val="both"/>
        <w:rPr>
          <w:rFonts w:cs="Times New Roman"/>
          <w:szCs w:val="24"/>
        </w:rPr>
      </w:pPr>
      <w:bookmarkStart w:id="27" w:name="_Toc226740480"/>
      <w:r w:rsidRPr="00903F4E">
        <w:rPr>
          <w:rFonts w:cs="Times New Roman"/>
          <w:szCs w:val="24"/>
        </w:rPr>
        <w:lastRenderedPageBreak/>
        <w:t>7. Policy Recommendations: CISO Biometric Vendor Audit Framework</w:t>
      </w:r>
      <w:bookmarkEnd w:id="27"/>
    </w:p>
    <w:p w14:paraId="22E1EB06" w14:textId="77777777" w:rsidR="00F21B97" w:rsidRPr="00903F4E" w:rsidRDefault="00000000" w:rsidP="00903F4E">
      <w:pPr>
        <w:spacing w:after="140" w:line="276" w:lineRule="auto"/>
        <w:jc w:val="both"/>
        <w:rPr>
          <w:rFonts w:cs="Times New Roman"/>
          <w:szCs w:val="24"/>
        </w:rPr>
      </w:pPr>
      <w:r w:rsidRPr="00903F4E">
        <w:rPr>
          <w:rFonts w:cs="Times New Roman"/>
          <w:szCs w:val="24"/>
        </w:rPr>
        <w:t>This chapter presents the primary policy output of this study: a structured CISO Biometric Vendor Audit Framework (CBVAF) for evaluating facial recognition vendors' fairness claims prior to procurement and throughout the system deployment lifecycle. The CBVAF is designed to be operationally actionable within existing information security governance structures and is grounded in the regulatory requirements of the EU AI Act, IEEE P2863, NIST standards, and the literature synthesised in preceding chapters.</w:t>
      </w:r>
    </w:p>
    <w:p w14:paraId="50021308" w14:textId="77777777" w:rsidR="00F21B97" w:rsidRPr="00903F4E" w:rsidRDefault="00000000" w:rsidP="00903F4E">
      <w:pPr>
        <w:pStyle w:val="Heading2"/>
        <w:spacing w:line="276" w:lineRule="auto"/>
        <w:jc w:val="both"/>
        <w:rPr>
          <w:rFonts w:cs="Times New Roman"/>
          <w:szCs w:val="24"/>
        </w:rPr>
      </w:pPr>
      <w:bookmarkStart w:id="28" w:name="_Toc226740481"/>
      <w:r w:rsidRPr="00903F4E">
        <w:rPr>
          <w:rFonts w:cs="Times New Roman"/>
          <w:szCs w:val="24"/>
        </w:rPr>
        <w:t>7.1 Pre-Procurement Audit Checklist</w:t>
      </w:r>
      <w:bookmarkEnd w:id="28"/>
    </w:p>
    <w:p w14:paraId="0A1E6A4C" w14:textId="59C047C8" w:rsidR="00F21B97" w:rsidRPr="00903F4E" w:rsidRDefault="00000000" w:rsidP="00903F4E">
      <w:pPr>
        <w:spacing w:after="140" w:line="276" w:lineRule="auto"/>
        <w:jc w:val="both"/>
        <w:rPr>
          <w:rFonts w:cs="Times New Roman"/>
          <w:szCs w:val="24"/>
        </w:rPr>
      </w:pPr>
      <w:r w:rsidRPr="00903F4E">
        <w:rPr>
          <w:rFonts w:cs="Times New Roman"/>
          <w:szCs w:val="24"/>
        </w:rPr>
        <w:t>Th</w:t>
      </w:r>
      <w:r w:rsidR="001F3A0D" w:rsidRPr="00903F4E">
        <w:rPr>
          <w:rFonts w:cs="Times New Roman"/>
          <w:szCs w:val="24"/>
        </w:rPr>
        <w:t>is</w:t>
      </w:r>
      <w:r w:rsidRPr="00903F4E">
        <w:rPr>
          <w:rFonts w:cs="Times New Roman"/>
          <w:szCs w:val="24"/>
        </w:rPr>
        <w:t xml:space="preserve"> is the most consequential stage of biometric system governance, as decisions made at this point determine the baseline fairness characteristics of the deployed system. The following checklist structures the CISO's due diligence inquiry across five domains:</w:t>
      </w:r>
    </w:p>
    <w:p w14:paraId="0326E99E" w14:textId="082335E7" w:rsidR="00F21B97" w:rsidRPr="00903F4E" w:rsidRDefault="00000000" w:rsidP="00903F4E">
      <w:pPr>
        <w:pStyle w:val="Heading3"/>
        <w:spacing w:line="276" w:lineRule="auto"/>
        <w:jc w:val="both"/>
        <w:rPr>
          <w:rFonts w:cs="Times New Roman"/>
        </w:rPr>
      </w:pPr>
      <w:bookmarkStart w:id="29" w:name="_Toc226740482"/>
      <w:r w:rsidRPr="00903F4E">
        <w:rPr>
          <w:rFonts w:cs="Times New Roman"/>
          <w:i/>
        </w:rPr>
        <w:t>Domain A: Training Data and Dataset Governance</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1"/>
        <w:gridCol w:w="4006"/>
        <w:gridCol w:w="3009"/>
      </w:tblGrid>
      <w:tr w:rsidR="008776AB" w:rsidRPr="00903F4E" w14:paraId="7F123E1B" w14:textId="77777777" w:rsidTr="006C32FD">
        <w:tc>
          <w:tcPr>
            <w:tcW w:w="0" w:type="auto"/>
            <w:tcMar>
              <w:top w:w="80" w:type="dxa"/>
              <w:left w:w="100" w:type="dxa"/>
              <w:bottom w:w="80" w:type="dxa"/>
              <w:right w:w="100" w:type="dxa"/>
            </w:tcMar>
          </w:tcPr>
          <w:p w14:paraId="06DCF17F" w14:textId="77777777" w:rsidR="00F21B97" w:rsidRPr="00903F4E" w:rsidRDefault="00000000" w:rsidP="00903F4E">
            <w:pPr>
              <w:spacing w:line="276" w:lineRule="auto"/>
              <w:jc w:val="both"/>
              <w:rPr>
                <w:rFonts w:cs="Times New Roman"/>
                <w:szCs w:val="24"/>
              </w:rPr>
            </w:pPr>
            <w:r w:rsidRPr="00903F4E">
              <w:rPr>
                <w:rFonts w:cs="Times New Roman"/>
                <w:b/>
                <w:bCs/>
                <w:szCs w:val="24"/>
              </w:rPr>
              <w:t>Audit Item</w:t>
            </w:r>
          </w:p>
        </w:tc>
        <w:tc>
          <w:tcPr>
            <w:tcW w:w="0" w:type="auto"/>
            <w:tcMar>
              <w:top w:w="80" w:type="dxa"/>
              <w:left w:w="100" w:type="dxa"/>
              <w:bottom w:w="80" w:type="dxa"/>
              <w:right w:w="100" w:type="dxa"/>
            </w:tcMar>
          </w:tcPr>
          <w:p w14:paraId="65295739" w14:textId="77777777" w:rsidR="00F21B97" w:rsidRPr="00903F4E" w:rsidRDefault="00000000" w:rsidP="00903F4E">
            <w:pPr>
              <w:spacing w:line="276" w:lineRule="auto"/>
              <w:jc w:val="both"/>
              <w:rPr>
                <w:rFonts w:cs="Times New Roman"/>
                <w:szCs w:val="24"/>
              </w:rPr>
            </w:pPr>
            <w:r w:rsidRPr="00903F4E">
              <w:rPr>
                <w:rFonts w:cs="Times New Roman"/>
                <w:b/>
                <w:bCs/>
                <w:szCs w:val="24"/>
              </w:rPr>
              <w:t>Minimum Acceptable Standard</w:t>
            </w:r>
          </w:p>
        </w:tc>
        <w:tc>
          <w:tcPr>
            <w:tcW w:w="0" w:type="auto"/>
            <w:tcMar>
              <w:top w:w="80" w:type="dxa"/>
              <w:left w:w="100" w:type="dxa"/>
              <w:bottom w:w="80" w:type="dxa"/>
              <w:right w:w="100" w:type="dxa"/>
            </w:tcMar>
          </w:tcPr>
          <w:p w14:paraId="7E041E7B" w14:textId="77777777" w:rsidR="00F21B97" w:rsidRPr="00903F4E" w:rsidRDefault="00000000" w:rsidP="00903F4E">
            <w:pPr>
              <w:spacing w:line="276" w:lineRule="auto"/>
              <w:jc w:val="both"/>
              <w:rPr>
                <w:rFonts w:cs="Times New Roman"/>
                <w:szCs w:val="24"/>
              </w:rPr>
            </w:pPr>
            <w:r w:rsidRPr="00903F4E">
              <w:rPr>
                <w:rFonts w:cs="Times New Roman"/>
                <w:b/>
                <w:bCs/>
                <w:szCs w:val="24"/>
              </w:rPr>
              <w:t>Evidence Required</w:t>
            </w:r>
          </w:p>
        </w:tc>
      </w:tr>
      <w:tr w:rsidR="008776AB" w:rsidRPr="00903F4E" w14:paraId="26E8CAE3" w14:textId="77777777" w:rsidTr="006C32FD">
        <w:tc>
          <w:tcPr>
            <w:tcW w:w="0" w:type="auto"/>
            <w:tcMar>
              <w:top w:w="60" w:type="dxa"/>
              <w:left w:w="100" w:type="dxa"/>
              <w:bottom w:w="60" w:type="dxa"/>
              <w:right w:w="100" w:type="dxa"/>
            </w:tcMar>
          </w:tcPr>
          <w:p w14:paraId="79E58186" w14:textId="77777777" w:rsidR="00F21B97" w:rsidRPr="00903F4E" w:rsidRDefault="00000000" w:rsidP="00903F4E">
            <w:pPr>
              <w:spacing w:after="40" w:line="276" w:lineRule="auto"/>
              <w:jc w:val="both"/>
              <w:rPr>
                <w:rFonts w:cs="Times New Roman"/>
                <w:szCs w:val="24"/>
              </w:rPr>
            </w:pPr>
            <w:r w:rsidRPr="00903F4E">
              <w:rPr>
                <w:rFonts w:cs="Times New Roman"/>
                <w:szCs w:val="24"/>
              </w:rPr>
              <w:t>A1: Demographic composition of training dataset</w:t>
            </w:r>
          </w:p>
        </w:tc>
        <w:tc>
          <w:tcPr>
            <w:tcW w:w="0" w:type="auto"/>
            <w:tcMar>
              <w:top w:w="60" w:type="dxa"/>
              <w:left w:w="100" w:type="dxa"/>
              <w:bottom w:w="60" w:type="dxa"/>
              <w:right w:w="100" w:type="dxa"/>
            </w:tcMar>
          </w:tcPr>
          <w:p w14:paraId="74A6EB49" w14:textId="77777777" w:rsidR="00F21B97" w:rsidRPr="00903F4E" w:rsidRDefault="00000000" w:rsidP="00903F4E">
            <w:pPr>
              <w:spacing w:after="40" w:line="276" w:lineRule="auto"/>
              <w:jc w:val="both"/>
              <w:rPr>
                <w:rFonts w:cs="Times New Roman"/>
                <w:szCs w:val="24"/>
              </w:rPr>
            </w:pPr>
            <w:r w:rsidRPr="00903F4E">
              <w:rPr>
                <w:rFonts w:cs="Times New Roman"/>
                <w:szCs w:val="24"/>
              </w:rPr>
              <w:t>No single demographic group (race × gender) exceeds 50% of total training set. All Fitzpatrick skin type categories represented with at least 5% each.</w:t>
            </w:r>
          </w:p>
        </w:tc>
        <w:tc>
          <w:tcPr>
            <w:tcW w:w="0" w:type="auto"/>
            <w:tcMar>
              <w:top w:w="60" w:type="dxa"/>
              <w:left w:w="100" w:type="dxa"/>
              <w:bottom w:w="60" w:type="dxa"/>
              <w:right w:w="100" w:type="dxa"/>
            </w:tcMar>
          </w:tcPr>
          <w:p w14:paraId="429D483B" w14:textId="77777777" w:rsidR="00F21B97" w:rsidRPr="00903F4E" w:rsidRDefault="00000000" w:rsidP="00903F4E">
            <w:pPr>
              <w:spacing w:after="40" w:line="276" w:lineRule="auto"/>
              <w:jc w:val="both"/>
              <w:rPr>
                <w:rFonts w:cs="Times New Roman"/>
                <w:szCs w:val="24"/>
              </w:rPr>
            </w:pPr>
            <w:r w:rsidRPr="00903F4E">
              <w:rPr>
                <w:rFonts w:cs="Times New Roman"/>
                <w:szCs w:val="24"/>
              </w:rPr>
              <w:t>Training data card conforming to ISO/IEC 22989 or equivalent. Third-party verification preferred.</w:t>
            </w:r>
          </w:p>
        </w:tc>
      </w:tr>
      <w:tr w:rsidR="008776AB" w:rsidRPr="00903F4E" w14:paraId="76F753FF" w14:textId="77777777" w:rsidTr="006C32FD">
        <w:tc>
          <w:tcPr>
            <w:tcW w:w="0" w:type="auto"/>
            <w:tcMar>
              <w:top w:w="60" w:type="dxa"/>
              <w:left w:w="100" w:type="dxa"/>
              <w:bottom w:w="60" w:type="dxa"/>
              <w:right w:w="100" w:type="dxa"/>
            </w:tcMar>
          </w:tcPr>
          <w:p w14:paraId="4BBC3CEF" w14:textId="77777777" w:rsidR="00F21B97" w:rsidRPr="00903F4E" w:rsidRDefault="00000000" w:rsidP="00903F4E">
            <w:pPr>
              <w:spacing w:after="40" w:line="276" w:lineRule="auto"/>
              <w:jc w:val="both"/>
              <w:rPr>
                <w:rFonts w:cs="Times New Roman"/>
                <w:szCs w:val="24"/>
              </w:rPr>
            </w:pPr>
            <w:r w:rsidRPr="00903F4E">
              <w:rPr>
                <w:rFonts w:cs="Times New Roman"/>
                <w:szCs w:val="24"/>
              </w:rPr>
              <w:t>A2: Geographic diversity of training data</w:t>
            </w:r>
          </w:p>
        </w:tc>
        <w:tc>
          <w:tcPr>
            <w:tcW w:w="0" w:type="auto"/>
            <w:tcMar>
              <w:top w:w="60" w:type="dxa"/>
              <w:left w:w="100" w:type="dxa"/>
              <w:bottom w:w="60" w:type="dxa"/>
              <w:right w:w="100" w:type="dxa"/>
            </w:tcMar>
          </w:tcPr>
          <w:p w14:paraId="0F7A67D5" w14:textId="77777777" w:rsidR="00F21B97" w:rsidRPr="00903F4E" w:rsidRDefault="00000000" w:rsidP="00903F4E">
            <w:pPr>
              <w:spacing w:after="40" w:line="276" w:lineRule="auto"/>
              <w:jc w:val="both"/>
              <w:rPr>
                <w:rFonts w:cs="Times New Roman"/>
                <w:szCs w:val="24"/>
              </w:rPr>
            </w:pPr>
            <w:r w:rsidRPr="00903F4E">
              <w:rPr>
                <w:rFonts w:cs="Times New Roman"/>
                <w:szCs w:val="24"/>
              </w:rPr>
              <w:t>Training data sourced from at least four continental regions. Non-Western faces constitute at least 40% of training set.</w:t>
            </w:r>
          </w:p>
        </w:tc>
        <w:tc>
          <w:tcPr>
            <w:tcW w:w="0" w:type="auto"/>
            <w:tcMar>
              <w:top w:w="60" w:type="dxa"/>
              <w:left w:w="100" w:type="dxa"/>
              <w:bottom w:w="60" w:type="dxa"/>
              <w:right w:w="100" w:type="dxa"/>
            </w:tcMar>
          </w:tcPr>
          <w:p w14:paraId="65EE0309" w14:textId="77777777" w:rsidR="00F21B97" w:rsidRPr="00903F4E" w:rsidRDefault="00000000" w:rsidP="00903F4E">
            <w:pPr>
              <w:spacing w:after="40" w:line="276" w:lineRule="auto"/>
              <w:jc w:val="both"/>
              <w:rPr>
                <w:rFonts w:cs="Times New Roman"/>
                <w:szCs w:val="24"/>
              </w:rPr>
            </w:pPr>
            <w:r w:rsidRPr="00903F4E">
              <w:rPr>
                <w:rFonts w:cs="Times New Roman"/>
                <w:szCs w:val="24"/>
              </w:rPr>
              <w:t>Vendor transparency report with dataset provenance documentation.</w:t>
            </w:r>
          </w:p>
        </w:tc>
      </w:tr>
      <w:tr w:rsidR="008776AB" w:rsidRPr="00903F4E" w14:paraId="7804F40C" w14:textId="77777777" w:rsidTr="006C32FD">
        <w:tc>
          <w:tcPr>
            <w:tcW w:w="0" w:type="auto"/>
            <w:tcMar>
              <w:top w:w="60" w:type="dxa"/>
              <w:left w:w="100" w:type="dxa"/>
              <w:bottom w:w="60" w:type="dxa"/>
              <w:right w:w="100" w:type="dxa"/>
            </w:tcMar>
          </w:tcPr>
          <w:p w14:paraId="095E54C7" w14:textId="77777777" w:rsidR="00F21B97" w:rsidRPr="00903F4E" w:rsidRDefault="00000000" w:rsidP="00903F4E">
            <w:pPr>
              <w:spacing w:after="40" w:line="276" w:lineRule="auto"/>
              <w:jc w:val="both"/>
              <w:rPr>
                <w:rFonts w:cs="Times New Roman"/>
                <w:szCs w:val="24"/>
              </w:rPr>
            </w:pPr>
            <w:r w:rsidRPr="00903F4E">
              <w:rPr>
                <w:rFonts w:cs="Times New Roman"/>
                <w:szCs w:val="24"/>
              </w:rPr>
              <w:t>A3: Data governance documentation</w:t>
            </w:r>
          </w:p>
        </w:tc>
        <w:tc>
          <w:tcPr>
            <w:tcW w:w="0" w:type="auto"/>
            <w:tcMar>
              <w:top w:w="60" w:type="dxa"/>
              <w:left w:w="100" w:type="dxa"/>
              <w:bottom w:w="60" w:type="dxa"/>
              <w:right w:w="100" w:type="dxa"/>
            </w:tcMar>
          </w:tcPr>
          <w:p w14:paraId="02E70294" w14:textId="77777777" w:rsidR="00F21B97" w:rsidRPr="00903F4E" w:rsidRDefault="00000000" w:rsidP="00903F4E">
            <w:pPr>
              <w:spacing w:after="40" w:line="276" w:lineRule="auto"/>
              <w:jc w:val="both"/>
              <w:rPr>
                <w:rFonts w:cs="Times New Roman"/>
                <w:szCs w:val="24"/>
              </w:rPr>
            </w:pPr>
            <w:r w:rsidRPr="00903F4E">
              <w:rPr>
                <w:rFonts w:cs="Times New Roman"/>
                <w:szCs w:val="24"/>
              </w:rPr>
              <w:t>Evidence of active demographic audit of training set prior to model training. Documentation of bias mitigation strategies applied to training data.</w:t>
            </w:r>
          </w:p>
        </w:tc>
        <w:tc>
          <w:tcPr>
            <w:tcW w:w="0" w:type="auto"/>
            <w:tcMar>
              <w:top w:w="60" w:type="dxa"/>
              <w:left w:w="100" w:type="dxa"/>
              <w:bottom w:w="60" w:type="dxa"/>
              <w:right w:w="100" w:type="dxa"/>
            </w:tcMar>
          </w:tcPr>
          <w:p w14:paraId="735AA8A7" w14:textId="77777777" w:rsidR="00F21B97" w:rsidRPr="00903F4E" w:rsidRDefault="00000000" w:rsidP="00903F4E">
            <w:pPr>
              <w:spacing w:after="40" w:line="276" w:lineRule="auto"/>
              <w:jc w:val="both"/>
              <w:rPr>
                <w:rFonts w:cs="Times New Roman"/>
                <w:szCs w:val="24"/>
              </w:rPr>
            </w:pPr>
            <w:r w:rsidRPr="00903F4E">
              <w:rPr>
                <w:rFonts w:cs="Times New Roman"/>
                <w:szCs w:val="24"/>
              </w:rPr>
              <w:t>Data governance policy and audit log. Evidence of dataset review methodology.</w:t>
            </w:r>
          </w:p>
        </w:tc>
      </w:tr>
      <w:tr w:rsidR="008776AB" w:rsidRPr="00903F4E" w14:paraId="76B175AA" w14:textId="77777777" w:rsidTr="006C32FD">
        <w:tc>
          <w:tcPr>
            <w:tcW w:w="0" w:type="auto"/>
            <w:tcMar>
              <w:top w:w="60" w:type="dxa"/>
              <w:left w:w="100" w:type="dxa"/>
              <w:bottom w:w="60" w:type="dxa"/>
              <w:right w:w="100" w:type="dxa"/>
            </w:tcMar>
          </w:tcPr>
          <w:p w14:paraId="711357FC" w14:textId="77777777" w:rsidR="00F21B97" w:rsidRPr="00903F4E" w:rsidRDefault="00000000" w:rsidP="00903F4E">
            <w:pPr>
              <w:spacing w:after="40" w:line="276" w:lineRule="auto"/>
              <w:jc w:val="both"/>
              <w:rPr>
                <w:rFonts w:cs="Times New Roman"/>
                <w:szCs w:val="24"/>
              </w:rPr>
            </w:pPr>
            <w:r w:rsidRPr="00903F4E">
              <w:rPr>
                <w:rFonts w:cs="Times New Roman"/>
                <w:szCs w:val="24"/>
              </w:rPr>
              <w:t>A4: Benchmark dataset used for internal testing</w:t>
            </w:r>
          </w:p>
        </w:tc>
        <w:tc>
          <w:tcPr>
            <w:tcW w:w="0" w:type="auto"/>
            <w:tcMar>
              <w:top w:w="60" w:type="dxa"/>
              <w:left w:w="100" w:type="dxa"/>
              <w:bottom w:w="60" w:type="dxa"/>
              <w:right w:w="100" w:type="dxa"/>
            </w:tcMar>
          </w:tcPr>
          <w:p w14:paraId="0E23407B" w14:textId="713C2D39" w:rsidR="00F21B97" w:rsidRPr="00903F4E" w:rsidRDefault="00000000" w:rsidP="00903F4E">
            <w:pPr>
              <w:spacing w:after="40" w:line="276" w:lineRule="auto"/>
              <w:jc w:val="both"/>
              <w:rPr>
                <w:rFonts w:cs="Times New Roman"/>
                <w:szCs w:val="24"/>
              </w:rPr>
            </w:pPr>
            <w:r w:rsidRPr="00903F4E">
              <w:rPr>
                <w:rFonts w:cs="Times New Roman"/>
                <w:szCs w:val="24"/>
              </w:rPr>
              <w:t xml:space="preserve">Testing conducted on at least one demographically balanced external benchmark dataset (e.g., </w:t>
            </w:r>
            <w:proofErr w:type="spellStart"/>
            <w:r w:rsidRPr="00903F4E">
              <w:rPr>
                <w:rFonts w:cs="Times New Roman"/>
                <w:szCs w:val="24"/>
              </w:rPr>
              <w:t>CeleBImg</w:t>
            </w:r>
            <w:proofErr w:type="spellEnd"/>
            <w:r w:rsidRPr="00903F4E">
              <w:rPr>
                <w:rFonts w:cs="Times New Roman"/>
                <w:szCs w:val="24"/>
              </w:rPr>
              <w:t xml:space="preserve"> per</w:t>
            </w:r>
            <w:r w:rsidR="006E13FE" w:rsidRPr="00903F4E">
              <w:rPr>
                <w:rFonts w:cs="Times New Roman"/>
                <w:szCs w:val="24"/>
              </w:rPr>
              <w:t xml:space="preserve"> </w:t>
            </w:r>
            <w:r w:rsidR="006E13FE" w:rsidRPr="00903F4E">
              <w:rPr>
                <w:rFonts w:cs="Times New Roman"/>
                <w:szCs w:val="24"/>
              </w:rPr>
              <w:fldChar w:fldCharType="begin"/>
            </w:r>
            <w:r w:rsidR="006E13FE" w:rsidRPr="00903F4E">
              <w:rPr>
                <w:rFonts w:cs="Times New Roman"/>
                <w:szCs w:val="24"/>
              </w:rPr>
              <w:instrText xml:space="preserve"> ADDIN ZOTERO_ITEM CSL_CITATION {"citationID":"1LE2tLwf","properties":{"unsorted":false,"formattedCitation":"(Hassan et al., 2026)","plainCitation":"(Hassan et al., 2026)","noteIndex":0},"citationItems":[{"id":50,"uris":["http://zotero.org/users/19988602/items/52ETITL6"],"itemData":{"id":50,"type":"article-journal","abstract":"Global soft biometrics-based identification refers to the recognition of subjects using human traits such as gender, age, and ethnicity. Unlike traditional biometric methods that rely on unique physical markers such as fingerprints or iris scans, soft biometrics represents a non-intrusive, viable, and versatile approach, thus making them particularly valuable for surveillance and security applications. Despite significant advances, several issues have been associated with traditional biometrics, like maintaining accuracy, addressing algorithmic bias, and limited computational efficiency. To address those issues, this paper presents a comprehensive coverage of the current advances in Global soft biometric-based recognition as a solution, where four key contributions are made; i.e., (i) advocacy on the relevance and impact of soft biometrics in surveillance and security, (ii) development of a new and unique CeleBImg dataset to overcome algorithmic biases and improve diversity in soft biometric-based recognition, (iii) rigorous performance comparison of current methods in-practice for Global soft biometrics-based recognition and, (iv) identification of open challenges with potential solutions in the field within the context of surveillance and security. This paper sets a solid foundation for using Global soft biometrics in the CCTV-based surveillance and security domain, with their significance, relevance and effectiveness.","container-title":"Multimedia Tools and Applications","DOI":"10.1007/s11042-026-21204-x","ISSN":"1573-7721","issue":"4","journalAbbreviation":"Multimed Tools Appl","language":"en","page":"286","source":"Springer Link","title":"Global soft biometrics in surveillance: benchmark in the field &amp; open challenges","title-short":"Global soft biometrics in surveillance","volume":"85","author":[{"family":"Hassan","given":"Bilal"},{"family":"Soudbakhsh","given":"Hasti"},{"family":"Bahrami","given":"Samaneh"},{"family":"Das","given":"Sonjoy Ranjan"},{"family":"Patel","given":"Preeti"},{"family":"Yasin","given":"Amanullah"},{"family":"Khan","given":"Usman"}],"issued":{"date-parts":[["2026",3,19]]}}}],"schema":"https://github.com/citation-style-language/schema/raw/master/csl-citation.json"} </w:instrText>
            </w:r>
            <w:r w:rsidR="006E13FE" w:rsidRPr="00903F4E">
              <w:rPr>
                <w:rFonts w:cs="Times New Roman"/>
                <w:szCs w:val="24"/>
              </w:rPr>
              <w:fldChar w:fldCharType="separate"/>
            </w:r>
            <w:r w:rsidR="006E13FE" w:rsidRPr="00903F4E">
              <w:rPr>
                <w:rFonts w:cs="Times New Roman"/>
                <w:szCs w:val="24"/>
              </w:rPr>
              <w:t xml:space="preserve">Hassan et al., 2026, </w:t>
            </w:r>
            <w:r w:rsidR="006E13FE" w:rsidRPr="00903F4E">
              <w:rPr>
                <w:rFonts w:cs="Times New Roman"/>
                <w:szCs w:val="24"/>
              </w:rPr>
              <w:t>NIST FRTE-equivalent</w:t>
            </w:r>
            <w:r w:rsidR="006E13FE" w:rsidRPr="00903F4E">
              <w:rPr>
                <w:rFonts w:cs="Times New Roman"/>
                <w:szCs w:val="24"/>
              </w:rPr>
              <w:t>)</w:t>
            </w:r>
            <w:r w:rsidR="006E13FE" w:rsidRPr="00903F4E">
              <w:rPr>
                <w:rFonts w:cs="Times New Roman"/>
                <w:szCs w:val="24"/>
              </w:rPr>
              <w:fldChar w:fldCharType="end"/>
            </w:r>
            <w:r w:rsidRPr="00903F4E">
              <w:rPr>
                <w:rFonts w:cs="Times New Roman"/>
                <w:szCs w:val="24"/>
              </w:rPr>
              <w:t>.</w:t>
            </w:r>
          </w:p>
        </w:tc>
        <w:tc>
          <w:tcPr>
            <w:tcW w:w="0" w:type="auto"/>
            <w:tcMar>
              <w:top w:w="60" w:type="dxa"/>
              <w:left w:w="100" w:type="dxa"/>
              <w:bottom w:w="60" w:type="dxa"/>
              <w:right w:w="100" w:type="dxa"/>
            </w:tcMar>
          </w:tcPr>
          <w:p w14:paraId="796D71BE" w14:textId="77777777" w:rsidR="00F21B97" w:rsidRPr="00903F4E" w:rsidRDefault="00000000" w:rsidP="00903F4E">
            <w:pPr>
              <w:spacing w:after="40" w:line="276" w:lineRule="auto"/>
              <w:jc w:val="both"/>
              <w:rPr>
                <w:rFonts w:cs="Times New Roman"/>
                <w:szCs w:val="24"/>
              </w:rPr>
            </w:pPr>
            <w:r w:rsidRPr="00903F4E">
              <w:rPr>
                <w:rFonts w:cs="Times New Roman"/>
                <w:szCs w:val="24"/>
              </w:rPr>
              <w:t>Published or vendor-supplied test results on named benchmark dataset.</w:t>
            </w:r>
          </w:p>
        </w:tc>
      </w:tr>
    </w:tbl>
    <w:p w14:paraId="10FBED7A" w14:textId="77777777" w:rsidR="00F21B97" w:rsidRPr="00903F4E" w:rsidRDefault="00F21B97" w:rsidP="00903F4E">
      <w:pPr>
        <w:spacing w:line="276" w:lineRule="auto"/>
        <w:jc w:val="both"/>
        <w:rPr>
          <w:rFonts w:cs="Times New Roman"/>
          <w:szCs w:val="24"/>
        </w:rPr>
      </w:pPr>
    </w:p>
    <w:p w14:paraId="35FEA193" w14:textId="4C5FA52E" w:rsidR="00F21B97" w:rsidRPr="00903F4E" w:rsidRDefault="00000000" w:rsidP="00903F4E">
      <w:pPr>
        <w:pStyle w:val="Heading3"/>
        <w:spacing w:line="276" w:lineRule="auto"/>
        <w:jc w:val="both"/>
        <w:rPr>
          <w:rFonts w:cs="Times New Roman"/>
        </w:rPr>
      </w:pPr>
      <w:bookmarkStart w:id="30" w:name="_Toc226740483"/>
      <w:r w:rsidRPr="00903F4E">
        <w:rPr>
          <w:rFonts w:cs="Times New Roman"/>
          <w:i/>
        </w:rPr>
        <w:t>Domain B: Algorithmic Performance</w:t>
      </w:r>
      <w:r w:rsidR="00152A24" w:rsidRPr="00903F4E">
        <w:rPr>
          <w:rFonts w:cs="Times New Roman"/>
          <w:i/>
        </w:rPr>
        <w:t xml:space="preserve"> Based on </w:t>
      </w:r>
      <w:r w:rsidRPr="00903F4E">
        <w:rPr>
          <w:rFonts w:cs="Times New Roman"/>
          <w:i/>
        </w:rPr>
        <w:t>Demographic Disaggregation</w:t>
      </w:r>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1"/>
        <w:gridCol w:w="3859"/>
        <w:gridCol w:w="2796"/>
      </w:tblGrid>
      <w:tr w:rsidR="008776AB" w:rsidRPr="00903F4E" w14:paraId="37F39160" w14:textId="77777777" w:rsidTr="006C32FD">
        <w:tc>
          <w:tcPr>
            <w:tcW w:w="0" w:type="auto"/>
            <w:tcMar>
              <w:top w:w="80" w:type="dxa"/>
              <w:left w:w="100" w:type="dxa"/>
              <w:bottom w:w="80" w:type="dxa"/>
              <w:right w:w="100" w:type="dxa"/>
            </w:tcMar>
          </w:tcPr>
          <w:p w14:paraId="048957CD" w14:textId="77777777" w:rsidR="00F21B97" w:rsidRPr="00903F4E" w:rsidRDefault="00000000" w:rsidP="00903F4E">
            <w:pPr>
              <w:spacing w:line="276" w:lineRule="auto"/>
              <w:jc w:val="both"/>
              <w:rPr>
                <w:rFonts w:cs="Times New Roman"/>
                <w:szCs w:val="24"/>
              </w:rPr>
            </w:pPr>
            <w:r w:rsidRPr="00903F4E">
              <w:rPr>
                <w:rFonts w:cs="Times New Roman"/>
                <w:b/>
                <w:bCs/>
                <w:szCs w:val="24"/>
              </w:rPr>
              <w:t>Audit Item</w:t>
            </w:r>
          </w:p>
        </w:tc>
        <w:tc>
          <w:tcPr>
            <w:tcW w:w="0" w:type="auto"/>
            <w:tcMar>
              <w:top w:w="80" w:type="dxa"/>
              <w:left w:w="100" w:type="dxa"/>
              <w:bottom w:w="80" w:type="dxa"/>
              <w:right w:w="100" w:type="dxa"/>
            </w:tcMar>
          </w:tcPr>
          <w:p w14:paraId="23FA0D52" w14:textId="77777777" w:rsidR="00F21B97" w:rsidRPr="00903F4E" w:rsidRDefault="00000000" w:rsidP="00903F4E">
            <w:pPr>
              <w:spacing w:line="276" w:lineRule="auto"/>
              <w:jc w:val="both"/>
              <w:rPr>
                <w:rFonts w:cs="Times New Roman"/>
                <w:szCs w:val="24"/>
              </w:rPr>
            </w:pPr>
            <w:r w:rsidRPr="00903F4E">
              <w:rPr>
                <w:rFonts w:cs="Times New Roman"/>
                <w:b/>
                <w:bCs/>
                <w:szCs w:val="24"/>
              </w:rPr>
              <w:t>Minimum Acceptable Standard</w:t>
            </w:r>
          </w:p>
        </w:tc>
        <w:tc>
          <w:tcPr>
            <w:tcW w:w="0" w:type="auto"/>
            <w:tcMar>
              <w:top w:w="80" w:type="dxa"/>
              <w:left w:w="100" w:type="dxa"/>
              <w:bottom w:w="80" w:type="dxa"/>
              <w:right w:w="100" w:type="dxa"/>
            </w:tcMar>
          </w:tcPr>
          <w:p w14:paraId="4ADDBEF5" w14:textId="77777777" w:rsidR="00F21B97" w:rsidRPr="00903F4E" w:rsidRDefault="00000000" w:rsidP="00903F4E">
            <w:pPr>
              <w:spacing w:line="276" w:lineRule="auto"/>
              <w:jc w:val="both"/>
              <w:rPr>
                <w:rFonts w:cs="Times New Roman"/>
                <w:szCs w:val="24"/>
              </w:rPr>
            </w:pPr>
            <w:r w:rsidRPr="00903F4E">
              <w:rPr>
                <w:rFonts w:cs="Times New Roman"/>
                <w:b/>
                <w:bCs/>
                <w:szCs w:val="24"/>
              </w:rPr>
              <w:t>Evidence Required</w:t>
            </w:r>
          </w:p>
        </w:tc>
      </w:tr>
      <w:tr w:rsidR="008776AB" w:rsidRPr="00903F4E" w14:paraId="7305F32D" w14:textId="77777777" w:rsidTr="006C32FD">
        <w:tc>
          <w:tcPr>
            <w:tcW w:w="0" w:type="auto"/>
            <w:tcMar>
              <w:top w:w="60" w:type="dxa"/>
              <w:left w:w="100" w:type="dxa"/>
              <w:bottom w:w="60" w:type="dxa"/>
              <w:right w:w="100" w:type="dxa"/>
            </w:tcMar>
          </w:tcPr>
          <w:p w14:paraId="161CD796" w14:textId="77777777" w:rsidR="00F21B97" w:rsidRPr="00903F4E" w:rsidRDefault="00000000" w:rsidP="00903F4E">
            <w:pPr>
              <w:spacing w:after="40" w:line="276" w:lineRule="auto"/>
              <w:jc w:val="both"/>
              <w:rPr>
                <w:rFonts w:cs="Times New Roman"/>
                <w:szCs w:val="24"/>
              </w:rPr>
            </w:pPr>
            <w:r w:rsidRPr="00903F4E">
              <w:rPr>
                <w:rFonts w:cs="Times New Roman"/>
                <w:szCs w:val="24"/>
              </w:rPr>
              <w:t>B1: Disaggregated FMR reporting</w:t>
            </w:r>
          </w:p>
        </w:tc>
        <w:tc>
          <w:tcPr>
            <w:tcW w:w="0" w:type="auto"/>
            <w:tcMar>
              <w:top w:w="60" w:type="dxa"/>
              <w:left w:w="100" w:type="dxa"/>
              <w:bottom w:w="60" w:type="dxa"/>
              <w:right w:w="100" w:type="dxa"/>
            </w:tcMar>
          </w:tcPr>
          <w:p w14:paraId="6B874272" w14:textId="77777777" w:rsidR="00F21B97" w:rsidRPr="00903F4E" w:rsidRDefault="00000000" w:rsidP="00903F4E">
            <w:pPr>
              <w:spacing w:after="40" w:line="276" w:lineRule="auto"/>
              <w:jc w:val="both"/>
              <w:rPr>
                <w:rFonts w:cs="Times New Roman"/>
                <w:szCs w:val="24"/>
              </w:rPr>
            </w:pPr>
            <w:r w:rsidRPr="00903F4E">
              <w:rPr>
                <w:rFonts w:cs="Times New Roman"/>
                <w:szCs w:val="24"/>
              </w:rPr>
              <w:t xml:space="preserve">FMR reported separately for minimum 6 demographic subgroups (race × gender intersections). FMR Differential Ratio (worst/best </w:t>
            </w:r>
            <w:r w:rsidRPr="00903F4E">
              <w:rPr>
                <w:rFonts w:cs="Times New Roman"/>
                <w:szCs w:val="24"/>
              </w:rPr>
              <w:lastRenderedPageBreak/>
              <w:t>subgroup) &lt; 3x at operational threshold.</w:t>
            </w:r>
          </w:p>
        </w:tc>
        <w:tc>
          <w:tcPr>
            <w:tcW w:w="0" w:type="auto"/>
            <w:tcMar>
              <w:top w:w="60" w:type="dxa"/>
              <w:left w:w="100" w:type="dxa"/>
              <w:bottom w:w="60" w:type="dxa"/>
              <w:right w:w="100" w:type="dxa"/>
            </w:tcMar>
          </w:tcPr>
          <w:p w14:paraId="3F0D0F04" w14:textId="77777777" w:rsidR="00F21B97" w:rsidRPr="00903F4E" w:rsidRDefault="00000000" w:rsidP="00903F4E">
            <w:pPr>
              <w:spacing w:after="40" w:line="276" w:lineRule="auto"/>
              <w:jc w:val="both"/>
              <w:rPr>
                <w:rFonts w:cs="Times New Roman"/>
                <w:szCs w:val="24"/>
              </w:rPr>
            </w:pPr>
            <w:r w:rsidRPr="00903F4E">
              <w:rPr>
                <w:rFonts w:cs="Times New Roman"/>
                <w:szCs w:val="24"/>
              </w:rPr>
              <w:lastRenderedPageBreak/>
              <w:t>NIST FRTE submission results OR equivalent independent evaluation showing subgroup-level FMR.</w:t>
            </w:r>
          </w:p>
        </w:tc>
      </w:tr>
      <w:tr w:rsidR="008776AB" w:rsidRPr="00903F4E" w14:paraId="2F4B062E" w14:textId="77777777" w:rsidTr="006C32FD">
        <w:tc>
          <w:tcPr>
            <w:tcW w:w="0" w:type="auto"/>
            <w:tcMar>
              <w:top w:w="60" w:type="dxa"/>
              <w:left w:w="100" w:type="dxa"/>
              <w:bottom w:w="60" w:type="dxa"/>
              <w:right w:w="100" w:type="dxa"/>
            </w:tcMar>
          </w:tcPr>
          <w:p w14:paraId="464F06AD" w14:textId="77777777" w:rsidR="00F21B97" w:rsidRPr="00903F4E" w:rsidRDefault="00000000" w:rsidP="00903F4E">
            <w:pPr>
              <w:spacing w:after="40" w:line="276" w:lineRule="auto"/>
              <w:jc w:val="both"/>
              <w:rPr>
                <w:rFonts w:cs="Times New Roman"/>
                <w:szCs w:val="24"/>
              </w:rPr>
            </w:pPr>
            <w:r w:rsidRPr="00903F4E">
              <w:rPr>
                <w:rFonts w:cs="Times New Roman"/>
                <w:szCs w:val="24"/>
              </w:rPr>
              <w:t>B2: Disaggregated FNMR reporting</w:t>
            </w:r>
          </w:p>
        </w:tc>
        <w:tc>
          <w:tcPr>
            <w:tcW w:w="0" w:type="auto"/>
            <w:tcMar>
              <w:top w:w="60" w:type="dxa"/>
              <w:left w:w="100" w:type="dxa"/>
              <w:bottom w:w="60" w:type="dxa"/>
              <w:right w:w="100" w:type="dxa"/>
            </w:tcMar>
          </w:tcPr>
          <w:p w14:paraId="60BFE21A" w14:textId="77777777" w:rsidR="00F21B97" w:rsidRPr="00903F4E" w:rsidRDefault="00000000" w:rsidP="00903F4E">
            <w:pPr>
              <w:spacing w:after="40" w:line="276" w:lineRule="auto"/>
              <w:jc w:val="both"/>
              <w:rPr>
                <w:rFonts w:cs="Times New Roman"/>
                <w:szCs w:val="24"/>
              </w:rPr>
            </w:pPr>
            <w:r w:rsidRPr="00903F4E">
              <w:rPr>
                <w:rFonts w:cs="Times New Roman"/>
                <w:szCs w:val="24"/>
              </w:rPr>
              <w:t>FNMR reported separately for same 6+ demographic subgroups. FNMR Differential Ratio &lt; 3x.</w:t>
            </w:r>
          </w:p>
        </w:tc>
        <w:tc>
          <w:tcPr>
            <w:tcW w:w="0" w:type="auto"/>
            <w:tcMar>
              <w:top w:w="60" w:type="dxa"/>
              <w:left w:w="100" w:type="dxa"/>
              <w:bottom w:w="60" w:type="dxa"/>
              <w:right w:w="100" w:type="dxa"/>
            </w:tcMar>
          </w:tcPr>
          <w:p w14:paraId="3C51F5AF" w14:textId="77777777" w:rsidR="00F21B97" w:rsidRPr="00903F4E" w:rsidRDefault="00000000" w:rsidP="00903F4E">
            <w:pPr>
              <w:spacing w:after="40" w:line="276" w:lineRule="auto"/>
              <w:jc w:val="both"/>
              <w:rPr>
                <w:rFonts w:cs="Times New Roman"/>
                <w:szCs w:val="24"/>
              </w:rPr>
            </w:pPr>
            <w:r w:rsidRPr="00903F4E">
              <w:rPr>
                <w:rFonts w:cs="Times New Roman"/>
                <w:szCs w:val="24"/>
              </w:rPr>
              <w:t>Same evaluation report as B1.</w:t>
            </w:r>
          </w:p>
        </w:tc>
      </w:tr>
      <w:tr w:rsidR="008776AB" w:rsidRPr="00903F4E" w14:paraId="38B9A700" w14:textId="77777777" w:rsidTr="006C32FD">
        <w:tc>
          <w:tcPr>
            <w:tcW w:w="0" w:type="auto"/>
            <w:tcMar>
              <w:top w:w="60" w:type="dxa"/>
              <w:left w:w="100" w:type="dxa"/>
              <w:bottom w:w="60" w:type="dxa"/>
              <w:right w:w="100" w:type="dxa"/>
            </w:tcMar>
          </w:tcPr>
          <w:p w14:paraId="6C38D0C0" w14:textId="77777777" w:rsidR="00F21B97" w:rsidRPr="00903F4E" w:rsidRDefault="00000000" w:rsidP="00903F4E">
            <w:pPr>
              <w:spacing w:after="40" w:line="276" w:lineRule="auto"/>
              <w:jc w:val="both"/>
              <w:rPr>
                <w:rFonts w:cs="Times New Roman"/>
                <w:szCs w:val="24"/>
              </w:rPr>
            </w:pPr>
            <w:r w:rsidRPr="00903F4E">
              <w:rPr>
                <w:rFonts w:cs="Times New Roman"/>
                <w:szCs w:val="24"/>
              </w:rPr>
              <w:t>B3: Performance at operational threshold</w:t>
            </w:r>
          </w:p>
        </w:tc>
        <w:tc>
          <w:tcPr>
            <w:tcW w:w="0" w:type="auto"/>
            <w:tcMar>
              <w:top w:w="60" w:type="dxa"/>
              <w:left w:w="100" w:type="dxa"/>
              <w:bottom w:w="60" w:type="dxa"/>
              <w:right w:w="100" w:type="dxa"/>
            </w:tcMar>
          </w:tcPr>
          <w:p w14:paraId="5AAD3EE0" w14:textId="77777777" w:rsidR="00F21B97" w:rsidRPr="00903F4E" w:rsidRDefault="00000000" w:rsidP="00903F4E">
            <w:pPr>
              <w:spacing w:after="40" w:line="276" w:lineRule="auto"/>
              <w:jc w:val="both"/>
              <w:rPr>
                <w:rFonts w:cs="Times New Roman"/>
                <w:szCs w:val="24"/>
              </w:rPr>
            </w:pPr>
            <w:r w:rsidRPr="00903F4E">
              <w:rPr>
                <w:rFonts w:cs="Times New Roman"/>
                <w:szCs w:val="24"/>
              </w:rPr>
              <w:t>Vendor must specify the similarity threshold used in the proposed deployment and provide subgroup-level performance metrics at that specific threshold, not only at EER.</w:t>
            </w:r>
          </w:p>
        </w:tc>
        <w:tc>
          <w:tcPr>
            <w:tcW w:w="0" w:type="auto"/>
            <w:tcMar>
              <w:top w:w="60" w:type="dxa"/>
              <w:left w:w="100" w:type="dxa"/>
              <w:bottom w:w="60" w:type="dxa"/>
              <w:right w:w="100" w:type="dxa"/>
            </w:tcMar>
          </w:tcPr>
          <w:p w14:paraId="4351EB38" w14:textId="77777777" w:rsidR="00F21B97" w:rsidRPr="00903F4E" w:rsidRDefault="00000000" w:rsidP="00903F4E">
            <w:pPr>
              <w:spacing w:after="40" w:line="276" w:lineRule="auto"/>
              <w:jc w:val="both"/>
              <w:rPr>
                <w:rFonts w:cs="Times New Roman"/>
                <w:szCs w:val="24"/>
              </w:rPr>
            </w:pPr>
            <w:r w:rsidRPr="00903F4E">
              <w:rPr>
                <w:rFonts w:cs="Times New Roman"/>
                <w:szCs w:val="24"/>
              </w:rPr>
              <w:t>Threshold-specific performance data. Vendors who provide only EER-based metrics are non-compliant with this requirement.</w:t>
            </w:r>
          </w:p>
        </w:tc>
      </w:tr>
      <w:tr w:rsidR="008776AB" w:rsidRPr="00903F4E" w14:paraId="27C9C069" w14:textId="77777777" w:rsidTr="006C32FD">
        <w:tc>
          <w:tcPr>
            <w:tcW w:w="0" w:type="auto"/>
            <w:tcMar>
              <w:top w:w="60" w:type="dxa"/>
              <w:left w:w="100" w:type="dxa"/>
              <w:bottom w:w="60" w:type="dxa"/>
              <w:right w:w="100" w:type="dxa"/>
            </w:tcMar>
          </w:tcPr>
          <w:p w14:paraId="454874CE" w14:textId="77777777" w:rsidR="00F21B97" w:rsidRPr="00903F4E" w:rsidRDefault="00000000" w:rsidP="00903F4E">
            <w:pPr>
              <w:spacing w:after="40" w:line="276" w:lineRule="auto"/>
              <w:jc w:val="both"/>
              <w:rPr>
                <w:rFonts w:cs="Times New Roman"/>
                <w:szCs w:val="24"/>
              </w:rPr>
            </w:pPr>
            <w:r w:rsidRPr="00903F4E">
              <w:rPr>
                <w:rFonts w:cs="Times New Roman"/>
                <w:szCs w:val="24"/>
              </w:rPr>
              <w:t>B4: Sensor/environmental testing</w:t>
            </w:r>
          </w:p>
        </w:tc>
        <w:tc>
          <w:tcPr>
            <w:tcW w:w="0" w:type="auto"/>
            <w:tcMar>
              <w:top w:w="60" w:type="dxa"/>
              <w:left w:w="100" w:type="dxa"/>
              <w:bottom w:w="60" w:type="dxa"/>
              <w:right w:w="100" w:type="dxa"/>
            </w:tcMar>
          </w:tcPr>
          <w:p w14:paraId="07B5D975" w14:textId="77777777" w:rsidR="00F21B97" w:rsidRPr="00903F4E" w:rsidRDefault="00000000" w:rsidP="00903F4E">
            <w:pPr>
              <w:spacing w:after="40" w:line="276" w:lineRule="auto"/>
              <w:jc w:val="both"/>
              <w:rPr>
                <w:rFonts w:cs="Times New Roman"/>
                <w:szCs w:val="24"/>
              </w:rPr>
            </w:pPr>
            <w:r w:rsidRPr="00903F4E">
              <w:rPr>
                <w:rFonts w:cs="Times New Roman"/>
                <w:szCs w:val="24"/>
              </w:rPr>
              <w:t>Evidence that demographic performance metrics were validated under realistic environmental conditions (varied lighting, partial occlusion, outdoor settings) not only in controlled laboratory conditions.</w:t>
            </w:r>
          </w:p>
        </w:tc>
        <w:tc>
          <w:tcPr>
            <w:tcW w:w="0" w:type="auto"/>
            <w:tcMar>
              <w:top w:w="60" w:type="dxa"/>
              <w:left w:w="100" w:type="dxa"/>
              <w:bottom w:w="60" w:type="dxa"/>
              <w:right w:w="100" w:type="dxa"/>
            </w:tcMar>
          </w:tcPr>
          <w:p w14:paraId="66641014" w14:textId="77777777" w:rsidR="00F21B97" w:rsidRPr="00903F4E" w:rsidRDefault="00000000" w:rsidP="00903F4E">
            <w:pPr>
              <w:spacing w:after="40" w:line="276" w:lineRule="auto"/>
              <w:jc w:val="both"/>
              <w:rPr>
                <w:rFonts w:cs="Times New Roman"/>
                <w:szCs w:val="24"/>
              </w:rPr>
            </w:pPr>
            <w:r w:rsidRPr="00903F4E">
              <w:rPr>
                <w:rFonts w:cs="Times New Roman"/>
                <w:szCs w:val="24"/>
              </w:rPr>
              <w:t>Field evaluation report or reference to published field study.</w:t>
            </w:r>
          </w:p>
        </w:tc>
      </w:tr>
    </w:tbl>
    <w:p w14:paraId="01E73A44" w14:textId="77777777" w:rsidR="00F21B97" w:rsidRPr="00903F4E" w:rsidRDefault="00F21B97" w:rsidP="00903F4E">
      <w:pPr>
        <w:spacing w:line="276" w:lineRule="auto"/>
        <w:jc w:val="both"/>
        <w:rPr>
          <w:rFonts w:cs="Times New Roman"/>
          <w:szCs w:val="24"/>
        </w:rPr>
      </w:pPr>
    </w:p>
    <w:p w14:paraId="50311031" w14:textId="569E0B45" w:rsidR="00F21B97" w:rsidRPr="00903F4E" w:rsidRDefault="00000000" w:rsidP="00903F4E">
      <w:pPr>
        <w:pStyle w:val="Heading3"/>
        <w:spacing w:line="276" w:lineRule="auto"/>
        <w:jc w:val="both"/>
        <w:rPr>
          <w:rFonts w:cs="Times New Roman"/>
        </w:rPr>
      </w:pPr>
      <w:bookmarkStart w:id="31" w:name="_Toc226740484"/>
      <w:r w:rsidRPr="00903F4E">
        <w:rPr>
          <w:rFonts w:cs="Times New Roman"/>
          <w:i/>
        </w:rPr>
        <w:t>Domain C: Regulatory Compliance</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1"/>
        <w:gridCol w:w="3990"/>
        <w:gridCol w:w="3295"/>
      </w:tblGrid>
      <w:tr w:rsidR="008776AB" w:rsidRPr="00903F4E" w14:paraId="5DB9A2F4" w14:textId="77777777" w:rsidTr="006C32FD">
        <w:tc>
          <w:tcPr>
            <w:tcW w:w="0" w:type="auto"/>
            <w:tcMar>
              <w:top w:w="80" w:type="dxa"/>
              <w:left w:w="100" w:type="dxa"/>
              <w:bottom w:w="80" w:type="dxa"/>
              <w:right w:w="100" w:type="dxa"/>
            </w:tcMar>
          </w:tcPr>
          <w:p w14:paraId="0546F581" w14:textId="77777777" w:rsidR="00F21B97" w:rsidRPr="00903F4E" w:rsidRDefault="00000000" w:rsidP="00903F4E">
            <w:pPr>
              <w:spacing w:line="276" w:lineRule="auto"/>
              <w:jc w:val="both"/>
              <w:rPr>
                <w:rFonts w:cs="Times New Roman"/>
                <w:szCs w:val="24"/>
              </w:rPr>
            </w:pPr>
            <w:r w:rsidRPr="00903F4E">
              <w:rPr>
                <w:rFonts w:cs="Times New Roman"/>
                <w:b/>
                <w:bCs/>
                <w:szCs w:val="24"/>
              </w:rPr>
              <w:t>Audit Item</w:t>
            </w:r>
          </w:p>
        </w:tc>
        <w:tc>
          <w:tcPr>
            <w:tcW w:w="0" w:type="auto"/>
            <w:tcMar>
              <w:top w:w="80" w:type="dxa"/>
              <w:left w:w="100" w:type="dxa"/>
              <w:bottom w:w="80" w:type="dxa"/>
              <w:right w:w="100" w:type="dxa"/>
            </w:tcMar>
          </w:tcPr>
          <w:p w14:paraId="0E451734" w14:textId="77777777" w:rsidR="00F21B97" w:rsidRPr="00903F4E" w:rsidRDefault="00000000" w:rsidP="00903F4E">
            <w:pPr>
              <w:spacing w:line="276" w:lineRule="auto"/>
              <w:jc w:val="both"/>
              <w:rPr>
                <w:rFonts w:cs="Times New Roman"/>
                <w:szCs w:val="24"/>
              </w:rPr>
            </w:pPr>
            <w:r w:rsidRPr="00903F4E">
              <w:rPr>
                <w:rFonts w:cs="Times New Roman"/>
                <w:b/>
                <w:bCs/>
                <w:szCs w:val="24"/>
              </w:rPr>
              <w:t>Minimum Acceptable Standard</w:t>
            </w:r>
          </w:p>
        </w:tc>
        <w:tc>
          <w:tcPr>
            <w:tcW w:w="0" w:type="auto"/>
            <w:tcMar>
              <w:top w:w="80" w:type="dxa"/>
              <w:left w:w="100" w:type="dxa"/>
              <w:bottom w:w="80" w:type="dxa"/>
              <w:right w:w="100" w:type="dxa"/>
            </w:tcMar>
          </w:tcPr>
          <w:p w14:paraId="0B97E85B" w14:textId="77777777" w:rsidR="00F21B97" w:rsidRPr="00903F4E" w:rsidRDefault="00000000" w:rsidP="00903F4E">
            <w:pPr>
              <w:spacing w:line="276" w:lineRule="auto"/>
              <w:jc w:val="both"/>
              <w:rPr>
                <w:rFonts w:cs="Times New Roman"/>
                <w:szCs w:val="24"/>
              </w:rPr>
            </w:pPr>
            <w:r w:rsidRPr="00903F4E">
              <w:rPr>
                <w:rFonts w:cs="Times New Roman"/>
                <w:b/>
                <w:bCs/>
                <w:szCs w:val="24"/>
              </w:rPr>
              <w:t>Evidence Required</w:t>
            </w:r>
          </w:p>
        </w:tc>
      </w:tr>
      <w:tr w:rsidR="008776AB" w:rsidRPr="00903F4E" w14:paraId="48597E51" w14:textId="77777777" w:rsidTr="006C32FD">
        <w:tc>
          <w:tcPr>
            <w:tcW w:w="0" w:type="auto"/>
            <w:tcMar>
              <w:top w:w="60" w:type="dxa"/>
              <w:left w:w="100" w:type="dxa"/>
              <w:bottom w:w="60" w:type="dxa"/>
              <w:right w:w="100" w:type="dxa"/>
            </w:tcMar>
          </w:tcPr>
          <w:p w14:paraId="35AD57D0" w14:textId="77777777" w:rsidR="00F21B97" w:rsidRPr="00903F4E" w:rsidRDefault="00000000" w:rsidP="00903F4E">
            <w:pPr>
              <w:spacing w:after="40" w:line="276" w:lineRule="auto"/>
              <w:jc w:val="both"/>
              <w:rPr>
                <w:rFonts w:cs="Times New Roman"/>
                <w:szCs w:val="24"/>
              </w:rPr>
            </w:pPr>
            <w:r w:rsidRPr="00903F4E">
              <w:rPr>
                <w:rFonts w:cs="Times New Roman"/>
                <w:szCs w:val="24"/>
              </w:rPr>
              <w:t>C1: EU AI Act Conformity Assessment</w:t>
            </w:r>
          </w:p>
        </w:tc>
        <w:tc>
          <w:tcPr>
            <w:tcW w:w="0" w:type="auto"/>
            <w:tcMar>
              <w:top w:w="60" w:type="dxa"/>
              <w:left w:w="100" w:type="dxa"/>
              <w:bottom w:w="60" w:type="dxa"/>
              <w:right w:w="100" w:type="dxa"/>
            </w:tcMar>
          </w:tcPr>
          <w:p w14:paraId="560E92FD" w14:textId="77777777" w:rsidR="00F21B97" w:rsidRPr="00903F4E" w:rsidRDefault="00000000" w:rsidP="00903F4E">
            <w:pPr>
              <w:spacing w:after="40" w:line="276" w:lineRule="auto"/>
              <w:jc w:val="both"/>
              <w:rPr>
                <w:rFonts w:cs="Times New Roman"/>
                <w:szCs w:val="24"/>
              </w:rPr>
            </w:pPr>
            <w:r w:rsidRPr="00903F4E">
              <w:rPr>
                <w:rFonts w:cs="Times New Roman"/>
                <w:szCs w:val="24"/>
              </w:rPr>
              <w:t>Valid EU AI Act conformity assessment (self-assessed Annex VI or third-party Annex VII) dated within 24 months.</w:t>
            </w:r>
          </w:p>
        </w:tc>
        <w:tc>
          <w:tcPr>
            <w:tcW w:w="0" w:type="auto"/>
            <w:tcMar>
              <w:top w:w="60" w:type="dxa"/>
              <w:left w:w="100" w:type="dxa"/>
              <w:bottom w:w="60" w:type="dxa"/>
              <w:right w:w="100" w:type="dxa"/>
            </w:tcMar>
          </w:tcPr>
          <w:p w14:paraId="0829D83E" w14:textId="77777777" w:rsidR="00F21B97" w:rsidRPr="00903F4E" w:rsidRDefault="00000000" w:rsidP="00903F4E">
            <w:pPr>
              <w:spacing w:after="40" w:line="276" w:lineRule="auto"/>
              <w:jc w:val="both"/>
              <w:rPr>
                <w:rFonts w:cs="Times New Roman"/>
                <w:szCs w:val="24"/>
              </w:rPr>
            </w:pPr>
            <w:r w:rsidRPr="00903F4E">
              <w:rPr>
                <w:rFonts w:cs="Times New Roman"/>
                <w:szCs w:val="24"/>
              </w:rPr>
              <w:t>Conformity assessment certificate or self-declaration documentation.</w:t>
            </w:r>
          </w:p>
        </w:tc>
      </w:tr>
      <w:tr w:rsidR="008776AB" w:rsidRPr="00903F4E" w14:paraId="4F9506A8" w14:textId="77777777" w:rsidTr="006C32FD">
        <w:tc>
          <w:tcPr>
            <w:tcW w:w="0" w:type="auto"/>
            <w:tcMar>
              <w:top w:w="60" w:type="dxa"/>
              <w:left w:w="100" w:type="dxa"/>
              <w:bottom w:w="60" w:type="dxa"/>
              <w:right w:w="100" w:type="dxa"/>
            </w:tcMar>
          </w:tcPr>
          <w:p w14:paraId="2C4FC151" w14:textId="77777777" w:rsidR="00F21B97" w:rsidRPr="00903F4E" w:rsidRDefault="00000000" w:rsidP="00903F4E">
            <w:pPr>
              <w:spacing w:after="40" w:line="276" w:lineRule="auto"/>
              <w:jc w:val="both"/>
              <w:rPr>
                <w:rFonts w:cs="Times New Roman"/>
                <w:szCs w:val="24"/>
              </w:rPr>
            </w:pPr>
            <w:r w:rsidRPr="00903F4E">
              <w:rPr>
                <w:rFonts w:cs="Times New Roman"/>
                <w:szCs w:val="24"/>
              </w:rPr>
              <w:t>C2: GDPR Article 22 compliance</w:t>
            </w:r>
          </w:p>
        </w:tc>
        <w:tc>
          <w:tcPr>
            <w:tcW w:w="0" w:type="auto"/>
            <w:tcMar>
              <w:top w:w="60" w:type="dxa"/>
              <w:left w:w="100" w:type="dxa"/>
              <w:bottom w:w="60" w:type="dxa"/>
              <w:right w:w="100" w:type="dxa"/>
            </w:tcMar>
          </w:tcPr>
          <w:p w14:paraId="0AB81CBE" w14:textId="77777777" w:rsidR="00F21B97" w:rsidRPr="00903F4E" w:rsidRDefault="00000000" w:rsidP="00903F4E">
            <w:pPr>
              <w:spacing w:after="40" w:line="276" w:lineRule="auto"/>
              <w:jc w:val="both"/>
              <w:rPr>
                <w:rFonts w:cs="Times New Roman"/>
                <w:szCs w:val="24"/>
              </w:rPr>
            </w:pPr>
            <w:r w:rsidRPr="00903F4E">
              <w:rPr>
                <w:rFonts w:cs="Times New Roman"/>
                <w:szCs w:val="24"/>
              </w:rPr>
              <w:t>Documented human oversight procedure for all adverse decisions generated using FRT output. No automated identification decisions without human review for high-stakes applications.</w:t>
            </w:r>
          </w:p>
        </w:tc>
        <w:tc>
          <w:tcPr>
            <w:tcW w:w="0" w:type="auto"/>
            <w:tcMar>
              <w:top w:w="60" w:type="dxa"/>
              <w:left w:w="100" w:type="dxa"/>
              <w:bottom w:w="60" w:type="dxa"/>
              <w:right w:w="100" w:type="dxa"/>
            </w:tcMar>
          </w:tcPr>
          <w:p w14:paraId="5433501B" w14:textId="77777777" w:rsidR="00F21B97" w:rsidRPr="00903F4E" w:rsidRDefault="00000000" w:rsidP="00903F4E">
            <w:pPr>
              <w:spacing w:after="40" w:line="276" w:lineRule="auto"/>
              <w:jc w:val="both"/>
              <w:rPr>
                <w:rFonts w:cs="Times New Roman"/>
                <w:szCs w:val="24"/>
              </w:rPr>
            </w:pPr>
            <w:r w:rsidRPr="00903F4E">
              <w:rPr>
                <w:rFonts w:cs="Times New Roman"/>
                <w:szCs w:val="24"/>
              </w:rPr>
              <w:t>Processing activity records and human oversight procedure documentation.</w:t>
            </w:r>
          </w:p>
        </w:tc>
      </w:tr>
      <w:tr w:rsidR="008776AB" w:rsidRPr="00903F4E" w14:paraId="00259DFD" w14:textId="77777777" w:rsidTr="006C32FD">
        <w:tc>
          <w:tcPr>
            <w:tcW w:w="0" w:type="auto"/>
            <w:tcMar>
              <w:top w:w="60" w:type="dxa"/>
              <w:left w:w="100" w:type="dxa"/>
              <w:bottom w:w="60" w:type="dxa"/>
              <w:right w:w="100" w:type="dxa"/>
            </w:tcMar>
          </w:tcPr>
          <w:p w14:paraId="232D359F" w14:textId="77777777" w:rsidR="00F21B97" w:rsidRPr="00903F4E" w:rsidRDefault="00000000" w:rsidP="00903F4E">
            <w:pPr>
              <w:spacing w:after="40" w:line="276" w:lineRule="auto"/>
              <w:jc w:val="both"/>
              <w:rPr>
                <w:rFonts w:cs="Times New Roman"/>
                <w:szCs w:val="24"/>
              </w:rPr>
            </w:pPr>
            <w:r w:rsidRPr="00903F4E">
              <w:rPr>
                <w:rFonts w:cs="Times New Roman"/>
                <w:szCs w:val="24"/>
              </w:rPr>
              <w:t>C3: Fundamental Rights Impact Assessment</w:t>
            </w:r>
          </w:p>
        </w:tc>
        <w:tc>
          <w:tcPr>
            <w:tcW w:w="0" w:type="auto"/>
            <w:tcMar>
              <w:top w:w="60" w:type="dxa"/>
              <w:left w:w="100" w:type="dxa"/>
              <w:bottom w:w="60" w:type="dxa"/>
              <w:right w:w="100" w:type="dxa"/>
            </w:tcMar>
          </w:tcPr>
          <w:p w14:paraId="186EDF65" w14:textId="77777777" w:rsidR="00F21B97" w:rsidRPr="00903F4E" w:rsidRDefault="00000000" w:rsidP="00903F4E">
            <w:pPr>
              <w:spacing w:after="40" w:line="276" w:lineRule="auto"/>
              <w:jc w:val="both"/>
              <w:rPr>
                <w:rFonts w:cs="Times New Roman"/>
                <w:szCs w:val="24"/>
              </w:rPr>
            </w:pPr>
            <w:r w:rsidRPr="00903F4E">
              <w:rPr>
                <w:rFonts w:cs="Times New Roman"/>
                <w:szCs w:val="24"/>
              </w:rPr>
              <w:t>Vendor has conducted and documented a Fundamental Rights Impact Assessment as required by EU AI Act Article 27 for public authority deployers.</w:t>
            </w:r>
          </w:p>
        </w:tc>
        <w:tc>
          <w:tcPr>
            <w:tcW w:w="0" w:type="auto"/>
            <w:tcMar>
              <w:top w:w="60" w:type="dxa"/>
              <w:left w:w="100" w:type="dxa"/>
              <w:bottom w:w="60" w:type="dxa"/>
              <w:right w:w="100" w:type="dxa"/>
            </w:tcMar>
          </w:tcPr>
          <w:p w14:paraId="707CD5DE" w14:textId="77777777" w:rsidR="00F21B97" w:rsidRPr="00903F4E" w:rsidRDefault="00000000" w:rsidP="00903F4E">
            <w:pPr>
              <w:spacing w:after="40" w:line="276" w:lineRule="auto"/>
              <w:jc w:val="both"/>
              <w:rPr>
                <w:rFonts w:cs="Times New Roman"/>
                <w:szCs w:val="24"/>
              </w:rPr>
            </w:pPr>
            <w:r w:rsidRPr="00903F4E">
              <w:rPr>
                <w:rFonts w:cs="Times New Roman"/>
                <w:szCs w:val="24"/>
              </w:rPr>
              <w:t>FRIA documentation. For commercial deployers, substitute with Data Protection Impact Assessment under GDPR Article 35.</w:t>
            </w:r>
          </w:p>
        </w:tc>
      </w:tr>
      <w:tr w:rsidR="008776AB" w:rsidRPr="00903F4E" w14:paraId="4DD39D81" w14:textId="77777777" w:rsidTr="006C32FD">
        <w:tc>
          <w:tcPr>
            <w:tcW w:w="0" w:type="auto"/>
            <w:tcMar>
              <w:top w:w="60" w:type="dxa"/>
              <w:left w:w="100" w:type="dxa"/>
              <w:bottom w:w="60" w:type="dxa"/>
              <w:right w:w="100" w:type="dxa"/>
            </w:tcMar>
          </w:tcPr>
          <w:p w14:paraId="3E2A9B99" w14:textId="77777777" w:rsidR="00F21B97" w:rsidRPr="00903F4E" w:rsidRDefault="00000000" w:rsidP="00903F4E">
            <w:pPr>
              <w:spacing w:after="40" w:line="276" w:lineRule="auto"/>
              <w:jc w:val="both"/>
              <w:rPr>
                <w:rFonts w:cs="Times New Roman"/>
                <w:szCs w:val="24"/>
              </w:rPr>
            </w:pPr>
            <w:r w:rsidRPr="00903F4E">
              <w:rPr>
                <w:rFonts w:cs="Times New Roman"/>
                <w:szCs w:val="24"/>
              </w:rPr>
              <w:t>C4: NIST FRTE submission</w:t>
            </w:r>
          </w:p>
        </w:tc>
        <w:tc>
          <w:tcPr>
            <w:tcW w:w="0" w:type="auto"/>
            <w:tcMar>
              <w:top w:w="60" w:type="dxa"/>
              <w:left w:w="100" w:type="dxa"/>
              <w:bottom w:w="60" w:type="dxa"/>
              <w:right w:w="100" w:type="dxa"/>
            </w:tcMar>
          </w:tcPr>
          <w:p w14:paraId="03A00844" w14:textId="77777777" w:rsidR="00F21B97" w:rsidRPr="00903F4E" w:rsidRDefault="00000000" w:rsidP="00903F4E">
            <w:pPr>
              <w:spacing w:after="40" w:line="276" w:lineRule="auto"/>
              <w:jc w:val="both"/>
              <w:rPr>
                <w:rFonts w:cs="Times New Roman"/>
                <w:szCs w:val="24"/>
              </w:rPr>
            </w:pPr>
            <w:r w:rsidRPr="00903F4E">
              <w:rPr>
                <w:rFonts w:cs="Times New Roman"/>
                <w:szCs w:val="24"/>
              </w:rPr>
              <w:t xml:space="preserve">Vendor algorithm has been submitted to and evaluated by NIST FRTE within </w:t>
            </w:r>
            <w:r w:rsidRPr="00903F4E">
              <w:rPr>
                <w:rFonts w:cs="Times New Roman"/>
                <w:szCs w:val="24"/>
              </w:rPr>
              <w:lastRenderedPageBreak/>
              <w:t>last 24 months. Results publicly available on NIST FRTE portal.</w:t>
            </w:r>
          </w:p>
        </w:tc>
        <w:tc>
          <w:tcPr>
            <w:tcW w:w="0" w:type="auto"/>
            <w:tcMar>
              <w:top w:w="60" w:type="dxa"/>
              <w:left w:w="100" w:type="dxa"/>
              <w:bottom w:w="60" w:type="dxa"/>
              <w:right w:w="100" w:type="dxa"/>
            </w:tcMar>
          </w:tcPr>
          <w:p w14:paraId="2D69C5BD" w14:textId="77777777" w:rsidR="00F21B97" w:rsidRPr="00903F4E" w:rsidRDefault="00000000" w:rsidP="00903F4E">
            <w:pPr>
              <w:spacing w:after="40" w:line="276" w:lineRule="auto"/>
              <w:jc w:val="both"/>
              <w:rPr>
                <w:rFonts w:cs="Times New Roman"/>
                <w:szCs w:val="24"/>
              </w:rPr>
            </w:pPr>
            <w:r w:rsidRPr="00903F4E">
              <w:rPr>
                <w:rFonts w:cs="Times New Roman"/>
                <w:szCs w:val="24"/>
              </w:rPr>
              <w:lastRenderedPageBreak/>
              <w:t>NIST FRTE submission confirmation and link to published results.</w:t>
            </w:r>
          </w:p>
        </w:tc>
      </w:tr>
    </w:tbl>
    <w:p w14:paraId="4A4E4065" w14:textId="77777777" w:rsidR="00F21B97" w:rsidRPr="00903F4E" w:rsidRDefault="00F21B97" w:rsidP="00903F4E">
      <w:pPr>
        <w:spacing w:line="276" w:lineRule="auto"/>
        <w:jc w:val="both"/>
        <w:rPr>
          <w:rFonts w:cs="Times New Roman"/>
          <w:szCs w:val="24"/>
        </w:rPr>
      </w:pPr>
    </w:p>
    <w:p w14:paraId="77922884" w14:textId="49D79E9B" w:rsidR="00F21B97" w:rsidRPr="00903F4E" w:rsidRDefault="00000000" w:rsidP="00903F4E">
      <w:pPr>
        <w:pStyle w:val="Heading3"/>
        <w:spacing w:line="276" w:lineRule="auto"/>
        <w:jc w:val="both"/>
        <w:rPr>
          <w:rFonts w:cs="Times New Roman"/>
        </w:rPr>
      </w:pPr>
      <w:bookmarkStart w:id="32" w:name="_Toc226740485"/>
      <w:r w:rsidRPr="00903F4E">
        <w:rPr>
          <w:rFonts w:cs="Times New Roman"/>
          <w:i/>
        </w:rPr>
        <w:t>Domain D: Contractual Protections</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7"/>
        <w:gridCol w:w="3829"/>
      </w:tblGrid>
      <w:tr w:rsidR="008776AB" w:rsidRPr="00903F4E" w14:paraId="775C07CA" w14:textId="77777777" w:rsidTr="006C32FD">
        <w:tc>
          <w:tcPr>
            <w:tcW w:w="0" w:type="auto"/>
            <w:tcMar>
              <w:top w:w="80" w:type="dxa"/>
              <w:left w:w="120" w:type="dxa"/>
              <w:bottom w:w="80" w:type="dxa"/>
              <w:right w:w="120" w:type="dxa"/>
            </w:tcMar>
          </w:tcPr>
          <w:p w14:paraId="3D2949A3" w14:textId="77777777" w:rsidR="00F21B97" w:rsidRPr="00903F4E" w:rsidRDefault="00000000" w:rsidP="00903F4E">
            <w:pPr>
              <w:spacing w:line="276" w:lineRule="auto"/>
              <w:jc w:val="both"/>
              <w:rPr>
                <w:rFonts w:cs="Times New Roman"/>
                <w:szCs w:val="24"/>
              </w:rPr>
            </w:pPr>
            <w:r w:rsidRPr="00903F4E">
              <w:rPr>
                <w:rFonts w:cs="Times New Roman"/>
                <w:b/>
                <w:bCs/>
                <w:szCs w:val="24"/>
              </w:rPr>
              <w:t>Contractual Provision</w:t>
            </w:r>
          </w:p>
        </w:tc>
        <w:tc>
          <w:tcPr>
            <w:tcW w:w="0" w:type="auto"/>
            <w:tcMar>
              <w:top w:w="80" w:type="dxa"/>
              <w:left w:w="120" w:type="dxa"/>
              <w:bottom w:w="80" w:type="dxa"/>
              <w:right w:w="120" w:type="dxa"/>
            </w:tcMar>
          </w:tcPr>
          <w:p w14:paraId="73FACB74" w14:textId="77777777" w:rsidR="00F21B97" w:rsidRPr="00903F4E" w:rsidRDefault="00000000" w:rsidP="00903F4E">
            <w:pPr>
              <w:spacing w:line="276" w:lineRule="auto"/>
              <w:jc w:val="both"/>
              <w:rPr>
                <w:rFonts w:cs="Times New Roman"/>
                <w:szCs w:val="24"/>
              </w:rPr>
            </w:pPr>
            <w:r w:rsidRPr="00903F4E">
              <w:rPr>
                <w:rFonts w:cs="Times New Roman"/>
                <w:b/>
                <w:bCs/>
                <w:szCs w:val="24"/>
              </w:rPr>
              <w:t>Justification</w:t>
            </w:r>
          </w:p>
        </w:tc>
      </w:tr>
      <w:tr w:rsidR="008776AB" w:rsidRPr="00903F4E" w14:paraId="387780D4" w14:textId="77777777" w:rsidTr="006C32FD">
        <w:tc>
          <w:tcPr>
            <w:tcW w:w="0" w:type="auto"/>
            <w:tcMar>
              <w:top w:w="70" w:type="dxa"/>
              <w:left w:w="120" w:type="dxa"/>
              <w:bottom w:w="70" w:type="dxa"/>
              <w:right w:w="120" w:type="dxa"/>
            </w:tcMar>
          </w:tcPr>
          <w:p w14:paraId="20A3CAE5" w14:textId="4216AEC5" w:rsidR="00F21B97" w:rsidRPr="00903F4E" w:rsidRDefault="00000000" w:rsidP="00903F4E">
            <w:pPr>
              <w:spacing w:after="40" w:line="276" w:lineRule="auto"/>
              <w:jc w:val="both"/>
              <w:rPr>
                <w:rFonts w:cs="Times New Roman"/>
                <w:szCs w:val="24"/>
              </w:rPr>
            </w:pPr>
            <w:r w:rsidRPr="00903F4E">
              <w:rPr>
                <w:rFonts w:cs="Times New Roman"/>
                <w:szCs w:val="24"/>
              </w:rPr>
              <w:t>D1: Mandatory demographic performance warranties</w:t>
            </w:r>
            <w:r w:rsidR="00152A24" w:rsidRPr="00903F4E">
              <w:rPr>
                <w:rFonts w:cs="Times New Roman"/>
                <w:szCs w:val="24"/>
              </w:rPr>
              <w:t>,</w:t>
            </w:r>
            <w:r w:rsidRPr="00903F4E">
              <w:rPr>
                <w:rFonts w:cs="Times New Roman"/>
                <w:szCs w:val="24"/>
              </w:rPr>
              <w:t xml:space="preserve"> Vendor warrants that system will maintain FMR/FNMR Differential Ratio &lt; 3x throughout contract period.</w:t>
            </w:r>
          </w:p>
        </w:tc>
        <w:tc>
          <w:tcPr>
            <w:tcW w:w="0" w:type="auto"/>
            <w:tcMar>
              <w:top w:w="70" w:type="dxa"/>
              <w:left w:w="120" w:type="dxa"/>
              <w:bottom w:w="70" w:type="dxa"/>
              <w:right w:w="120" w:type="dxa"/>
            </w:tcMar>
          </w:tcPr>
          <w:p w14:paraId="46AB6611" w14:textId="77777777" w:rsidR="00F21B97" w:rsidRPr="00903F4E" w:rsidRDefault="00000000" w:rsidP="00903F4E">
            <w:pPr>
              <w:spacing w:after="40" w:line="276" w:lineRule="auto"/>
              <w:jc w:val="both"/>
              <w:rPr>
                <w:rFonts w:cs="Times New Roman"/>
                <w:szCs w:val="24"/>
              </w:rPr>
            </w:pPr>
            <w:r w:rsidRPr="00903F4E">
              <w:rPr>
                <w:rFonts w:cs="Times New Roman"/>
                <w:szCs w:val="24"/>
              </w:rPr>
              <w:t>Transfers contractual risk of performance degradation to vendor. Enables termination for cause if fairness standards are not maintained.</w:t>
            </w:r>
          </w:p>
        </w:tc>
      </w:tr>
      <w:tr w:rsidR="008776AB" w:rsidRPr="00903F4E" w14:paraId="466B325A" w14:textId="77777777" w:rsidTr="006C32FD">
        <w:tc>
          <w:tcPr>
            <w:tcW w:w="0" w:type="auto"/>
            <w:tcMar>
              <w:top w:w="70" w:type="dxa"/>
              <w:left w:w="120" w:type="dxa"/>
              <w:bottom w:w="70" w:type="dxa"/>
              <w:right w:w="120" w:type="dxa"/>
            </w:tcMar>
          </w:tcPr>
          <w:p w14:paraId="5B961902" w14:textId="15638680" w:rsidR="00F21B97" w:rsidRPr="00903F4E" w:rsidRDefault="00000000" w:rsidP="00903F4E">
            <w:pPr>
              <w:spacing w:after="40" w:line="276" w:lineRule="auto"/>
              <w:jc w:val="both"/>
              <w:rPr>
                <w:rFonts w:cs="Times New Roman"/>
                <w:szCs w:val="24"/>
              </w:rPr>
            </w:pPr>
            <w:r w:rsidRPr="00903F4E">
              <w:rPr>
                <w:rFonts w:cs="Times New Roman"/>
                <w:szCs w:val="24"/>
              </w:rPr>
              <w:t>D2: Algorithm update notification and re-evaluation clause</w:t>
            </w:r>
            <w:r w:rsidR="00152A24" w:rsidRPr="00903F4E">
              <w:rPr>
                <w:rFonts w:cs="Times New Roman"/>
                <w:szCs w:val="24"/>
              </w:rPr>
              <w:t>,</w:t>
            </w:r>
            <w:r w:rsidRPr="00903F4E">
              <w:rPr>
                <w:rFonts w:cs="Times New Roman"/>
                <w:szCs w:val="24"/>
              </w:rPr>
              <w:t xml:space="preserve"> Vendor must notify deploying organisation of algorithm updates and provide updated demographic performance data before any update is deployed to production systems.</w:t>
            </w:r>
          </w:p>
        </w:tc>
        <w:tc>
          <w:tcPr>
            <w:tcW w:w="0" w:type="auto"/>
            <w:tcMar>
              <w:top w:w="70" w:type="dxa"/>
              <w:left w:w="120" w:type="dxa"/>
              <w:bottom w:w="70" w:type="dxa"/>
              <w:right w:w="120" w:type="dxa"/>
            </w:tcMar>
          </w:tcPr>
          <w:p w14:paraId="284A5352" w14:textId="77777777" w:rsidR="00F21B97" w:rsidRPr="00903F4E" w:rsidRDefault="00000000" w:rsidP="00903F4E">
            <w:pPr>
              <w:spacing w:after="40" w:line="276" w:lineRule="auto"/>
              <w:jc w:val="both"/>
              <w:rPr>
                <w:rFonts w:cs="Times New Roman"/>
                <w:szCs w:val="24"/>
              </w:rPr>
            </w:pPr>
            <w:r w:rsidRPr="00903F4E">
              <w:rPr>
                <w:rFonts w:cs="Times New Roman"/>
                <w:szCs w:val="24"/>
              </w:rPr>
              <w:t>Prevents silent degradation of fairness characteristics following updates. Aligned with EU AI Act Art. 16 obligations on providers.</w:t>
            </w:r>
          </w:p>
        </w:tc>
      </w:tr>
      <w:tr w:rsidR="008776AB" w:rsidRPr="00903F4E" w14:paraId="6AB0F70C" w14:textId="77777777" w:rsidTr="006C32FD">
        <w:tc>
          <w:tcPr>
            <w:tcW w:w="0" w:type="auto"/>
            <w:tcMar>
              <w:top w:w="70" w:type="dxa"/>
              <w:left w:w="120" w:type="dxa"/>
              <w:bottom w:w="70" w:type="dxa"/>
              <w:right w:w="120" w:type="dxa"/>
            </w:tcMar>
          </w:tcPr>
          <w:p w14:paraId="19777E10" w14:textId="110BC9B1" w:rsidR="00F21B97" w:rsidRPr="00903F4E" w:rsidRDefault="00000000" w:rsidP="00903F4E">
            <w:pPr>
              <w:spacing w:after="40" w:line="276" w:lineRule="auto"/>
              <w:jc w:val="both"/>
              <w:rPr>
                <w:rFonts w:cs="Times New Roman"/>
                <w:szCs w:val="24"/>
              </w:rPr>
            </w:pPr>
            <w:r w:rsidRPr="00903F4E">
              <w:rPr>
                <w:rFonts w:cs="Times New Roman"/>
                <w:szCs w:val="24"/>
              </w:rPr>
              <w:t>D3: Audit access rights</w:t>
            </w:r>
            <w:r w:rsidR="00152A24" w:rsidRPr="00903F4E">
              <w:rPr>
                <w:rFonts w:cs="Times New Roman"/>
                <w:szCs w:val="24"/>
              </w:rPr>
              <w:t>,</w:t>
            </w:r>
            <w:r w:rsidRPr="00903F4E">
              <w:rPr>
                <w:rFonts w:cs="Times New Roman"/>
                <w:szCs w:val="24"/>
              </w:rPr>
              <w:t xml:space="preserve"> </w:t>
            </w:r>
            <w:r w:rsidR="00152A24" w:rsidRPr="00903F4E">
              <w:rPr>
                <w:rFonts w:cs="Times New Roman"/>
                <w:szCs w:val="24"/>
              </w:rPr>
              <w:t>deploying</w:t>
            </w:r>
            <w:r w:rsidRPr="00903F4E">
              <w:rPr>
                <w:rFonts w:cs="Times New Roman"/>
                <w:szCs w:val="24"/>
              </w:rPr>
              <w:t xml:space="preserve"> organisation retains right to commission independent third-party demographic performance audit at any point during contract period at vendor's cost, with vendor providing full API access to auditors.</w:t>
            </w:r>
          </w:p>
        </w:tc>
        <w:tc>
          <w:tcPr>
            <w:tcW w:w="0" w:type="auto"/>
            <w:tcMar>
              <w:top w:w="70" w:type="dxa"/>
              <w:left w:w="120" w:type="dxa"/>
              <w:bottom w:w="70" w:type="dxa"/>
              <w:right w:w="120" w:type="dxa"/>
            </w:tcMar>
          </w:tcPr>
          <w:p w14:paraId="182BFDB6" w14:textId="77777777" w:rsidR="00F21B97" w:rsidRPr="00903F4E" w:rsidRDefault="00000000" w:rsidP="00903F4E">
            <w:pPr>
              <w:spacing w:after="40" w:line="276" w:lineRule="auto"/>
              <w:jc w:val="both"/>
              <w:rPr>
                <w:rFonts w:cs="Times New Roman"/>
                <w:szCs w:val="24"/>
              </w:rPr>
            </w:pPr>
            <w:r w:rsidRPr="00903F4E">
              <w:rPr>
                <w:rFonts w:cs="Times New Roman"/>
                <w:szCs w:val="24"/>
              </w:rPr>
              <w:t>Operationalises the accountability principle. Ensures ongoing fairness monitoring is feasible.</w:t>
            </w:r>
          </w:p>
        </w:tc>
      </w:tr>
      <w:tr w:rsidR="008776AB" w:rsidRPr="00903F4E" w14:paraId="0451EFEE" w14:textId="77777777" w:rsidTr="006C32FD">
        <w:tc>
          <w:tcPr>
            <w:tcW w:w="0" w:type="auto"/>
            <w:tcMar>
              <w:top w:w="70" w:type="dxa"/>
              <w:left w:w="120" w:type="dxa"/>
              <w:bottom w:w="70" w:type="dxa"/>
              <w:right w:w="120" w:type="dxa"/>
            </w:tcMar>
          </w:tcPr>
          <w:p w14:paraId="22026F96" w14:textId="686693D7" w:rsidR="00F21B97" w:rsidRPr="00903F4E" w:rsidRDefault="00000000" w:rsidP="00903F4E">
            <w:pPr>
              <w:spacing w:after="40" w:line="276" w:lineRule="auto"/>
              <w:jc w:val="both"/>
              <w:rPr>
                <w:rFonts w:cs="Times New Roman"/>
                <w:szCs w:val="24"/>
              </w:rPr>
            </w:pPr>
            <w:r w:rsidRPr="00903F4E">
              <w:rPr>
                <w:rFonts w:cs="Times New Roman"/>
                <w:szCs w:val="24"/>
              </w:rPr>
              <w:t>D4: Incident reporting obligations</w:t>
            </w:r>
            <w:r w:rsidR="00152A24" w:rsidRPr="00903F4E">
              <w:rPr>
                <w:rFonts w:cs="Times New Roman"/>
                <w:szCs w:val="24"/>
              </w:rPr>
              <w:t>,</w:t>
            </w:r>
            <w:r w:rsidRPr="00903F4E">
              <w:rPr>
                <w:rFonts w:cs="Times New Roman"/>
                <w:szCs w:val="24"/>
              </w:rPr>
              <w:t xml:space="preserve"> Vendor must notify deploying organisation within 72 hours of becoming aware of any systematic performance failure affecting a demographic group.</w:t>
            </w:r>
          </w:p>
        </w:tc>
        <w:tc>
          <w:tcPr>
            <w:tcW w:w="0" w:type="auto"/>
            <w:tcMar>
              <w:top w:w="70" w:type="dxa"/>
              <w:left w:w="120" w:type="dxa"/>
              <w:bottom w:w="70" w:type="dxa"/>
              <w:right w:w="120" w:type="dxa"/>
            </w:tcMar>
          </w:tcPr>
          <w:p w14:paraId="527F9A5E" w14:textId="77777777" w:rsidR="00F21B97" w:rsidRPr="00903F4E" w:rsidRDefault="00000000" w:rsidP="00903F4E">
            <w:pPr>
              <w:spacing w:after="40" w:line="276" w:lineRule="auto"/>
              <w:jc w:val="both"/>
              <w:rPr>
                <w:rFonts w:cs="Times New Roman"/>
                <w:szCs w:val="24"/>
              </w:rPr>
            </w:pPr>
            <w:r w:rsidRPr="00903F4E">
              <w:rPr>
                <w:rFonts w:cs="Times New Roman"/>
                <w:szCs w:val="24"/>
              </w:rPr>
              <w:t>Aligned with GDPR breach notification obligations. Enables rapid incident response.</w:t>
            </w:r>
          </w:p>
        </w:tc>
      </w:tr>
    </w:tbl>
    <w:p w14:paraId="566E2087" w14:textId="77777777" w:rsidR="00F21B97" w:rsidRPr="00903F4E" w:rsidRDefault="00F21B97" w:rsidP="00903F4E">
      <w:pPr>
        <w:spacing w:line="276" w:lineRule="auto"/>
        <w:jc w:val="both"/>
        <w:rPr>
          <w:rFonts w:cs="Times New Roman"/>
          <w:szCs w:val="24"/>
        </w:rPr>
      </w:pPr>
    </w:p>
    <w:p w14:paraId="59E2B52E" w14:textId="77777777" w:rsidR="00F21B97" w:rsidRPr="00903F4E" w:rsidRDefault="00000000" w:rsidP="00903F4E">
      <w:pPr>
        <w:pStyle w:val="Heading3"/>
        <w:spacing w:line="276" w:lineRule="auto"/>
        <w:jc w:val="both"/>
        <w:rPr>
          <w:rFonts w:cs="Times New Roman"/>
        </w:rPr>
      </w:pPr>
      <w:bookmarkStart w:id="33" w:name="_Toc226740486"/>
      <w:r w:rsidRPr="00903F4E">
        <w:rPr>
          <w:rFonts w:cs="Times New Roman"/>
          <w:i/>
        </w:rPr>
        <w:t>Domain E: Organisational Governance</w:t>
      </w:r>
      <w:bookmarkEnd w:id="33"/>
    </w:p>
    <w:p w14:paraId="694D9341" w14:textId="77777777"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E1: Designate an AI System Lifecycle Steward (per IEEE P2863) with explicit responsibility for biometric system demographic fairness monitoring.</w:t>
      </w:r>
    </w:p>
    <w:p w14:paraId="601713E1" w14:textId="77777777"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E2: Establish a Biometric System Risk Register documenting the FMR/FNMR profile of each deployed system, its demographic performance characteristics, and the associated risk treatment decisions.</w:t>
      </w:r>
    </w:p>
    <w:p w14:paraId="706294D3" w14:textId="77777777"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E3: Integrate biometric fairness metrics into the annual Information Security Management System (ISMS) review process under ISO 27001 Clause 9.</w:t>
      </w:r>
    </w:p>
    <w:p w14:paraId="06486DF0" w14:textId="5AED22C7" w:rsidR="00F21B97" w:rsidRPr="00903F4E" w:rsidRDefault="00000000" w:rsidP="00903F4E">
      <w:pPr>
        <w:pStyle w:val="ListParagraph"/>
        <w:numPr>
          <w:ilvl w:val="0"/>
          <w:numId w:val="2"/>
        </w:numPr>
        <w:spacing w:after="80" w:line="276" w:lineRule="auto"/>
        <w:jc w:val="both"/>
        <w:rPr>
          <w:rFonts w:ascii="Times New Roman" w:hAnsi="Times New Roman" w:cs="Times New Roman"/>
          <w:sz w:val="24"/>
          <w:szCs w:val="24"/>
        </w:rPr>
      </w:pPr>
      <w:r w:rsidRPr="00903F4E">
        <w:rPr>
          <w:rFonts w:ascii="Times New Roman" w:hAnsi="Times New Roman" w:cs="Times New Roman"/>
          <w:sz w:val="24"/>
          <w:szCs w:val="24"/>
        </w:rPr>
        <w:t xml:space="preserve">E4: Develop an Incident Response Plan specifically addressing FRT false identification incidents, </w:t>
      </w:r>
      <w:r w:rsidR="00152A24" w:rsidRPr="00903F4E">
        <w:rPr>
          <w:rFonts w:ascii="Times New Roman" w:hAnsi="Times New Roman" w:cs="Times New Roman"/>
          <w:sz w:val="24"/>
          <w:szCs w:val="24"/>
        </w:rPr>
        <w:t>including</w:t>
      </w:r>
      <w:r w:rsidRPr="00903F4E">
        <w:rPr>
          <w:rFonts w:ascii="Times New Roman" w:hAnsi="Times New Roman" w:cs="Times New Roman"/>
          <w:sz w:val="24"/>
          <w:szCs w:val="24"/>
        </w:rPr>
        <w:t xml:space="preserve"> immediate system suspension procedures, victim notification protocols, law enforcement liaison procedures, legal counsel escalation, and regulatory notification obligations.</w:t>
      </w:r>
    </w:p>
    <w:p w14:paraId="16937419" w14:textId="77777777" w:rsidR="006E13FE" w:rsidRPr="00903F4E" w:rsidRDefault="006E13FE" w:rsidP="00903F4E">
      <w:pPr>
        <w:spacing w:after="80" w:line="276" w:lineRule="auto"/>
        <w:ind w:left="360"/>
        <w:jc w:val="both"/>
        <w:rPr>
          <w:rFonts w:cs="Times New Roman"/>
          <w:szCs w:val="24"/>
        </w:rPr>
      </w:pPr>
    </w:p>
    <w:p w14:paraId="23AE32CE" w14:textId="77777777" w:rsidR="00F21B97" w:rsidRPr="00903F4E" w:rsidRDefault="00000000" w:rsidP="00903F4E">
      <w:pPr>
        <w:pStyle w:val="Heading2"/>
        <w:spacing w:line="276" w:lineRule="auto"/>
        <w:jc w:val="both"/>
        <w:rPr>
          <w:rFonts w:cs="Times New Roman"/>
          <w:szCs w:val="24"/>
        </w:rPr>
      </w:pPr>
      <w:bookmarkStart w:id="34" w:name="_Toc226740487"/>
      <w:r w:rsidRPr="00903F4E">
        <w:rPr>
          <w:rFonts w:cs="Times New Roman"/>
          <w:szCs w:val="24"/>
        </w:rPr>
        <w:lastRenderedPageBreak/>
        <w:t>7.2 Continuous Monitoring Protocol</w:t>
      </w:r>
      <w:bookmarkEnd w:id="34"/>
    </w:p>
    <w:p w14:paraId="638F1DF3" w14:textId="565C16FD" w:rsidR="00F21B97" w:rsidRPr="00903F4E" w:rsidRDefault="00000000" w:rsidP="00903F4E">
      <w:pPr>
        <w:spacing w:after="140" w:line="276" w:lineRule="auto"/>
        <w:jc w:val="both"/>
        <w:rPr>
          <w:rFonts w:cs="Times New Roman"/>
          <w:szCs w:val="24"/>
        </w:rPr>
      </w:pPr>
      <w:r w:rsidRPr="00903F4E">
        <w:rPr>
          <w:rFonts w:cs="Times New Roman"/>
          <w:szCs w:val="24"/>
        </w:rPr>
        <w:t>Pre-procurement audit alone is insufficient given the dynamic nature of algorithm performance, operational context drift, and evolving demographic characteristics of the deployed population. The following Continuous Monitoring Protocol (CMP) is proposed as a post-deployment governance mechanism: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40"/>
        <w:gridCol w:w="3956"/>
      </w:tblGrid>
      <w:tr w:rsidR="008776AB" w:rsidRPr="00903F4E" w14:paraId="650CA370" w14:textId="77777777" w:rsidTr="006C32FD">
        <w:tc>
          <w:tcPr>
            <w:tcW w:w="0" w:type="auto"/>
            <w:tcMar>
              <w:top w:w="80" w:type="dxa"/>
              <w:left w:w="120" w:type="dxa"/>
              <w:bottom w:w="80" w:type="dxa"/>
              <w:right w:w="120" w:type="dxa"/>
            </w:tcMar>
          </w:tcPr>
          <w:p w14:paraId="047CE04D" w14:textId="77777777" w:rsidR="00F21B97" w:rsidRPr="00903F4E" w:rsidRDefault="00000000" w:rsidP="00903F4E">
            <w:pPr>
              <w:spacing w:line="276" w:lineRule="auto"/>
              <w:jc w:val="both"/>
              <w:rPr>
                <w:rFonts w:cs="Times New Roman"/>
                <w:szCs w:val="24"/>
              </w:rPr>
            </w:pPr>
            <w:r w:rsidRPr="00903F4E">
              <w:rPr>
                <w:rFonts w:cs="Times New Roman"/>
                <w:b/>
                <w:bCs/>
                <w:szCs w:val="24"/>
              </w:rPr>
              <w:t>Monitoring Activity</w:t>
            </w:r>
          </w:p>
        </w:tc>
        <w:tc>
          <w:tcPr>
            <w:tcW w:w="0" w:type="auto"/>
            <w:tcMar>
              <w:top w:w="80" w:type="dxa"/>
              <w:left w:w="120" w:type="dxa"/>
              <w:bottom w:w="80" w:type="dxa"/>
              <w:right w:w="120" w:type="dxa"/>
            </w:tcMar>
          </w:tcPr>
          <w:p w14:paraId="45B5A876" w14:textId="77777777" w:rsidR="00F21B97" w:rsidRPr="00903F4E" w:rsidRDefault="00000000" w:rsidP="00903F4E">
            <w:pPr>
              <w:spacing w:line="276" w:lineRule="auto"/>
              <w:jc w:val="both"/>
              <w:rPr>
                <w:rFonts w:cs="Times New Roman"/>
                <w:szCs w:val="24"/>
              </w:rPr>
            </w:pPr>
            <w:r w:rsidRPr="00903F4E">
              <w:rPr>
                <w:rFonts w:cs="Times New Roman"/>
                <w:b/>
                <w:bCs/>
                <w:szCs w:val="24"/>
              </w:rPr>
              <w:t>Frequency / Trigger</w:t>
            </w:r>
          </w:p>
        </w:tc>
      </w:tr>
      <w:tr w:rsidR="008776AB" w:rsidRPr="00903F4E" w14:paraId="1A2EC9D4" w14:textId="77777777" w:rsidTr="006C32FD">
        <w:tc>
          <w:tcPr>
            <w:tcW w:w="0" w:type="auto"/>
            <w:tcMar>
              <w:top w:w="70" w:type="dxa"/>
              <w:left w:w="120" w:type="dxa"/>
              <w:bottom w:w="70" w:type="dxa"/>
              <w:right w:w="120" w:type="dxa"/>
            </w:tcMar>
          </w:tcPr>
          <w:p w14:paraId="30E6E118" w14:textId="5128335B" w:rsidR="00F21B97" w:rsidRPr="00903F4E" w:rsidRDefault="00000000" w:rsidP="00903F4E">
            <w:pPr>
              <w:spacing w:after="40" w:line="276" w:lineRule="auto"/>
              <w:jc w:val="both"/>
              <w:rPr>
                <w:rFonts w:cs="Times New Roman"/>
                <w:szCs w:val="24"/>
              </w:rPr>
            </w:pPr>
            <w:r w:rsidRPr="00903F4E">
              <w:rPr>
                <w:rFonts w:cs="Times New Roman"/>
                <w:szCs w:val="24"/>
              </w:rPr>
              <w:t>Operational FMR/FNMR tracking</w:t>
            </w:r>
            <w:r w:rsidR="00152A24" w:rsidRPr="00903F4E">
              <w:rPr>
                <w:rFonts w:cs="Times New Roman"/>
                <w:szCs w:val="24"/>
              </w:rPr>
              <w:t>,</w:t>
            </w:r>
            <w:r w:rsidRPr="00903F4E">
              <w:rPr>
                <w:rFonts w:cs="Times New Roman"/>
                <w:szCs w:val="24"/>
              </w:rPr>
              <w:t xml:space="preserve"> </w:t>
            </w:r>
            <w:r w:rsidR="00152A24" w:rsidRPr="00903F4E">
              <w:rPr>
                <w:rFonts w:cs="Times New Roman"/>
                <w:szCs w:val="24"/>
              </w:rPr>
              <w:t>l</w:t>
            </w:r>
            <w:r w:rsidRPr="00903F4E">
              <w:rPr>
                <w:rFonts w:cs="Times New Roman"/>
                <w:szCs w:val="24"/>
              </w:rPr>
              <w:t xml:space="preserve">og all biometric match and non-match decisions with associated confidence scores. Compute rolling demographic FMR/FNMR Differential Ratio </w:t>
            </w:r>
            <w:r w:rsidR="00152A24" w:rsidRPr="00903F4E">
              <w:rPr>
                <w:rFonts w:cs="Times New Roman"/>
                <w:szCs w:val="24"/>
              </w:rPr>
              <w:t>monthly</w:t>
            </w:r>
            <w:r w:rsidRPr="00903F4E">
              <w:rPr>
                <w:rFonts w:cs="Times New Roman"/>
                <w:szCs w:val="24"/>
              </w:rPr>
              <w:t>.</w:t>
            </w:r>
          </w:p>
        </w:tc>
        <w:tc>
          <w:tcPr>
            <w:tcW w:w="0" w:type="auto"/>
            <w:tcMar>
              <w:top w:w="70" w:type="dxa"/>
              <w:left w:w="120" w:type="dxa"/>
              <w:bottom w:w="70" w:type="dxa"/>
              <w:right w:w="120" w:type="dxa"/>
            </w:tcMar>
          </w:tcPr>
          <w:p w14:paraId="245634A8" w14:textId="77777777" w:rsidR="00F21B97" w:rsidRPr="00903F4E" w:rsidRDefault="00000000" w:rsidP="00903F4E">
            <w:pPr>
              <w:spacing w:after="40" w:line="276" w:lineRule="auto"/>
              <w:jc w:val="both"/>
              <w:rPr>
                <w:rFonts w:cs="Times New Roman"/>
                <w:szCs w:val="24"/>
              </w:rPr>
            </w:pPr>
            <w:r w:rsidRPr="00903F4E">
              <w:rPr>
                <w:rFonts w:cs="Times New Roman"/>
                <w:szCs w:val="24"/>
              </w:rPr>
              <w:t>Monthly. Immediate review if Differential Ratio exceeds 3x threshold.</w:t>
            </w:r>
          </w:p>
        </w:tc>
      </w:tr>
      <w:tr w:rsidR="008776AB" w:rsidRPr="00903F4E" w14:paraId="5BECE089" w14:textId="77777777" w:rsidTr="006C32FD">
        <w:tc>
          <w:tcPr>
            <w:tcW w:w="0" w:type="auto"/>
            <w:tcMar>
              <w:top w:w="70" w:type="dxa"/>
              <w:left w:w="120" w:type="dxa"/>
              <w:bottom w:w="70" w:type="dxa"/>
              <w:right w:w="120" w:type="dxa"/>
            </w:tcMar>
          </w:tcPr>
          <w:p w14:paraId="100197B8" w14:textId="1A1ACB64" w:rsidR="00F21B97" w:rsidRPr="00903F4E" w:rsidRDefault="00000000" w:rsidP="00903F4E">
            <w:pPr>
              <w:spacing w:after="40" w:line="276" w:lineRule="auto"/>
              <w:jc w:val="both"/>
              <w:rPr>
                <w:rFonts w:cs="Times New Roman"/>
                <w:szCs w:val="24"/>
              </w:rPr>
            </w:pPr>
            <w:r w:rsidRPr="00903F4E">
              <w:rPr>
                <w:rFonts w:cs="Times New Roman"/>
                <w:szCs w:val="24"/>
              </w:rPr>
              <w:t>Demographic drift assessment</w:t>
            </w:r>
            <w:r w:rsidR="00152A24" w:rsidRPr="00903F4E">
              <w:rPr>
                <w:rFonts w:cs="Times New Roman"/>
                <w:szCs w:val="24"/>
              </w:rPr>
              <w:t>,</w:t>
            </w:r>
            <w:r w:rsidRPr="00903F4E">
              <w:rPr>
                <w:rFonts w:cs="Times New Roman"/>
                <w:szCs w:val="24"/>
              </w:rPr>
              <w:t xml:space="preserve"> </w:t>
            </w:r>
            <w:r w:rsidR="00152A24" w:rsidRPr="00903F4E">
              <w:rPr>
                <w:rFonts w:cs="Times New Roman"/>
                <w:szCs w:val="24"/>
              </w:rPr>
              <w:t>a</w:t>
            </w:r>
            <w:r w:rsidRPr="00903F4E">
              <w:rPr>
                <w:rFonts w:cs="Times New Roman"/>
                <w:szCs w:val="24"/>
              </w:rPr>
              <w:t>ssess whether the demographic characteristics of the enrolled/queried population have shifted significantly from the population on which vendor performance data was validated.</w:t>
            </w:r>
          </w:p>
        </w:tc>
        <w:tc>
          <w:tcPr>
            <w:tcW w:w="0" w:type="auto"/>
            <w:tcMar>
              <w:top w:w="70" w:type="dxa"/>
              <w:left w:w="120" w:type="dxa"/>
              <w:bottom w:w="70" w:type="dxa"/>
              <w:right w:w="120" w:type="dxa"/>
            </w:tcMar>
          </w:tcPr>
          <w:p w14:paraId="28262F2F" w14:textId="77777777" w:rsidR="00F21B97" w:rsidRPr="00903F4E" w:rsidRDefault="00000000" w:rsidP="00903F4E">
            <w:pPr>
              <w:spacing w:after="40" w:line="276" w:lineRule="auto"/>
              <w:jc w:val="both"/>
              <w:rPr>
                <w:rFonts w:cs="Times New Roman"/>
                <w:szCs w:val="24"/>
              </w:rPr>
            </w:pPr>
            <w:r w:rsidRPr="00903F4E">
              <w:rPr>
                <w:rFonts w:cs="Times New Roman"/>
                <w:szCs w:val="24"/>
              </w:rPr>
              <w:t>Quarterly. Triggered by any significant change in deployment context (new location, expanded use case).</w:t>
            </w:r>
          </w:p>
        </w:tc>
      </w:tr>
      <w:tr w:rsidR="008776AB" w:rsidRPr="00903F4E" w14:paraId="0C5923E9" w14:textId="77777777" w:rsidTr="006C32FD">
        <w:tc>
          <w:tcPr>
            <w:tcW w:w="0" w:type="auto"/>
            <w:tcMar>
              <w:top w:w="70" w:type="dxa"/>
              <w:left w:w="120" w:type="dxa"/>
              <w:bottom w:w="70" w:type="dxa"/>
              <w:right w:w="120" w:type="dxa"/>
            </w:tcMar>
          </w:tcPr>
          <w:p w14:paraId="296EC608" w14:textId="2F78E809" w:rsidR="00F21B97" w:rsidRPr="00903F4E" w:rsidRDefault="00000000" w:rsidP="00903F4E">
            <w:pPr>
              <w:spacing w:after="40" w:line="276" w:lineRule="auto"/>
              <w:jc w:val="both"/>
              <w:rPr>
                <w:rFonts w:cs="Times New Roman"/>
                <w:szCs w:val="24"/>
              </w:rPr>
            </w:pPr>
            <w:r w:rsidRPr="00903F4E">
              <w:rPr>
                <w:rFonts w:cs="Times New Roman"/>
                <w:szCs w:val="24"/>
              </w:rPr>
              <w:t>Algorithm update re-evaluation</w:t>
            </w:r>
            <w:r w:rsidR="00152A24" w:rsidRPr="00903F4E">
              <w:rPr>
                <w:rFonts w:cs="Times New Roman"/>
                <w:szCs w:val="24"/>
              </w:rPr>
              <w:t>, u</w:t>
            </w:r>
            <w:r w:rsidRPr="00903F4E">
              <w:rPr>
                <w:rFonts w:cs="Times New Roman"/>
                <w:szCs w:val="24"/>
              </w:rPr>
              <w:t>pon notification of any algorithm update, conduct structured re-evaluation of demographic performance before deploying update to production.</w:t>
            </w:r>
          </w:p>
        </w:tc>
        <w:tc>
          <w:tcPr>
            <w:tcW w:w="0" w:type="auto"/>
            <w:tcMar>
              <w:top w:w="70" w:type="dxa"/>
              <w:left w:w="120" w:type="dxa"/>
              <w:bottom w:w="70" w:type="dxa"/>
              <w:right w:w="120" w:type="dxa"/>
            </w:tcMar>
          </w:tcPr>
          <w:p w14:paraId="19AFE7B7" w14:textId="4A30B1C4" w:rsidR="00F21B97" w:rsidRPr="00903F4E" w:rsidRDefault="00000000" w:rsidP="00903F4E">
            <w:pPr>
              <w:spacing w:after="40" w:line="276" w:lineRule="auto"/>
              <w:jc w:val="both"/>
              <w:rPr>
                <w:rFonts w:cs="Times New Roman"/>
                <w:szCs w:val="24"/>
              </w:rPr>
            </w:pPr>
            <w:r w:rsidRPr="00903F4E">
              <w:rPr>
                <w:rFonts w:cs="Times New Roman"/>
                <w:szCs w:val="24"/>
              </w:rPr>
              <w:t>Event</w:t>
            </w:r>
            <w:r w:rsidR="00152A24" w:rsidRPr="00903F4E">
              <w:rPr>
                <w:rFonts w:cs="Times New Roman"/>
                <w:szCs w:val="24"/>
              </w:rPr>
              <w:t xml:space="preserve"> </w:t>
            </w:r>
            <w:r w:rsidRPr="00903F4E">
              <w:rPr>
                <w:rFonts w:cs="Times New Roman"/>
                <w:szCs w:val="24"/>
              </w:rPr>
              <w:t xml:space="preserve">triggered </w:t>
            </w:r>
            <w:r w:rsidR="00152A24" w:rsidRPr="00903F4E">
              <w:rPr>
                <w:rFonts w:cs="Times New Roman"/>
                <w:szCs w:val="24"/>
              </w:rPr>
              <w:t xml:space="preserve">that is </w:t>
            </w:r>
            <w:r w:rsidRPr="00903F4E">
              <w:rPr>
                <w:rFonts w:cs="Times New Roman"/>
                <w:szCs w:val="24"/>
              </w:rPr>
              <w:t>vendor notification per D2 contractual clause above.</w:t>
            </w:r>
          </w:p>
        </w:tc>
      </w:tr>
      <w:tr w:rsidR="008776AB" w:rsidRPr="00903F4E" w14:paraId="72AD2DE7" w14:textId="77777777" w:rsidTr="006C32FD">
        <w:tc>
          <w:tcPr>
            <w:tcW w:w="0" w:type="auto"/>
            <w:tcMar>
              <w:top w:w="70" w:type="dxa"/>
              <w:left w:w="120" w:type="dxa"/>
              <w:bottom w:w="70" w:type="dxa"/>
              <w:right w:w="120" w:type="dxa"/>
            </w:tcMar>
          </w:tcPr>
          <w:p w14:paraId="52C35F9C" w14:textId="491DBB87" w:rsidR="00F21B97" w:rsidRPr="00903F4E" w:rsidRDefault="00000000" w:rsidP="00903F4E">
            <w:pPr>
              <w:spacing w:after="40" w:line="276" w:lineRule="auto"/>
              <w:jc w:val="both"/>
              <w:rPr>
                <w:rFonts w:cs="Times New Roman"/>
                <w:szCs w:val="24"/>
              </w:rPr>
            </w:pPr>
            <w:r w:rsidRPr="00903F4E">
              <w:rPr>
                <w:rFonts w:cs="Times New Roman"/>
                <w:szCs w:val="24"/>
              </w:rPr>
              <w:t>Independent third-party audit</w:t>
            </w:r>
            <w:r w:rsidR="00152A24" w:rsidRPr="00903F4E">
              <w:rPr>
                <w:rFonts w:cs="Times New Roman"/>
                <w:szCs w:val="24"/>
              </w:rPr>
              <w:t>, c</w:t>
            </w:r>
            <w:r w:rsidRPr="00903F4E">
              <w:rPr>
                <w:rFonts w:cs="Times New Roman"/>
                <w:szCs w:val="24"/>
              </w:rPr>
              <w:t>ommission independent evaluation of deployed system demographic performance using NIST FRTE methodology adapted to operational conditions.</w:t>
            </w:r>
          </w:p>
        </w:tc>
        <w:tc>
          <w:tcPr>
            <w:tcW w:w="0" w:type="auto"/>
            <w:tcMar>
              <w:top w:w="70" w:type="dxa"/>
              <w:left w:w="120" w:type="dxa"/>
              <w:bottom w:w="70" w:type="dxa"/>
              <w:right w:w="120" w:type="dxa"/>
            </w:tcMar>
          </w:tcPr>
          <w:p w14:paraId="2C37C5D4" w14:textId="77777777" w:rsidR="00F21B97" w:rsidRPr="00903F4E" w:rsidRDefault="00000000" w:rsidP="00903F4E">
            <w:pPr>
              <w:spacing w:after="40" w:line="276" w:lineRule="auto"/>
              <w:jc w:val="both"/>
              <w:rPr>
                <w:rFonts w:cs="Times New Roman"/>
                <w:szCs w:val="24"/>
              </w:rPr>
            </w:pPr>
            <w:r w:rsidRPr="00903F4E">
              <w:rPr>
                <w:rFonts w:cs="Times New Roman"/>
                <w:szCs w:val="24"/>
              </w:rPr>
              <w:t xml:space="preserve">Annual minimum. Event-triggered </w:t>
            </w:r>
            <w:proofErr w:type="gramStart"/>
            <w:r w:rsidRPr="00903F4E">
              <w:rPr>
                <w:rFonts w:cs="Times New Roman"/>
                <w:szCs w:val="24"/>
              </w:rPr>
              <w:t>by:</w:t>
            </w:r>
            <w:proofErr w:type="gramEnd"/>
            <w:r w:rsidRPr="00903F4E">
              <w:rPr>
                <w:rFonts w:cs="Times New Roman"/>
                <w:szCs w:val="24"/>
              </w:rPr>
              <w:t xml:space="preserve"> false identification incident; demographic Differential Ratio exceeding 4x; regulatory inquiry; contract renewal.</w:t>
            </w:r>
          </w:p>
        </w:tc>
      </w:tr>
      <w:tr w:rsidR="008776AB" w:rsidRPr="00903F4E" w14:paraId="40B31DAE" w14:textId="77777777" w:rsidTr="006C32FD">
        <w:tc>
          <w:tcPr>
            <w:tcW w:w="0" w:type="auto"/>
            <w:tcMar>
              <w:top w:w="70" w:type="dxa"/>
              <w:left w:w="120" w:type="dxa"/>
              <w:bottom w:w="70" w:type="dxa"/>
              <w:right w:w="120" w:type="dxa"/>
            </w:tcMar>
          </w:tcPr>
          <w:p w14:paraId="78C6F997" w14:textId="3594B2A5" w:rsidR="00F21B97" w:rsidRPr="00903F4E" w:rsidRDefault="00000000" w:rsidP="00903F4E">
            <w:pPr>
              <w:spacing w:after="40" w:line="276" w:lineRule="auto"/>
              <w:jc w:val="both"/>
              <w:rPr>
                <w:rFonts w:cs="Times New Roman"/>
                <w:szCs w:val="24"/>
              </w:rPr>
            </w:pPr>
            <w:r w:rsidRPr="00903F4E">
              <w:rPr>
                <w:rFonts w:cs="Times New Roman"/>
                <w:szCs w:val="24"/>
              </w:rPr>
              <w:t>Regulatory compliance review</w:t>
            </w:r>
            <w:r w:rsidR="00152A24" w:rsidRPr="00903F4E">
              <w:rPr>
                <w:rFonts w:cs="Times New Roman"/>
                <w:szCs w:val="24"/>
              </w:rPr>
              <w:t>,</w:t>
            </w:r>
            <w:r w:rsidRPr="00903F4E">
              <w:rPr>
                <w:rFonts w:cs="Times New Roman"/>
                <w:szCs w:val="24"/>
              </w:rPr>
              <w:t xml:space="preserve"> </w:t>
            </w:r>
            <w:r w:rsidR="00152A24" w:rsidRPr="00903F4E">
              <w:rPr>
                <w:rFonts w:cs="Times New Roman"/>
                <w:szCs w:val="24"/>
              </w:rPr>
              <w:t>r</w:t>
            </w:r>
            <w:r w:rsidRPr="00903F4E">
              <w:rPr>
                <w:rFonts w:cs="Times New Roman"/>
                <w:szCs w:val="24"/>
              </w:rPr>
              <w:t>eview compliance status against any regulatory developments affecting biometric systems</w:t>
            </w:r>
            <w:r w:rsidR="00152A24" w:rsidRPr="00903F4E">
              <w:rPr>
                <w:rFonts w:cs="Times New Roman"/>
                <w:szCs w:val="24"/>
              </w:rPr>
              <w:t xml:space="preserve">, </w:t>
            </w:r>
            <w:r w:rsidRPr="00903F4E">
              <w:rPr>
                <w:rFonts w:cs="Times New Roman"/>
                <w:szCs w:val="24"/>
              </w:rPr>
              <w:t>EU AI Act updates, new ICO guidance, IEEE standard revisions.</w:t>
            </w:r>
          </w:p>
        </w:tc>
        <w:tc>
          <w:tcPr>
            <w:tcW w:w="0" w:type="auto"/>
            <w:tcMar>
              <w:top w:w="70" w:type="dxa"/>
              <w:left w:w="120" w:type="dxa"/>
              <w:bottom w:w="70" w:type="dxa"/>
              <w:right w:w="120" w:type="dxa"/>
            </w:tcMar>
          </w:tcPr>
          <w:p w14:paraId="04620DAB" w14:textId="77777777" w:rsidR="00F21B97" w:rsidRPr="00903F4E" w:rsidRDefault="00000000" w:rsidP="00903F4E">
            <w:pPr>
              <w:spacing w:after="40" w:line="276" w:lineRule="auto"/>
              <w:jc w:val="both"/>
              <w:rPr>
                <w:rFonts w:cs="Times New Roman"/>
                <w:szCs w:val="24"/>
              </w:rPr>
            </w:pPr>
            <w:r w:rsidRPr="00903F4E">
              <w:rPr>
                <w:rFonts w:cs="Times New Roman"/>
                <w:szCs w:val="24"/>
              </w:rPr>
              <w:t>Semi-annual. Immediate review upon publication of new regulatory guidance.</w:t>
            </w:r>
          </w:p>
        </w:tc>
      </w:tr>
    </w:tbl>
    <w:p w14:paraId="6C93B512" w14:textId="77777777" w:rsidR="00F21B97" w:rsidRPr="00903F4E" w:rsidRDefault="00000000" w:rsidP="00903F4E">
      <w:pPr>
        <w:pStyle w:val="Heading2"/>
        <w:spacing w:line="276" w:lineRule="auto"/>
        <w:jc w:val="both"/>
        <w:rPr>
          <w:rFonts w:cs="Times New Roman"/>
          <w:szCs w:val="24"/>
        </w:rPr>
      </w:pPr>
      <w:bookmarkStart w:id="35" w:name="_Toc226740488"/>
      <w:r w:rsidRPr="00903F4E">
        <w:rPr>
          <w:rFonts w:cs="Times New Roman"/>
          <w:szCs w:val="24"/>
        </w:rPr>
        <w:t>7.3 Incident Response and Liability Mitigation</w:t>
      </w:r>
      <w:bookmarkEnd w:id="35"/>
    </w:p>
    <w:p w14:paraId="799670D1" w14:textId="73119287" w:rsidR="00F21B97" w:rsidRPr="00903F4E" w:rsidRDefault="00000000" w:rsidP="00903F4E">
      <w:pPr>
        <w:spacing w:after="140" w:line="276" w:lineRule="auto"/>
        <w:jc w:val="both"/>
        <w:rPr>
          <w:rFonts w:cs="Times New Roman"/>
          <w:szCs w:val="24"/>
        </w:rPr>
      </w:pPr>
      <w:r w:rsidRPr="00903F4E">
        <w:rPr>
          <w:rFonts w:cs="Times New Roman"/>
          <w:szCs w:val="24"/>
        </w:rPr>
        <w:t>The inevitable residual risk of false identification events</w:t>
      </w:r>
      <w:r w:rsidR="00152A24" w:rsidRPr="00903F4E">
        <w:rPr>
          <w:rFonts w:cs="Times New Roman"/>
          <w:szCs w:val="24"/>
        </w:rPr>
        <w:t>,</w:t>
      </w:r>
      <w:r w:rsidRPr="00903F4E">
        <w:rPr>
          <w:rFonts w:cs="Times New Roman"/>
          <w:szCs w:val="24"/>
        </w:rPr>
        <w:t xml:space="preserve"> however well a biometric system is procured and monitored</w:t>
      </w:r>
      <w:r w:rsidR="00152A24" w:rsidRPr="00903F4E">
        <w:rPr>
          <w:rFonts w:cs="Times New Roman"/>
          <w:szCs w:val="24"/>
        </w:rPr>
        <w:t>,</w:t>
      </w:r>
      <w:r w:rsidRPr="00903F4E">
        <w:rPr>
          <w:rFonts w:cs="Times New Roman"/>
          <w:szCs w:val="24"/>
        </w:rPr>
        <w:t xml:space="preserve"> requires a pre-planned incident response capability. The following five-stage Biometric False Identification Incident Response Protocol (BFIIRP) is proposed:</w:t>
      </w:r>
    </w:p>
    <w:p w14:paraId="24709165" w14:textId="28885E63" w:rsidR="00F21B97" w:rsidRPr="00903F4E" w:rsidRDefault="00000000" w:rsidP="00903F4E">
      <w:pPr>
        <w:pStyle w:val="ListParagraph"/>
        <w:numPr>
          <w:ilvl w:val="0"/>
          <w:numId w:val="6"/>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Immediate Containment (0–1 hour): Upon confirmed or credible false identification incident: suspend the specific system component that generated the false match; preserve all system logs, audit trails, and decision records in tamper-evident storage; notify the Designated AI System Lifecycle Steward and legal counsel.</w:t>
      </w:r>
    </w:p>
    <w:p w14:paraId="0D869647" w14:textId="77777777" w:rsidR="00F21B97" w:rsidRPr="00903F4E" w:rsidRDefault="00000000" w:rsidP="00903F4E">
      <w:pPr>
        <w:pStyle w:val="ListParagraph"/>
        <w:numPr>
          <w:ilvl w:val="0"/>
          <w:numId w:val="6"/>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lastRenderedPageBreak/>
        <w:t>Victim Notification and Support (1–24 hours): Notify the affected individual directly and promptly of the false identification, apologise unambiguously, and provide a dedicated point of contact. Cooperate immediately with any law enforcement action required to reverse consequences of the false identification. Document all communications for regulatory reporting purposes.</w:t>
      </w:r>
    </w:p>
    <w:p w14:paraId="7F3FD950" w14:textId="77777777" w:rsidR="00F21B97" w:rsidRPr="00903F4E" w:rsidRDefault="00000000" w:rsidP="00903F4E">
      <w:pPr>
        <w:pStyle w:val="ListParagraph"/>
        <w:numPr>
          <w:ilvl w:val="0"/>
          <w:numId w:val="6"/>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Root Cause Analysis (24–72 hours): Conduct a structured root cause analysis addressing: (a) which of the three failure modes in the 3FM model contributed to the false match; (b) whether the incident was an isolated event or indicative of a systematic pattern; (c) whether the demographic profile of the affected individual was consistent with the system's known worst-case performance subgroup.</w:t>
      </w:r>
    </w:p>
    <w:p w14:paraId="4F80C2C1" w14:textId="77777777" w:rsidR="00F21B97" w:rsidRPr="00903F4E" w:rsidRDefault="00000000" w:rsidP="00903F4E">
      <w:pPr>
        <w:pStyle w:val="ListParagraph"/>
        <w:numPr>
          <w:ilvl w:val="0"/>
          <w:numId w:val="6"/>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Regulatory Notification (72 hours): Notify the relevant supervisory authority (UK ICO, relevant EU Data Protection Authority, or equivalent) per GDPR Article 33 obligations. Submit EU AI Act incident report to the European AI Office if the incident falls within mandatory reporting thresholds under Article 62.</w:t>
      </w:r>
    </w:p>
    <w:p w14:paraId="19BC4726" w14:textId="77777777" w:rsidR="00F21B97" w:rsidRPr="00903F4E" w:rsidRDefault="00000000" w:rsidP="00903F4E">
      <w:pPr>
        <w:pStyle w:val="ListParagraph"/>
        <w:numPr>
          <w:ilvl w:val="0"/>
          <w:numId w:val="6"/>
        </w:numPr>
        <w:spacing w:after="100" w:line="276" w:lineRule="auto"/>
        <w:jc w:val="both"/>
        <w:rPr>
          <w:rFonts w:ascii="Times New Roman" w:hAnsi="Times New Roman" w:cs="Times New Roman"/>
          <w:sz w:val="24"/>
          <w:szCs w:val="24"/>
        </w:rPr>
      </w:pPr>
      <w:r w:rsidRPr="00903F4E">
        <w:rPr>
          <w:rFonts w:ascii="Times New Roman" w:hAnsi="Times New Roman" w:cs="Times New Roman"/>
          <w:sz w:val="24"/>
          <w:szCs w:val="24"/>
        </w:rPr>
        <w:t>Remediation and Review (72 hours – 30 days): Based on root cause analysis, implement one or more of: algorithmic parameter recalibration; threshold adjustment; supplementary training data acquisition; sensor upgrade; human oversight enhancement; or system decommissioning. Conduct post-incident review and update the Biometric System Risk Register. Brief senior leadership and relevant Board committees on incident, response, and remediation.</w:t>
      </w:r>
    </w:p>
    <w:p w14:paraId="670238E5"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5B4D9CF4" w14:textId="77777777" w:rsidR="00F21B97" w:rsidRPr="00903F4E" w:rsidRDefault="00000000" w:rsidP="00903F4E">
      <w:pPr>
        <w:pStyle w:val="Heading1"/>
        <w:spacing w:line="276" w:lineRule="auto"/>
        <w:jc w:val="both"/>
        <w:rPr>
          <w:rFonts w:cs="Times New Roman"/>
          <w:szCs w:val="24"/>
        </w:rPr>
      </w:pPr>
      <w:bookmarkStart w:id="36" w:name="_Toc226740489"/>
      <w:r w:rsidRPr="00903F4E">
        <w:rPr>
          <w:rFonts w:cs="Times New Roman"/>
          <w:szCs w:val="24"/>
        </w:rPr>
        <w:lastRenderedPageBreak/>
        <w:t>8. Conclusion</w:t>
      </w:r>
      <w:bookmarkEnd w:id="36"/>
    </w:p>
    <w:p w14:paraId="4B8B2ED5" w14:textId="41568D59" w:rsidR="00F21B97" w:rsidRPr="00903F4E" w:rsidRDefault="00000000" w:rsidP="00903F4E">
      <w:pPr>
        <w:spacing w:after="140" w:line="276" w:lineRule="auto"/>
        <w:jc w:val="both"/>
        <w:rPr>
          <w:rFonts w:cs="Times New Roman"/>
          <w:szCs w:val="24"/>
        </w:rPr>
      </w:pPr>
      <w:r w:rsidRPr="00903F4E">
        <w:rPr>
          <w:rFonts w:cs="Times New Roman"/>
          <w:szCs w:val="24"/>
        </w:rPr>
        <w:t>This study has examined demographic differential in facial recognition systems through information systems security, legal liability analysis, and applied ethics. The central argument advanced is that algorithmic bias in biometric systems is not a peripheral social concern but a fundamental information security failure</w:t>
      </w:r>
      <w:r w:rsidR="00152A24" w:rsidRPr="00903F4E">
        <w:rPr>
          <w:rFonts w:cs="Times New Roman"/>
          <w:szCs w:val="24"/>
        </w:rPr>
        <w:t>,</w:t>
      </w:r>
      <w:r w:rsidRPr="00903F4E">
        <w:rPr>
          <w:rFonts w:cs="Times New Roman"/>
          <w:szCs w:val="24"/>
        </w:rPr>
        <w:t xml:space="preserve"> a structural failure of system integrity that produces measurable, foreseeable, and largely preventable harm to identifiable demographic groups.</w:t>
      </w:r>
    </w:p>
    <w:p w14:paraId="35907453" w14:textId="70DF463D" w:rsidR="00F21B97" w:rsidRPr="00903F4E" w:rsidRDefault="00000000" w:rsidP="00903F4E">
      <w:pPr>
        <w:spacing w:after="140" w:line="276" w:lineRule="auto"/>
        <w:jc w:val="both"/>
        <w:rPr>
          <w:rFonts w:cs="Times New Roman"/>
          <w:szCs w:val="24"/>
        </w:rPr>
      </w:pPr>
      <w:r w:rsidRPr="00903F4E">
        <w:rPr>
          <w:rFonts w:cs="Times New Roman"/>
          <w:szCs w:val="24"/>
        </w:rPr>
        <w:t>The Three Failure Modes model (3FM) proposed in Chapter 2 provides a structured analytical architecture for diagnosing the origins of demographic differential: representational bias in training data, environmental and sensor sensitivity mediated by skin reflectance, and similarity threshold calibration producing demographic disparate impact. The literature review demonstrates that all three failure modes are empirically documented, technically addressable, and yet</w:t>
      </w:r>
      <w:r w:rsidR="00152A24" w:rsidRPr="00903F4E">
        <w:rPr>
          <w:rFonts w:cs="Times New Roman"/>
          <w:szCs w:val="24"/>
        </w:rPr>
        <w:t>,</w:t>
      </w:r>
      <w:r w:rsidRPr="00903F4E">
        <w:rPr>
          <w:rFonts w:cs="Times New Roman"/>
          <w:szCs w:val="24"/>
        </w:rPr>
        <w:t xml:space="preserve"> as the 2025 NIST FRTE data confirms</w:t>
      </w:r>
      <w:r w:rsidR="00152A24" w:rsidRPr="00903F4E">
        <w:rPr>
          <w:rFonts w:cs="Times New Roman"/>
          <w:szCs w:val="24"/>
        </w:rPr>
        <w:t>,</w:t>
      </w:r>
      <w:r w:rsidRPr="00903F4E">
        <w:rPr>
          <w:rFonts w:cs="Times New Roman"/>
          <w:szCs w:val="24"/>
        </w:rPr>
        <w:t xml:space="preserve"> inadequately mitigated in the broad population of commercially deployed systems.</w:t>
      </w:r>
    </w:p>
    <w:p w14:paraId="01CB70EB" w14:textId="4682F0AF" w:rsidR="00F21B97" w:rsidRPr="00903F4E" w:rsidRDefault="00000000" w:rsidP="00903F4E">
      <w:pPr>
        <w:spacing w:after="140" w:line="276" w:lineRule="auto"/>
        <w:jc w:val="both"/>
        <w:rPr>
          <w:rFonts w:cs="Times New Roman"/>
          <w:szCs w:val="24"/>
        </w:rPr>
      </w:pPr>
      <w:r w:rsidRPr="00903F4E">
        <w:rPr>
          <w:rFonts w:cs="Times New Roman"/>
          <w:szCs w:val="24"/>
        </w:rPr>
        <w:t>The security and liability analysis in Chapter 5 establishes that the consequences of deploying a biased biometric system</w:t>
      </w:r>
      <w:r w:rsidR="00152A24" w:rsidRPr="00903F4E">
        <w:rPr>
          <w:rFonts w:cs="Times New Roman"/>
          <w:szCs w:val="24"/>
        </w:rPr>
        <w:t xml:space="preserve">. </w:t>
      </w:r>
      <w:r w:rsidRPr="00903F4E">
        <w:rPr>
          <w:rFonts w:cs="Times New Roman"/>
          <w:szCs w:val="24"/>
        </w:rPr>
        <w:t>The 2024–2025 wrongful detention litigation wave, the 2025–2026 EU AI Act enforcement phase, and the emerging global legal framework of negligent deployment liability documented by Smith (2026) collectively constitute a material organisational risk that demands proactive governance rather than reactive response. The financial, reputational, legal, and operational risk dimensions interact and amplify each other, creating cascade scenarios that can threaten organisational viability.</w:t>
      </w:r>
    </w:p>
    <w:p w14:paraId="74B795E6" w14:textId="7F771E46" w:rsidR="00F21B97" w:rsidRPr="00903F4E" w:rsidRDefault="00000000" w:rsidP="00903F4E">
      <w:pPr>
        <w:spacing w:after="140" w:line="276" w:lineRule="auto"/>
        <w:jc w:val="both"/>
        <w:rPr>
          <w:rFonts w:cs="Times New Roman"/>
          <w:szCs w:val="24"/>
        </w:rPr>
      </w:pPr>
      <w:r w:rsidRPr="00903F4E">
        <w:rPr>
          <w:rFonts w:cs="Times New Roman"/>
          <w:szCs w:val="24"/>
        </w:rPr>
        <w:t>The ethical framework developed in Chapter 6 connects these technical and legal dimensions to the deeper question of structural inequity. Biometric surveillance systems do not fail randomly; they fail predictably, systematically, and disproportionately for the populations already most subject to state and commercial surveillance. This is not merely an ethical problem</w:t>
      </w:r>
      <w:r w:rsidR="00152A24" w:rsidRPr="00903F4E">
        <w:rPr>
          <w:rFonts w:cs="Times New Roman"/>
          <w:szCs w:val="24"/>
        </w:rPr>
        <w:t>,</w:t>
      </w:r>
      <w:r w:rsidRPr="00903F4E">
        <w:rPr>
          <w:rFonts w:cs="Times New Roman"/>
          <w:szCs w:val="24"/>
        </w:rPr>
        <w:t xml:space="preserve"> it is a security problem, because systems that produce systematically higher false positive rates for specific demographic groups are</w:t>
      </w:r>
      <w:r w:rsidR="00EE51E5" w:rsidRPr="00903F4E">
        <w:rPr>
          <w:rFonts w:cs="Times New Roman"/>
          <w:szCs w:val="24"/>
        </w:rPr>
        <w:t xml:space="preserve"> </w:t>
      </w:r>
      <w:r w:rsidRPr="00903F4E">
        <w:rPr>
          <w:rFonts w:cs="Times New Roman"/>
          <w:szCs w:val="24"/>
        </w:rPr>
        <w:t>unreliable as security tools for those groups.</w:t>
      </w:r>
    </w:p>
    <w:p w14:paraId="41FE910B" w14:textId="77777777" w:rsidR="00F21B97" w:rsidRPr="00903F4E" w:rsidRDefault="00000000" w:rsidP="00903F4E">
      <w:pPr>
        <w:spacing w:after="140" w:line="276" w:lineRule="auto"/>
        <w:jc w:val="both"/>
        <w:rPr>
          <w:rFonts w:cs="Times New Roman"/>
          <w:szCs w:val="24"/>
        </w:rPr>
      </w:pPr>
      <w:r w:rsidRPr="00903F4E">
        <w:rPr>
          <w:rFonts w:cs="Times New Roman"/>
          <w:szCs w:val="24"/>
        </w:rPr>
        <w:t>The CISO Biometric Vendor Audit Framework (CBVAF) proposed in Chapter 7 represents the study's primary policy contribution. By translating the findings of empirical research, regulatory analysis, and ethical inquiry into an operationally actionable procurement and governance tool, the CBVAF provides information security professionals with a structured methodology for exercising the duty of care demanded by both regulatory compliance and ethical responsibility.</w:t>
      </w:r>
    </w:p>
    <w:p w14:paraId="5E0F208C" w14:textId="17D161FD" w:rsidR="00F21B97" w:rsidRPr="00903F4E" w:rsidRDefault="00000000" w:rsidP="00903F4E">
      <w:pPr>
        <w:spacing w:after="140" w:line="276" w:lineRule="auto"/>
        <w:jc w:val="both"/>
        <w:rPr>
          <w:rFonts w:cs="Times New Roman"/>
          <w:szCs w:val="24"/>
        </w:rPr>
      </w:pPr>
      <w:r w:rsidRPr="00903F4E">
        <w:rPr>
          <w:rFonts w:cs="Times New Roman"/>
          <w:szCs w:val="24"/>
        </w:rPr>
        <w:t>Three areas requiring further research are identified. First, longitudinal analysis of FMR/FNMR trends across successive NIST FRTE evaluation rounds is needed to establish whether the demographic equity gap is narrowing at a rate consistent with the pace of commercial deployment. Second, legal analysis of the 'negligent deployment' as it develops across multiple jurisdictions would support more precise legal risk quantification in organisational biometric risk assessments. Third, the development of a standardised 'Biometric Fairness Report' format</w:t>
      </w:r>
      <w:r w:rsidR="00152A24" w:rsidRPr="00903F4E">
        <w:rPr>
          <w:rFonts w:cs="Times New Roman"/>
          <w:szCs w:val="24"/>
        </w:rPr>
        <w:t xml:space="preserve">, </w:t>
      </w:r>
      <w:r w:rsidRPr="00903F4E">
        <w:rPr>
          <w:rFonts w:cs="Times New Roman"/>
          <w:szCs w:val="24"/>
        </w:rPr>
        <w:t>analogous to the EU AI Act's required technical documentation</w:t>
      </w:r>
      <w:r w:rsidR="00152A24" w:rsidRPr="00903F4E">
        <w:rPr>
          <w:rFonts w:cs="Times New Roman"/>
          <w:szCs w:val="24"/>
        </w:rPr>
        <w:t>,</w:t>
      </w:r>
      <w:r w:rsidRPr="00903F4E">
        <w:rPr>
          <w:rFonts w:cs="Times New Roman"/>
          <w:szCs w:val="24"/>
        </w:rPr>
        <w:t xml:space="preserve"> that enables meaningful comparative assessment across vendors would materially advance the pre-procurement audit process.</w:t>
      </w:r>
    </w:p>
    <w:p w14:paraId="056074A1" w14:textId="30012293" w:rsidR="00F21B97" w:rsidRPr="00903F4E" w:rsidRDefault="00000000" w:rsidP="00903F4E">
      <w:pPr>
        <w:spacing w:after="140" w:line="276" w:lineRule="auto"/>
        <w:jc w:val="both"/>
        <w:rPr>
          <w:rFonts w:cs="Times New Roman"/>
          <w:szCs w:val="24"/>
        </w:rPr>
      </w:pPr>
      <w:r w:rsidRPr="00903F4E">
        <w:rPr>
          <w:rFonts w:cs="Times New Roman"/>
          <w:szCs w:val="24"/>
        </w:rPr>
        <w:lastRenderedPageBreak/>
        <w:t>The ultimate measure of progress in this field is not algorithmic performance metrics but whether the deployment of facial recognition technology still produces</w:t>
      </w:r>
      <w:r w:rsidR="00EE51E5" w:rsidRPr="00903F4E">
        <w:rPr>
          <w:rFonts w:cs="Times New Roman"/>
          <w:szCs w:val="24"/>
        </w:rPr>
        <w:t>,</w:t>
      </w:r>
      <w:r w:rsidRPr="00903F4E">
        <w:rPr>
          <w:rFonts w:cs="Times New Roman"/>
          <w:szCs w:val="24"/>
        </w:rPr>
        <w:t xml:space="preserve"> as it does today</w:t>
      </w:r>
      <w:r w:rsidR="00EE51E5" w:rsidRPr="00903F4E">
        <w:rPr>
          <w:rFonts w:cs="Times New Roman"/>
          <w:szCs w:val="24"/>
        </w:rPr>
        <w:t>,</w:t>
      </w:r>
      <w:r w:rsidRPr="00903F4E">
        <w:rPr>
          <w:rFonts w:cs="Times New Roman"/>
          <w:szCs w:val="24"/>
        </w:rPr>
        <w:t xml:space="preserve"> dramatically higher rates of wrongful identification for darker-skinned females than for lighter-skinned males. Until that differential is eliminated, the integrity of biometric systems as security tools remains fundamentally compromised.</w:t>
      </w:r>
    </w:p>
    <w:p w14:paraId="6066E8D4" w14:textId="77777777" w:rsidR="00F21B97" w:rsidRPr="00903F4E" w:rsidRDefault="00000000" w:rsidP="00903F4E">
      <w:pPr>
        <w:spacing w:line="276" w:lineRule="auto"/>
        <w:jc w:val="both"/>
        <w:rPr>
          <w:rFonts w:cs="Times New Roman"/>
          <w:szCs w:val="24"/>
        </w:rPr>
      </w:pPr>
      <w:r w:rsidRPr="00903F4E">
        <w:rPr>
          <w:rFonts w:cs="Times New Roman"/>
          <w:szCs w:val="24"/>
        </w:rPr>
        <w:br w:type="page"/>
      </w:r>
    </w:p>
    <w:p w14:paraId="66FEEA86" w14:textId="77777777" w:rsidR="00F21B97" w:rsidRPr="00903F4E" w:rsidRDefault="00000000" w:rsidP="00903F4E">
      <w:pPr>
        <w:pStyle w:val="Heading1"/>
        <w:spacing w:line="276" w:lineRule="auto"/>
        <w:jc w:val="both"/>
        <w:rPr>
          <w:rFonts w:cs="Times New Roman"/>
          <w:szCs w:val="24"/>
        </w:rPr>
      </w:pPr>
      <w:bookmarkStart w:id="37" w:name="_Toc226740490"/>
      <w:r w:rsidRPr="00903F4E">
        <w:rPr>
          <w:rFonts w:cs="Times New Roman"/>
          <w:szCs w:val="24"/>
        </w:rPr>
        <w:lastRenderedPageBreak/>
        <w:t>References</w:t>
      </w:r>
      <w:bookmarkEnd w:id="37"/>
    </w:p>
    <w:p w14:paraId="299F2FD1"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Albu, O. B., &amp; Hansen, H. K. (2021). Three sides of the same coin: </w:t>
      </w:r>
      <w:proofErr w:type="spellStart"/>
      <w:r w:rsidRPr="00903F4E">
        <w:rPr>
          <w:rFonts w:cs="Times New Roman"/>
          <w:szCs w:val="24"/>
        </w:rPr>
        <w:t>Datafied</w:t>
      </w:r>
      <w:proofErr w:type="spellEnd"/>
      <w:r w:rsidRPr="00903F4E">
        <w:rPr>
          <w:rFonts w:cs="Times New Roman"/>
          <w:szCs w:val="24"/>
        </w:rPr>
        <w:t xml:space="preserve"> transparency, biometric surveillance, and algorithmic governmentalities. Critical Analysis of Law: An International &amp; Interdisciplinary Law Review, 8(1), 9–24.</w:t>
      </w:r>
    </w:p>
    <w:p w14:paraId="5AFA1D92"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Buolamwini</w:t>
      </w:r>
      <w:proofErr w:type="spellEnd"/>
      <w:r w:rsidRPr="00903F4E">
        <w:rPr>
          <w:rFonts w:cs="Times New Roman"/>
          <w:szCs w:val="24"/>
        </w:rPr>
        <w:t>, J., &amp; Gebru, T. (2018). Gender shades: Intersectional accuracy disparities in commercial gender classification. Proceedings of the 1st Conference on Fairness, Accountability and Transparency (</w:t>
      </w:r>
      <w:proofErr w:type="spellStart"/>
      <w:r w:rsidRPr="00903F4E">
        <w:rPr>
          <w:rFonts w:cs="Times New Roman"/>
          <w:szCs w:val="24"/>
        </w:rPr>
        <w:t>FAccT</w:t>
      </w:r>
      <w:proofErr w:type="spellEnd"/>
      <w:r w:rsidRPr="00903F4E">
        <w:rPr>
          <w:rFonts w:cs="Times New Roman"/>
          <w:szCs w:val="24"/>
        </w:rPr>
        <w:t>), 77–91. https://proceedings.mlr.press/v81/buolamwini18a.html</w:t>
      </w:r>
    </w:p>
    <w:p w14:paraId="484D502B"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Buolamwini</w:t>
      </w:r>
      <w:proofErr w:type="spellEnd"/>
      <w:r w:rsidRPr="00903F4E">
        <w:rPr>
          <w:rFonts w:cs="Times New Roman"/>
          <w:szCs w:val="24"/>
        </w:rPr>
        <w:t>, J. (2024). Facing the future: A retrospective on 5 years of gender shades. MIT Media Lab / Algorithmic Justice League. [Updated 2024 edition]</w:t>
      </w:r>
    </w:p>
    <w:p w14:paraId="59094B33"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Cavazos, J. G., Phillips, P. J., Castillo, C. D., &amp; O'Toole, A. J. (2021). Accuracy comparison across face recognition algorithms: Where are we on measuring race bias? IEEE Transactions on Biometrics, </w:t>
      </w:r>
      <w:proofErr w:type="spellStart"/>
      <w:r w:rsidRPr="00903F4E">
        <w:rPr>
          <w:rFonts w:cs="Times New Roman"/>
          <w:szCs w:val="24"/>
        </w:rPr>
        <w:t>Behavior</w:t>
      </w:r>
      <w:proofErr w:type="spellEnd"/>
      <w:r w:rsidRPr="00903F4E">
        <w:rPr>
          <w:rFonts w:cs="Times New Roman"/>
          <w:szCs w:val="24"/>
        </w:rPr>
        <w:t>, and Identity Science, 3(1), 101–111. https://doi.org/10.1109/TBIOM.2020.3027269</w:t>
      </w:r>
    </w:p>
    <w:p w14:paraId="5496CB9A"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Davis, J., </w:t>
      </w:r>
      <w:proofErr w:type="spellStart"/>
      <w:r w:rsidRPr="00903F4E">
        <w:rPr>
          <w:rFonts w:cs="Times New Roman"/>
          <w:szCs w:val="24"/>
        </w:rPr>
        <w:t>Maddini</w:t>
      </w:r>
      <w:proofErr w:type="spellEnd"/>
      <w:r w:rsidRPr="00903F4E">
        <w:rPr>
          <w:rFonts w:cs="Times New Roman"/>
          <w:szCs w:val="24"/>
        </w:rPr>
        <w:t xml:space="preserve">, S., </w:t>
      </w:r>
      <w:proofErr w:type="spellStart"/>
      <w:r w:rsidRPr="00903F4E">
        <w:rPr>
          <w:rFonts w:cs="Times New Roman"/>
          <w:szCs w:val="24"/>
        </w:rPr>
        <w:t>Kankala</w:t>
      </w:r>
      <w:proofErr w:type="spellEnd"/>
      <w:r w:rsidRPr="00903F4E">
        <w:rPr>
          <w:rFonts w:cs="Times New Roman"/>
          <w:szCs w:val="24"/>
        </w:rPr>
        <w:t xml:space="preserve">, S., Ravindran, R. K., </w:t>
      </w:r>
      <w:proofErr w:type="spellStart"/>
      <w:r w:rsidRPr="00903F4E">
        <w:rPr>
          <w:rFonts w:cs="Times New Roman"/>
          <w:szCs w:val="24"/>
        </w:rPr>
        <w:t>Kunkulagunta</w:t>
      </w:r>
      <w:proofErr w:type="spellEnd"/>
      <w:r w:rsidRPr="00903F4E">
        <w:rPr>
          <w:rFonts w:cs="Times New Roman"/>
          <w:szCs w:val="24"/>
        </w:rPr>
        <w:t>, M., Maturi, M. H., Nadella, G. S., &amp; De La Cruz, E. (2025). Decoding cybersecurity discourse and communication dynamics in financial institutions. Journal of Responsible Technology, 24, 100142. https://doi.org/10.1016/j.jrt.2025.100142</w:t>
      </w:r>
    </w:p>
    <w:p w14:paraId="380DB840"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Dhar, P. (2024). Phenotypic bias: Why sensors fail on skin reflectance. [Conference proceedings / journal article as referenced in dossier — full publication details to be confirmed upon database access].</w:t>
      </w:r>
    </w:p>
    <w:p w14:paraId="016238E9"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Graux</w:t>
      </w:r>
      <w:proofErr w:type="spellEnd"/>
      <w:r w:rsidRPr="00903F4E">
        <w:rPr>
          <w:rFonts w:cs="Times New Roman"/>
          <w:szCs w:val="24"/>
        </w:rPr>
        <w:t>, H., Garstka, K., &amp; Murali, N. (2024). Interplay between the AI Act and the EU digital legislative framework. [Policy report — full publication details as per Zotero record].</w:t>
      </w:r>
    </w:p>
    <w:p w14:paraId="302DE4F7"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Gugueoth, V., </w:t>
      </w:r>
      <w:proofErr w:type="spellStart"/>
      <w:r w:rsidRPr="00903F4E">
        <w:rPr>
          <w:rFonts w:cs="Times New Roman"/>
          <w:szCs w:val="24"/>
        </w:rPr>
        <w:t>Safavat</w:t>
      </w:r>
      <w:proofErr w:type="spellEnd"/>
      <w:r w:rsidRPr="00903F4E">
        <w:rPr>
          <w:rFonts w:cs="Times New Roman"/>
          <w:szCs w:val="24"/>
        </w:rPr>
        <w:t>, S., Shetty, S., &amp; Rawat, D. (2023). A review of IoT security and privacy using decentralised blockchain techniques. Computer Science Review, 50, 100585. https://doi.org/10.1016/j.cosrev.2023.100585</w:t>
      </w:r>
    </w:p>
    <w:p w14:paraId="6BB5928C"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Hassan, B., </w:t>
      </w:r>
      <w:proofErr w:type="spellStart"/>
      <w:r w:rsidRPr="00903F4E">
        <w:rPr>
          <w:rFonts w:cs="Times New Roman"/>
          <w:szCs w:val="24"/>
        </w:rPr>
        <w:t>Soudbakhsh</w:t>
      </w:r>
      <w:proofErr w:type="spellEnd"/>
      <w:r w:rsidRPr="00903F4E">
        <w:rPr>
          <w:rFonts w:cs="Times New Roman"/>
          <w:szCs w:val="24"/>
        </w:rPr>
        <w:t>, H., Bahrami, S., Das, S. R., Patel, P., Yasin, A., &amp; Khan, U. (2026). Global soft biometrics in surveillance: Benchmark in the field and open challenges. Multimedia Tools and Applications, 85(4), 286. https://doi.org/10.1007/s11042-026-21204-x</w:t>
      </w:r>
    </w:p>
    <w:p w14:paraId="2FC400C1"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Hofwitz, E. (2024). The ethics of surveillance: UK policing case study. [Academic paper — full publication details to be confirmed upon database access].</w:t>
      </w:r>
    </w:p>
    <w:p w14:paraId="0D5DBFF6"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IEEE P2863. (2025 Draft). Standard for organisational governance of artificial intelligence (biometric focus). IEEE Standards Association.</w:t>
      </w:r>
    </w:p>
    <w:p w14:paraId="6099FDA8"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Kagda</w:t>
      </w:r>
      <w:proofErr w:type="spellEnd"/>
      <w:r w:rsidRPr="00903F4E">
        <w:rPr>
          <w:rFonts w:cs="Times New Roman"/>
          <w:szCs w:val="24"/>
        </w:rPr>
        <w:t xml:space="preserve">, D. (2024). Biometric identification systems and human rights: Ethical and legal challenges. </w:t>
      </w:r>
      <w:proofErr w:type="spellStart"/>
      <w:r w:rsidRPr="00903F4E">
        <w:rPr>
          <w:rFonts w:cs="Times New Roman"/>
          <w:szCs w:val="24"/>
        </w:rPr>
        <w:t>Vidhyayana</w:t>
      </w:r>
      <w:proofErr w:type="spellEnd"/>
      <w:r w:rsidRPr="00903F4E">
        <w:rPr>
          <w:rFonts w:cs="Times New Roman"/>
          <w:szCs w:val="24"/>
        </w:rPr>
        <w:t>, 9. https://doi.org/10.58213/99dz6235</w:t>
      </w:r>
    </w:p>
    <w:p w14:paraId="0EA50634"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Kolla, S. (2024). Facial quality and racial feature gradations on model fairness. [Conference/journal paper — full publication details to be confirmed upon database access].</w:t>
      </w:r>
    </w:p>
    <w:p w14:paraId="6BEBA924"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lastRenderedPageBreak/>
        <w:t xml:space="preserve">Kotwal, K., &amp; Marcel, S. (2026). Review of demographic fairness in face recognition. IEEE Transactions on Biometrics, </w:t>
      </w:r>
      <w:proofErr w:type="spellStart"/>
      <w:r w:rsidRPr="00903F4E">
        <w:rPr>
          <w:rFonts w:cs="Times New Roman"/>
          <w:szCs w:val="24"/>
        </w:rPr>
        <w:t>Behavior</w:t>
      </w:r>
      <w:proofErr w:type="spellEnd"/>
      <w:r w:rsidRPr="00903F4E">
        <w:rPr>
          <w:rFonts w:cs="Times New Roman"/>
          <w:szCs w:val="24"/>
        </w:rPr>
        <w:t>, and Identity Science, 8(1), 20–45. https://doi.org/10.1109/TBIOM.2025.3601217</w:t>
      </w:r>
    </w:p>
    <w:p w14:paraId="4AC4C962"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Kumar, T., Mileo, A., &amp; </w:t>
      </w:r>
      <w:proofErr w:type="spellStart"/>
      <w:r w:rsidRPr="00903F4E">
        <w:rPr>
          <w:rFonts w:cs="Times New Roman"/>
          <w:szCs w:val="24"/>
        </w:rPr>
        <w:t>Bendechache</w:t>
      </w:r>
      <w:proofErr w:type="spellEnd"/>
      <w:r w:rsidRPr="00903F4E">
        <w:rPr>
          <w:rFonts w:cs="Times New Roman"/>
          <w:szCs w:val="24"/>
        </w:rPr>
        <w:t xml:space="preserve">, M. (2025). Saliency-based metric and </w:t>
      </w:r>
      <w:proofErr w:type="spellStart"/>
      <w:r w:rsidRPr="00903F4E">
        <w:rPr>
          <w:rFonts w:cs="Times New Roman"/>
          <w:szCs w:val="24"/>
        </w:rPr>
        <w:t>FaceKeepOriginalAugment</w:t>
      </w:r>
      <w:proofErr w:type="spellEnd"/>
      <w:r w:rsidRPr="00903F4E">
        <w:rPr>
          <w:rFonts w:cs="Times New Roman"/>
          <w:szCs w:val="24"/>
        </w:rPr>
        <w:t>: A novel approach for enhancing fairness and diversity. Multimedia Systems, 31(3), 153. https://doi.org/10.1007/s00530-025-01741-5</w:t>
      </w:r>
    </w:p>
    <w:p w14:paraId="7A6E7F74"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Limantė</w:t>
      </w:r>
      <w:proofErr w:type="spellEnd"/>
      <w:r w:rsidRPr="00903F4E">
        <w:rPr>
          <w:rFonts w:cs="Times New Roman"/>
          <w:szCs w:val="24"/>
        </w:rPr>
        <w:t>, A. (2024). Bias in facial recognition technologies used by law enforcement: Understanding the causes and searching for a way out. Nordic Journal of Human Rights, 42(2), 115–134. https://doi.org/10.1080/18918131.2023.2277581</w:t>
      </w:r>
    </w:p>
    <w:p w14:paraId="7C1C7096"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Mandal, A. (2025). Auditing imbalance and bias in deep neural networks for multimedia content analytics [Doctoral thesis, Dublin City University]. DORAS. https://doras.dcu.ie/30556/</w:t>
      </w:r>
    </w:p>
    <w:p w14:paraId="6A18169D"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Mesch, A., &amp; Lam, P. (2025). Empirical scoping of law enforcement FRT: Accountability and accuracy across demographics. [Journal article — full publication details as per dossier].</w:t>
      </w:r>
    </w:p>
    <w:p w14:paraId="39286312"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National Academies of Sciences, Engineering, and Medicine. (2024). Facial recognition technology: Current capabilities, </w:t>
      </w:r>
      <w:proofErr w:type="gramStart"/>
      <w:r w:rsidRPr="00903F4E">
        <w:rPr>
          <w:rFonts w:cs="Times New Roman"/>
          <w:szCs w:val="24"/>
        </w:rPr>
        <w:t>future prospects</w:t>
      </w:r>
      <w:proofErr w:type="gramEnd"/>
      <w:r w:rsidRPr="00903F4E">
        <w:rPr>
          <w:rFonts w:cs="Times New Roman"/>
          <w:szCs w:val="24"/>
        </w:rPr>
        <w:t>, and governance. National Academies Press. https://doi.org/10.17226/27397</w:t>
      </w:r>
    </w:p>
    <w:p w14:paraId="5D6D81CE"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NIST. (2025). Face recognition technology evaluation: Demographic effects in face recognition. National Institute of Standards and Technology. https://pages.nist.gov/frvt/html/frvt_demographics.html</w:t>
      </w:r>
    </w:p>
    <w:p w14:paraId="4D1994A0"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O'Connor, J., et al. (2025). Operationalizing fairness: A framework for real-time bias correction. [Journal article — full publication details as per dossier].</w:t>
      </w:r>
    </w:p>
    <w:p w14:paraId="6967A154"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Patel, S., &amp; Kisku, D. R. (2025). Improving bias in facial attribute classification: A combined impact of KL divergence-induced loss function and dual attention. In S. </w:t>
      </w:r>
      <w:proofErr w:type="spellStart"/>
      <w:r w:rsidRPr="00903F4E">
        <w:rPr>
          <w:rFonts w:cs="Times New Roman"/>
          <w:szCs w:val="24"/>
        </w:rPr>
        <w:t>Palaiahnakote</w:t>
      </w:r>
      <w:proofErr w:type="spellEnd"/>
      <w:r w:rsidRPr="00903F4E">
        <w:rPr>
          <w:rFonts w:cs="Times New Roman"/>
          <w:szCs w:val="24"/>
        </w:rPr>
        <w:t xml:space="preserve"> et al. (Eds.), Pattern Recognition: ICPR 2024 International Workshops and Challenges (pp. 383–397). Springer. https://doi.org/10.1007/978-3-031-87660-8_28</w:t>
      </w:r>
    </w:p>
    <w:p w14:paraId="47A5003D"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Raji, I. D., et al. (2025). Audit standards for biometric systems: A post-EU AI Act review. [Journal article — full publication details as per dossier].</w:t>
      </w:r>
    </w:p>
    <w:p w14:paraId="2006ED25"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Robles, S., et al. (2025). Impact of synthetic data augmentation on reducing FNMR in marginalised groups. [Journal article — full publication details as per dossier].</w:t>
      </w:r>
    </w:p>
    <w:p w14:paraId="44C454C5"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 xml:space="preserve">Serna, I., Pena, A., Morales, A., &amp; </w:t>
      </w:r>
      <w:proofErr w:type="spellStart"/>
      <w:r w:rsidRPr="00903F4E">
        <w:rPr>
          <w:rFonts w:cs="Times New Roman"/>
          <w:szCs w:val="24"/>
        </w:rPr>
        <w:t>Fierrez</w:t>
      </w:r>
      <w:proofErr w:type="spellEnd"/>
      <w:r w:rsidRPr="00903F4E">
        <w:rPr>
          <w:rFonts w:cs="Times New Roman"/>
          <w:szCs w:val="24"/>
        </w:rPr>
        <w:t xml:space="preserve">, J. (2021). </w:t>
      </w:r>
      <w:proofErr w:type="spellStart"/>
      <w:r w:rsidRPr="00903F4E">
        <w:rPr>
          <w:rFonts w:cs="Times New Roman"/>
          <w:szCs w:val="24"/>
        </w:rPr>
        <w:t>InsideBias</w:t>
      </w:r>
      <w:proofErr w:type="spellEnd"/>
      <w:r w:rsidRPr="00903F4E">
        <w:rPr>
          <w:rFonts w:cs="Times New Roman"/>
          <w:szCs w:val="24"/>
        </w:rPr>
        <w:t>: Measuring bias in deep networks and application to face gender biometrics. Proceedings of the 25th International Conference on Pattern Recognition (ICPR), 3720–3727. https://doi.org/10.1109/ICPR48806.2021.9412443</w:t>
      </w:r>
    </w:p>
    <w:p w14:paraId="3AF4E97A"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Smith, G. (2026). Legal liability in biometric misidentification: A global survey. [Book/report — full publication details as per dossier].</w:t>
      </w:r>
    </w:p>
    <w:p w14:paraId="60ADB3FA"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Stiernströmer</w:t>
      </w:r>
      <w:proofErr w:type="spellEnd"/>
      <w:r w:rsidRPr="00903F4E">
        <w:rPr>
          <w:rFonts w:cs="Times New Roman"/>
          <w:szCs w:val="24"/>
        </w:rPr>
        <w:t>, E. (2026). Facial recognition technology in law enforcement: A scoping review of existing empirical studies. Police Practice and Research. https://doi.org/10.1080/15614263.2026.2627208</w:t>
      </w:r>
    </w:p>
    <w:p w14:paraId="02DE62AE"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lastRenderedPageBreak/>
        <w:t xml:space="preserve">Wang, L. (2026). </w:t>
      </w:r>
      <w:proofErr w:type="spellStart"/>
      <w:r w:rsidRPr="00903F4E">
        <w:rPr>
          <w:rFonts w:cs="Times New Roman"/>
          <w:szCs w:val="24"/>
        </w:rPr>
        <w:t>CeleBImg</w:t>
      </w:r>
      <w:proofErr w:type="spellEnd"/>
      <w:r w:rsidRPr="00903F4E">
        <w:rPr>
          <w:rFonts w:cs="Times New Roman"/>
          <w:szCs w:val="24"/>
        </w:rPr>
        <w:t>: A new benchmark for intersectional fairness in soft biometrics. [As cited in Hassan et al. (2026) and research dossier — further attribution to be confirmed].</w:t>
      </w:r>
    </w:p>
    <w:p w14:paraId="287C4D0F" w14:textId="77777777" w:rsidR="00F21B97" w:rsidRPr="00903F4E" w:rsidRDefault="00000000" w:rsidP="00903F4E">
      <w:pPr>
        <w:spacing w:after="100" w:line="276" w:lineRule="auto"/>
        <w:ind w:left="720" w:hanging="720"/>
        <w:jc w:val="both"/>
        <w:rPr>
          <w:rFonts w:cs="Times New Roman"/>
          <w:szCs w:val="24"/>
        </w:rPr>
      </w:pPr>
      <w:proofErr w:type="spellStart"/>
      <w:r w:rsidRPr="00903F4E">
        <w:rPr>
          <w:rFonts w:cs="Times New Roman"/>
          <w:szCs w:val="24"/>
        </w:rPr>
        <w:t>Yucer</w:t>
      </w:r>
      <w:proofErr w:type="spellEnd"/>
      <w:r w:rsidRPr="00903F4E">
        <w:rPr>
          <w:rFonts w:cs="Times New Roman"/>
          <w:szCs w:val="24"/>
        </w:rPr>
        <w:t xml:space="preserve">, S., </w:t>
      </w:r>
      <w:proofErr w:type="spellStart"/>
      <w:r w:rsidRPr="00903F4E">
        <w:rPr>
          <w:rFonts w:cs="Times New Roman"/>
          <w:szCs w:val="24"/>
        </w:rPr>
        <w:t>Tektas</w:t>
      </w:r>
      <w:proofErr w:type="spellEnd"/>
      <w:r w:rsidRPr="00903F4E">
        <w:rPr>
          <w:rFonts w:cs="Times New Roman"/>
          <w:szCs w:val="24"/>
        </w:rPr>
        <w:t>, F., Al Moubayed, N., &amp; Breckon, T. (2025). Racial bias within face recognition: A survey. ACM Computing Surveys, 57(4), 1–39. https://doi.org/10.1145/3705295</w:t>
      </w:r>
    </w:p>
    <w:p w14:paraId="43A4F37F" w14:textId="77777777"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Zarei, K., et al. (2025). The fairness-privacy paradox: How differential privacy impacts demographic parity. [Journal article — full publication details as per dossier].</w:t>
      </w:r>
    </w:p>
    <w:p w14:paraId="608D0235" w14:textId="69B1F676" w:rsidR="00F21B97" w:rsidRPr="00903F4E" w:rsidRDefault="00000000" w:rsidP="00903F4E">
      <w:pPr>
        <w:spacing w:after="100" w:line="276" w:lineRule="auto"/>
        <w:ind w:left="720" w:hanging="720"/>
        <w:jc w:val="both"/>
        <w:rPr>
          <w:rFonts w:cs="Times New Roman"/>
          <w:szCs w:val="24"/>
        </w:rPr>
      </w:pPr>
      <w:r w:rsidRPr="00903F4E">
        <w:rPr>
          <w:rFonts w:cs="Times New Roman"/>
          <w:szCs w:val="24"/>
        </w:rPr>
        <w:t>Zarei-</w:t>
      </w:r>
      <w:proofErr w:type="spellStart"/>
      <w:r w:rsidRPr="00903F4E">
        <w:rPr>
          <w:rFonts w:cs="Times New Roman"/>
          <w:szCs w:val="24"/>
        </w:rPr>
        <w:t>Sabzevar</w:t>
      </w:r>
      <w:proofErr w:type="spellEnd"/>
      <w:r w:rsidRPr="00903F4E">
        <w:rPr>
          <w:rFonts w:cs="Times New Roman"/>
          <w:szCs w:val="24"/>
        </w:rPr>
        <w:t xml:space="preserve">, R., &amp; </w:t>
      </w:r>
      <w:proofErr w:type="spellStart"/>
      <w:r w:rsidRPr="00903F4E">
        <w:rPr>
          <w:rFonts w:cs="Times New Roman"/>
          <w:szCs w:val="24"/>
        </w:rPr>
        <w:t>Harati</w:t>
      </w:r>
      <w:proofErr w:type="spellEnd"/>
      <w:r w:rsidRPr="00903F4E">
        <w:rPr>
          <w:rFonts w:cs="Times New Roman"/>
          <w:szCs w:val="24"/>
        </w:rPr>
        <w:t>, A. (2025). A deep positive-negative prototype approach to integrated prototypical discriminative learning. arXiv:2501.02477. https://doi.org/10.48550/arXiv.2501.02477</w:t>
      </w:r>
    </w:p>
    <w:sectPr w:rsidR="00F21B97" w:rsidRPr="00903F4E" w:rsidSect="00567984">
      <w:footerReference w:type="default" r:id="rId8"/>
      <w:footerReference w:type="first" r:id="rId9"/>
      <w:pgSz w:w="11906" w:h="16838"/>
      <w:pgMar w:top="1440" w:right="126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A7229" w14:textId="77777777" w:rsidR="00CA6492" w:rsidRDefault="00CA6492">
      <w:r>
        <w:separator/>
      </w:r>
    </w:p>
  </w:endnote>
  <w:endnote w:type="continuationSeparator" w:id="0">
    <w:p w14:paraId="64E94C86" w14:textId="77777777" w:rsidR="00CA6492" w:rsidRDefault="00CA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4245673"/>
      <w:docPartObj>
        <w:docPartGallery w:val="Page Numbers (Bottom of Page)"/>
        <w:docPartUnique/>
      </w:docPartObj>
    </w:sdtPr>
    <w:sdtEndPr>
      <w:rPr>
        <w:noProof/>
      </w:rPr>
    </w:sdtEndPr>
    <w:sdtContent>
      <w:p w14:paraId="40D22306" w14:textId="6672BABD" w:rsidR="00236202" w:rsidRDefault="00567984" w:rsidP="005679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1B6AA" w14:textId="6F034CFA" w:rsidR="00567984" w:rsidRDefault="0056798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96ED68" w14:textId="77777777" w:rsidR="00CA6492" w:rsidRDefault="00CA6492">
      <w:r>
        <w:separator/>
      </w:r>
    </w:p>
  </w:footnote>
  <w:footnote w:type="continuationSeparator" w:id="0">
    <w:p w14:paraId="6C843CF7" w14:textId="77777777" w:rsidR="00CA6492" w:rsidRDefault="00CA64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85C"/>
    <w:multiLevelType w:val="hybridMultilevel"/>
    <w:tmpl w:val="C290BF64"/>
    <w:lvl w:ilvl="0" w:tplc="FE32594C">
      <w:start w:val="1"/>
      <w:numFmt w:val="decimal"/>
      <w:lvlText w:val="%1."/>
      <w:lvlJc w:val="left"/>
      <w:pPr>
        <w:ind w:left="720" w:hanging="360"/>
      </w:pPr>
    </w:lvl>
    <w:lvl w:ilvl="1" w:tplc="320EB026">
      <w:numFmt w:val="decimal"/>
      <w:lvlText w:val=""/>
      <w:lvlJc w:val="left"/>
    </w:lvl>
    <w:lvl w:ilvl="2" w:tplc="150855A0">
      <w:numFmt w:val="decimal"/>
      <w:lvlText w:val=""/>
      <w:lvlJc w:val="left"/>
    </w:lvl>
    <w:lvl w:ilvl="3" w:tplc="5BFA00C8">
      <w:numFmt w:val="decimal"/>
      <w:lvlText w:val=""/>
      <w:lvlJc w:val="left"/>
    </w:lvl>
    <w:lvl w:ilvl="4" w:tplc="6792D1B2">
      <w:numFmt w:val="decimal"/>
      <w:lvlText w:val=""/>
      <w:lvlJc w:val="left"/>
    </w:lvl>
    <w:lvl w:ilvl="5" w:tplc="26DC1116">
      <w:numFmt w:val="decimal"/>
      <w:lvlText w:val=""/>
      <w:lvlJc w:val="left"/>
    </w:lvl>
    <w:lvl w:ilvl="6" w:tplc="C1C0683A">
      <w:numFmt w:val="decimal"/>
      <w:lvlText w:val=""/>
      <w:lvlJc w:val="left"/>
    </w:lvl>
    <w:lvl w:ilvl="7" w:tplc="1A9A0598">
      <w:numFmt w:val="decimal"/>
      <w:lvlText w:val=""/>
      <w:lvlJc w:val="left"/>
    </w:lvl>
    <w:lvl w:ilvl="8" w:tplc="0B7264D2">
      <w:numFmt w:val="decimal"/>
      <w:lvlText w:val=""/>
      <w:lvlJc w:val="left"/>
    </w:lvl>
  </w:abstractNum>
  <w:abstractNum w:abstractNumId="1" w15:restartNumberingAfterBreak="0">
    <w:nsid w:val="1CAC2D1F"/>
    <w:multiLevelType w:val="hybridMultilevel"/>
    <w:tmpl w:val="44F002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FC660ED"/>
    <w:multiLevelType w:val="hybridMultilevel"/>
    <w:tmpl w:val="A018689C"/>
    <w:lvl w:ilvl="0" w:tplc="30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230682B"/>
    <w:multiLevelType w:val="hybridMultilevel"/>
    <w:tmpl w:val="41D26B82"/>
    <w:lvl w:ilvl="0" w:tplc="BB649170">
      <w:start w:val="1"/>
      <w:numFmt w:val="bullet"/>
      <w:lvlText w:val="●"/>
      <w:lvlJc w:val="left"/>
      <w:pPr>
        <w:ind w:left="720" w:hanging="360"/>
      </w:pPr>
    </w:lvl>
    <w:lvl w:ilvl="1" w:tplc="FFBC65A4">
      <w:start w:val="1"/>
      <w:numFmt w:val="bullet"/>
      <w:lvlText w:val="○"/>
      <w:lvlJc w:val="left"/>
      <w:pPr>
        <w:ind w:left="1440" w:hanging="360"/>
      </w:pPr>
    </w:lvl>
    <w:lvl w:ilvl="2" w:tplc="BE0A29EA">
      <w:start w:val="1"/>
      <w:numFmt w:val="bullet"/>
      <w:lvlText w:val="■"/>
      <w:lvlJc w:val="left"/>
      <w:pPr>
        <w:ind w:left="2160" w:hanging="360"/>
      </w:pPr>
    </w:lvl>
    <w:lvl w:ilvl="3" w:tplc="5A583D56">
      <w:start w:val="1"/>
      <w:numFmt w:val="bullet"/>
      <w:lvlText w:val="●"/>
      <w:lvlJc w:val="left"/>
      <w:pPr>
        <w:ind w:left="2880" w:hanging="360"/>
      </w:pPr>
    </w:lvl>
    <w:lvl w:ilvl="4" w:tplc="958474E8">
      <w:start w:val="1"/>
      <w:numFmt w:val="bullet"/>
      <w:lvlText w:val="○"/>
      <w:lvlJc w:val="left"/>
      <w:pPr>
        <w:ind w:left="3600" w:hanging="360"/>
      </w:pPr>
    </w:lvl>
    <w:lvl w:ilvl="5" w:tplc="7D28CEFA">
      <w:start w:val="1"/>
      <w:numFmt w:val="bullet"/>
      <w:lvlText w:val="■"/>
      <w:lvlJc w:val="left"/>
      <w:pPr>
        <w:ind w:left="4320" w:hanging="360"/>
      </w:pPr>
    </w:lvl>
    <w:lvl w:ilvl="6" w:tplc="059EC0E0">
      <w:start w:val="1"/>
      <w:numFmt w:val="bullet"/>
      <w:lvlText w:val="●"/>
      <w:lvlJc w:val="left"/>
      <w:pPr>
        <w:ind w:left="5040" w:hanging="360"/>
      </w:pPr>
    </w:lvl>
    <w:lvl w:ilvl="7" w:tplc="E05E0D08">
      <w:start w:val="1"/>
      <w:numFmt w:val="bullet"/>
      <w:lvlText w:val="●"/>
      <w:lvlJc w:val="left"/>
      <w:pPr>
        <w:ind w:left="5760" w:hanging="360"/>
      </w:pPr>
    </w:lvl>
    <w:lvl w:ilvl="8" w:tplc="671E40DE">
      <w:start w:val="1"/>
      <w:numFmt w:val="bullet"/>
      <w:lvlText w:val="●"/>
      <w:lvlJc w:val="left"/>
      <w:pPr>
        <w:ind w:left="6480" w:hanging="360"/>
      </w:pPr>
    </w:lvl>
  </w:abstractNum>
  <w:abstractNum w:abstractNumId="4" w15:restartNumberingAfterBreak="0">
    <w:nsid w:val="46CE06D6"/>
    <w:multiLevelType w:val="hybridMultilevel"/>
    <w:tmpl w:val="C3A2D91E"/>
    <w:lvl w:ilvl="0" w:tplc="F5988C6A">
      <w:start w:val="1"/>
      <w:numFmt w:val="bullet"/>
      <w:lvlText w:val="◦"/>
      <w:lvlJc w:val="left"/>
      <w:pPr>
        <w:ind w:left="1080" w:hanging="360"/>
      </w:pPr>
    </w:lvl>
    <w:lvl w:ilvl="1" w:tplc="386AA528">
      <w:numFmt w:val="decimal"/>
      <w:lvlText w:val=""/>
      <w:lvlJc w:val="left"/>
    </w:lvl>
    <w:lvl w:ilvl="2" w:tplc="73AE583E">
      <w:numFmt w:val="decimal"/>
      <w:lvlText w:val=""/>
      <w:lvlJc w:val="left"/>
    </w:lvl>
    <w:lvl w:ilvl="3" w:tplc="A2EE1E14">
      <w:numFmt w:val="decimal"/>
      <w:lvlText w:val=""/>
      <w:lvlJc w:val="left"/>
    </w:lvl>
    <w:lvl w:ilvl="4" w:tplc="707CA8C4">
      <w:numFmt w:val="decimal"/>
      <w:lvlText w:val=""/>
      <w:lvlJc w:val="left"/>
    </w:lvl>
    <w:lvl w:ilvl="5" w:tplc="1968E946">
      <w:numFmt w:val="decimal"/>
      <w:lvlText w:val=""/>
      <w:lvlJc w:val="left"/>
    </w:lvl>
    <w:lvl w:ilvl="6" w:tplc="CAB64D7A">
      <w:numFmt w:val="decimal"/>
      <w:lvlText w:val=""/>
      <w:lvlJc w:val="left"/>
    </w:lvl>
    <w:lvl w:ilvl="7" w:tplc="BF70A27E">
      <w:numFmt w:val="decimal"/>
      <w:lvlText w:val=""/>
      <w:lvlJc w:val="left"/>
    </w:lvl>
    <w:lvl w:ilvl="8" w:tplc="562C6556">
      <w:numFmt w:val="decimal"/>
      <w:lvlText w:val=""/>
      <w:lvlJc w:val="left"/>
    </w:lvl>
  </w:abstractNum>
  <w:abstractNum w:abstractNumId="5" w15:restartNumberingAfterBreak="0">
    <w:nsid w:val="4AC7789D"/>
    <w:multiLevelType w:val="hybridMultilevel"/>
    <w:tmpl w:val="C3368056"/>
    <w:lvl w:ilvl="0" w:tplc="D56407A6">
      <w:start w:val="1"/>
      <w:numFmt w:val="bullet"/>
      <w:lvlText w:val="•"/>
      <w:lvlJc w:val="left"/>
      <w:pPr>
        <w:ind w:left="720" w:hanging="360"/>
      </w:pPr>
    </w:lvl>
    <w:lvl w:ilvl="1" w:tplc="D13A3E18">
      <w:numFmt w:val="decimal"/>
      <w:lvlText w:val=""/>
      <w:lvlJc w:val="left"/>
    </w:lvl>
    <w:lvl w:ilvl="2" w:tplc="9140B0BC">
      <w:numFmt w:val="decimal"/>
      <w:lvlText w:val=""/>
      <w:lvlJc w:val="left"/>
    </w:lvl>
    <w:lvl w:ilvl="3" w:tplc="9A8EE95E">
      <w:numFmt w:val="decimal"/>
      <w:lvlText w:val=""/>
      <w:lvlJc w:val="left"/>
    </w:lvl>
    <w:lvl w:ilvl="4" w:tplc="6116F652">
      <w:numFmt w:val="decimal"/>
      <w:lvlText w:val=""/>
      <w:lvlJc w:val="left"/>
    </w:lvl>
    <w:lvl w:ilvl="5" w:tplc="473AE684">
      <w:numFmt w:val="decimal"/>
      <w:lvlText w:val=""/>
      <w:lvlJc w:val="left"/>
    </w:lvl>
    <w:lvl w:ilvl="6" w:tplc="D6287AF8">
      <w:numFmt w:val="decimal"/>
      <w:lvlText w:val=""/>
      <w:lvlJc w:val="left"/>
    </w:lvl>
    <w:lvl w:ilvl="7" w:tplc="07083604">
      <w:numFmt w:val="decimal"/>
      <w:lvlText w:val=""/>
      <w:lvlJc w:val="left"/>
    </w:lvl>
    <w:lvl w:ilvl="8" w:tplc="9758A9A6">
      <w:numFmt w:val="decimal"/>
      <w:lvlText w:val=""/>
      <w:lvlJc w:val="left"/>
    </w:lvl>
  </w:abstractNum>
  <w:abstractNum w:abstractNumId="6" w15:restartNumberingAfterBreak="0">
    <w:nsid w:val="4C9B2535"/>
    <w:multiLevelType w:val="hybridMultilevel"/>
    <w:tmpl w:val="5CD01058"/>
    <w:lvl w:ilvl="0" w:tplc="085AD7F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FF0998"/>
    <w:multiLevelType w:val="hybridMultilevel"/>
    <w:tmpl w:val="8024495E"/>
    <w:lvl w:ilvl="0" w:tplc="1C66BB7E">
      <w:start w:val="1"/>
      <w:numFmt w:val="upperRoman"/>
      <w:lvlText w:val="%1."/>
      <w:lvlJc w:val="left"/>
      <w:pPr>
        <w:ind w:left="720" w:hanging="360"/>
      </w:pPr>
    </w:lvl>
    <w:lvl w:ilvl="1" w:tplc="71FEB4F2">
      <w:numFmt w:val="decimal"/>
      <w:lvlText w:val=""/>
      <w:lvlJc w:val="left"/>
    </w:lvl>
    <w:lvl w:ilvl="2" w:tplc="54A0F684">
      <w:numFmt w:val="decimal"/>
      <w:lvlText w:val=""/>
      <w:lvlJc w:val="left"/>
    </w:lvl>
    <w:lvl w:ilvl="3" w:tplc="AD6CA4EA">
      <w:numFmt w:val="decimal"/>
      <w:lvlText w:val=""/>
      <w:lvlJc w:val="left"/>
    </w:lvl>
    <w:lvl w:ilvl="4" w:tplc="1996D03E">
      <w:numFmt w:val="decimal"/>
      <w:lvlText w:val=""/>
      <w:lvlJc w:val="left"/>
    </w:lvl>
    <w:lvl w:ilvl="5" w:tplc="80EAF1B2">
      <w:numFmt w:val="decimal"/>
      <w:lvlText w:val=""/>
      <w:lvlJc w:val="left"/>
    </w:lvl>
    <w:lvl w:ilvl="6" w:tplc="E69A3AF0">
      <w:numFmt w:val="decimal"/>
      <w:lvlText w:val=""/>
      <w:lvlJc w:val="left"/>
    </w:lvl>
    <w:lvl w:ilvl="7" w:tplc="7108DD38">
      <w:numFmt w:val="decimal"/>
      <w:lvlText w:val=""/>
      <w:lvlJc w:val="left"/>
    </w:lvl>
    <w:lvl w:ilvl="8" w:tplc="26DE768C">
      <w:numFmt w:val="decimal"/>
      <w:lvlText w:val=""/>
      <w:lvlJc w:val="left"/>
    </w:lvl>
  </w:abstractNum>
  <w:num w:numId="1" w16cid:durableId="2008511733">
    <w:abstractNumId w:val="3"/>
    <w:lvlOverride w:ilvl="0">
      <w:startOverride w:val="1"/>
    </w:lvlOverride>
  </w:num>
  <w:num w:numId="2" w16cid:durableId="1007366774">
    <w:abstractNumId w:val="5"/>
    <w:lvlOverride w:ilvl="0">
      <w:startOverride w:val="1"/>
    </w:lvlOverride>
  </w:num>
  <w:num w:numId="3" w16cid:durableId="507333903">
    <w:abstractNumId w:val="0"/>
    <w:lvlOverride w:ilvl="0">
      <w:startOverride w:val="1"/>
    </w:lvlOverride>
  </w:num>
  <w:num w:numId="4" w16cid:durableId="1312490936">
    <w:abstractNumId w:val="6"/>
  </w:num>
  <w:num w:numId="5" w16cid:durableId="142936309">
    <w:abstractNumId w:val="2"/>
  </w:num>
  <w:num w:numId="6" w16cid:durableId="14028254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AyMLM0MbAwNzQ3MjJQ0lEKTi0uzszPAykwrgUAJ4a09CwAAAA="/>
  </w:docVars>
  <w:rsids>
    <w:rsidRoot w:val="00F21B97"/>
    <w:rsid w:val="00111CAE"/>
    <w:rsid w:val="00152A24"/>
    <w:rsid w:val="001F3A0D"/>
    <w:rsid w:val="00236202"/>
    <w:rsid w:val="002621C0"/>
    <w:rsid w:val="002F56A5"/>
    <w:rsid w:val="00371B53"/>
    <w:rsid w:val="00375FE2"/>
    <w:rsid w:val="004741FA"/>
    <w:rsid w:val="00567984"/>
    <w:rsid w:val="0060054D"/>
    <w:rsid w:val="006812F1"/>
    <w:rsid w:val="006C32FD"/>
    <w:rsid w:val="006D6F96"/>
    <w:rsid w:val="006E13FE"/>
    <w:rsid w:val="00746CAE"/>
    <w:rsid w:val="008776AB"/>
    <w:rsid w:val="00896B87"/>
    <w:rsid w:val="008D1689"/>
    <w:rsid w:val="00903F4E"/>
    <w:rsid w:val="00A409C8"/>
    <w:rsid w:val="00BB3B60"/>
    <w:rsid w:val="00C44135"/>
    <w:rsid w:val="00CA418F"/>
    <w:rsid w:val="00CA6492"/>
    <w:rsid w:val="00D30242"/>
    <w:rsid w:val="00D34D7F"/>
    <w:rsid w:val="00EB026E"/>
    <w:rsid w:val="00EE51E5"/>
    <w:rsid w:val="00F21B97"/>
    <w:rsid w:val="00F814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94DDC"/>
  <w15:docId w15:val="{A7391068-3480-49D9-BB55-A6411792E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41FA"/>
    <w:rPr>
      <w:rFonts w:ascii="Times New Roman" w:hAnsi="Times New Roman"/>
      <w:sz w:val="24"/>
    </w:rPr>
  </w:style>
  <w:style w:type="paragraph" w:styleId="Heading1">
    <w:name w:val="heading 1"/>
    <w:autoRedefine/>
    <w:uiPriority w:val="9"/>
    <w:qFormat/>
    <w:rsid w:val="00236202"/>
    <w:pPr>
      <w:spacing w:before="360" w:after="120"/>
      <w:jc w:val="center"/>
      <w:outlineLvl w:val="0"/>
    </w:pPr>
    <w:rPr>
      <w:rFonts w:ascii="Times New Roman" w:hAnsi="Times New Roman"/>
      <w:b/>
      <w:bCs/>
      <w:sz w:val="24"/>
      <w:szCs w:val="32"/>
    </w:rPr>
  </w:style>
  <w:style w:type="paragraph" w:styleId="Heading2">
    <w:name w:val="heading 2"/>
    <w:autoRedefine/>
    <w:uiPriority w:val="9"/>
    <w:unhideWhenUsed/>
    <w:qFormat/>
    <w:rsid w:val="00236202"/>
    <w:pPr>
      <w:spacing w:before="280" w:after="80"/>
      <w:outlineLvl w:val="1"/>
    </w:pPr>
    <w:rPr>
      <w:rFonts w:ascii="Times New Roman" w:hAnsi="Times New Roman"/>
      <w:b/>
      <w:bCs/>
      <w:sz w:val="24"/>
      <w:szCs w:val="26"/>
    </w:rPr>
  </w:style>
  <w:style w:type="paragraph" w:styleId="Heading3">
    <w:name w:val="heading 3"/>
    <w:autoRedefine/>
    <w:uiPriority w:val="9"/>
    <w:unhideWhenUsed/>
    <w:qFormat/>
    <w:rsid w:val="00236202"/>
    <w:pPr>
      <w:spacing w:before="200" w:after="60"/>
      <w:outlineLvl w:val="2"/>
    </w:pPr>
    <w:rPr>
      <w:rFonts w:ascii="Times New Roman" w:hAnsi="Times New Roman"/>
      <w:b/>
      <w:bCs/>
      <w:iCs/>
      <w:sz w:val="24"/>
      <w:szCs w:val="24"/>
    </w:rPr>
  </w:style>
  <w:style w:type="paragraph" w:styleId="Heading4">
    <w:name w:val="heading 4"/>
    <w:autoRedefine/>
    <w:uiPriority w:val="9"/>
    <w:semiHidden/>
    <w:unhideWhenUsed/>
    <w:qFormat/>
    <w:rsid w:val="00236202"/>
    <w:pPr>
      <w:outlineLvl w:val="3"/>
    </w:pPr>
    <w:rPr>
      <w:rFonts w:ascii="Times New Roman" w:hAnsi="Times New Roman"/>
      <w:b/>
      <w:iCs/>
      <w:sz w:val="24"/>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F56A5"/>
    <w:pPr>
      <w:tabs>
        <w:tab w:val="center" w:pos="4513"/>
        <w:tab w:val="right" w:pos="9026"/>
      </w:tabs>
    </w:pPr>
  </w:style>
  <w:style w:type="character" w:customStyle="1" w:styleId="HeaderChar">
    <w:name w:val="Header Char"/>
    <w:basedOn w:val="DefaultParagraphFont"/>
    <w:link w:val="Header"/>
    <w:uiPriority w:val="99"/>
    <w:rsid w:val="002F56A5"/>
  </w:style>
  <w:style w:type="paragraph" w:styleId="Footer">
    <w:name w:val="footer"/>
    <w:basedOn w:val="Normal"/>
    <w:link w:val="FooterChar"/>
    <w:uiPriority w:val="99"/>
    <w:unhideWhenUsed/>
    <w:rsid w:val="002F56A5"/>
    <w:pPr>
      <w:tabs>
        <w:tab w:val="center" w:pos="4513"/>
        <w:tab w:val="right" w:pos="9026"/>
      </w:tabs>
    </w:pPr>
  </w:style>
  <w:style w:type="character" w:customStyle="1" w:styleId="FooterChar">
    <w:name w:val="Footer Char"/>
    <w:basedOn w:val="DefaultParagraphFont"/>
    <w:link w:val="Footer"/>
    <w:uiPriority w:val="99"/>
    <w:rsid w:val="002F56A5"/>
  </w:style>
  <w:style w:type="paragraph" w:styleId="TOCHeading">
    <w:name w:val="TOC Heading"/>
    <w:basedOn w:val="Heading1"/>
    <w:next w:val="Normal"/>
    <w:uiPriority w:val="39"/>
    <w:unhideWhenUsed/>
    <w:qFormat/>
    <w:rsid w:val="00236202"/>
    <w:pPr>
      <w:keepNext/>
      <w:keepLines/>
      <w:spacing w:before="240" w:after="0" w:line="259" w:lineRule="auto"/>
      <w:outlineLvl w:val="9"/>
    </w:pPr>
    <w:rPr>
      <w:rFonts w:eastAsiaTheme="majorEastAsia" w:cstheme="majorBidi"/>
      <w:bCs w:val="0"/>
      <w:lang w:val="en-US" w:eastAsia="en-US"/>
    </w:rPr>
  </w:style>
  <w:style w:type="paragraph" w:styleId="TOC1">
    <w:name w:val="toc 1"/>
    <w:basedOn w:val="Normal"/>
    <w:next w:val="Normal"/>
    <w:autoRedefine/>
    <w:uiPriority w:val="39"/>
    <w:unhideWhenUsed/>
    <w:rsid w:val="002F56A5"/>
    <w:pPr>
      <w:spacing w:after="100"/>
    </w:pPr>
  </w:style>
  <w:style w:type="paragraph" w:styleId="TOC2">
    <w:name w:val="toc 2"/>
    <w:basedOn w:val="Normal"/>
    <w:next w:val="Normal"/>
    <w:autoRedefine/>
    <w:uiPriority w:val="39"/>
    <w:unhideWhenUsed/>
    <w:rsid w:val="002F56A5"/>
    <w:pPr>
      <w:spacing w:after="100"/>
      <w:ind w:left="220"/>
    </w:pPr>
  </w:style>
  <w:style w:type="paragraph" w:styleId="TOC3">
    <w:name w:val="toc 3"/>
    <w:basedOn w:val="Normal"/>
    <w:next w:val="Normal"/>
    <w:autoRedefine/>
    <w:uiPriority w:val="39"/>
    <w:unhideWhenUsed/>
    <w:rsid w:val="002F56A5"/>
    <w:pPr>
      <w:spacing w:after="100"/>
      <w:ind w:left="440"/>
    </w:pPr>
  </w:style>
  <w:style w:type="paragraph" w:styleId="Bibliography">
    <w:name w:val="Bibliography"/>
    <w:basedOn w:val="Normal"/>
    <w:next w:val="Normal"/>
    <w:uiPriority w:val="37"/>
    <w:semiHidden/>
    <w:unhideWhenUsed/>
    <w:rsid w:val="0047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7" Version="7"/>
</file>

<file path=customXml/itemProps1.xml><?xml version="1.0" encoding="utf-8"?>
<ds:datastoreItem xmlns:ds="http://schemas.openxmlformats.org/officeDocument/2006/customXml" ds:itemID="{3A7E2291-97A4-4DFB-95AB-5DD6D93934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502</TotalTime>
  <Pages>31</Pages>
  <Words>11531</Words>
  <Characters>65729</Characters>
  <Application>Microsoft Office Word</Application>
  <DocSecurity>0</DocSecurity>
  <Lines>547</Lines>
  <Paragraphs>154</Paragraphs>
  <ScaleCrop>false</ScaleCrop>
  <Company/>
  <LinksUpToDate>false</LinksUpToDate>
  <CharactersWithSpaces>77106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Brian Kibet</cp:lastModifiedBy>
  <cp:revision>16</cp:revision>
  <dcterms:created xsi:type="dcterms:W3CDTF">2026-04-09T10:20:00Z</dcterms:created>
  <dcterms:modified xsi:type="dcterms:W3CDTF">2026-04-10T17:06:00Z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id="t7vLg9R8"/&gt;&lt;style id="http://www.zotero.org/styles/apa" locale="en-GB"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