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высшего образования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«Вятский государственный университет»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  <w:lang w:eastAsia="zh-CN"/>
        </w:rPr>
        <w:t>Кафедра ЭВМ</w:t>
      </w:r>
      <w:bookmarkStart w:id="0" w:name="_GoBack"/>
      <w:bookmarkEnd w:id="0"/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 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szCs w:val="28"/>
        </w:rPr>
        <w:t xml:space="preserve"> по дисциплине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«Организация памяти ЭВМ»</w:t>
      </w: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Вариант </w:t>
      </w:r>
      <w:r>
        <w:rPr>
          <w:rFonts w:hint="default" w:cs="Times New Roman"/>
          <w:szCs w:val="28"/>
          <w:lang w:val="ru-RU"/>
        </w:rPr>
        <w:t>18</w:t>
      </w: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ind w:left="0" w:leftChars="0" w:firstLine="0" w:firstLineChars="0"/>
        <w:jc w:val="both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ИВТб-3301__________ /</w:t>
      </w:r>
      <w:r>
        <w:rPr>
          <w:rFonts w:cs="Times New Roman"/>
          <w:szCs w:val="28"/>
          <w:lang w:val="ru-RU"/>
        </w:rPr>
        <w:t>Колесников</w:t>
      </w:r>
      <w:r>
        <w:rPr>
          <w:rFonts w:hint="default" w:cs="Times New Roman"/>
          <w:szCs w:val="28"/>
          <w:lang w:val="ru-RU"/>
        </w:rPr>
        <w:t xml:space="preserve"> Р.К.</w:t>
      </w:r>
      <w:r>
        <w:rPr>
          <w:rFonts w:cs="Times New Roman"/>
          <w:szCs w:val="28"/>
        </w:rPr>
        <w:t>/</w:t>
      </w: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преподаватель_______________________/Мельцов В. Ю./</w:t>
      </w:r>
    </w:p>
    <w:p>
      <w:pPr>
        <w:rPr>
          <w:rFonts w:cs="Times New Roman"/>
          <w:szCs w:val="28"/>
        </w:rPr>
      </w:pPr>
    </w:p>
    <w:p>
      <w:pPr>
        <w:ind w:firstLine="0"/>
        <w:jc w:val="center"/>
      </w:pPr>
      <w:r>
        <w:t>Киров 2023</w:t>
      </w:r>
    </w:p>
    <w:p>
      <w:pPr>
        <w:numPr>
          <w:ilvl w:val="0"/>
          <w:numId w:val="1"/>
        </w:numPr>
        <w:ind w:left="0" w:leftChars="0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соответствии с вариантом задания необходимо исследовать алгоритмы работы четырёх типов кэш-памяти и, используя полученную информацию в контекстно-зависимой помощи, сопровождающей демонстрацию алгоритма работы контроллера кэш-памяти, ответить на четыре вопроса для каждого задания (типа кэш-памяти):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Тип распределения кэш-памяти (прямое, полностью ассоциативное, частично-ассоциативное или секторное);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Организация блоков памяти процессора (ОП, СОЗУ данных кэш-памяти с расслоением обращений либо без), а также интерфейса связи ОП с процессором;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Стратегия обновления ОП, используемая в данной кэш-памяти;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Стратегия замещения кэш-памяти.</w:t>
      </w:r>
    </w:p>
    <w:p>
      <w:pPr>
        <w:numPr>
          <w:ilvl w:val="0"/>
          <w:numId w:val="1"/>
        </w:numPr>
        <w:ind w:left="0" w:leftChars="0" w:right="-652" w:rightChars="-233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numPr>
          <w:ilvl w:val="1"/>
          <w:numId w:val="1"/>
        </w:numPr>
        <w:ind w:left="560" w:leftChars="0" w:right="-652" w:rightChars="-233"/>
        <w:rPr>
          <w:rFonts w:hint="default"/>
          <w:lang w:val="ru-RU"/>
        </w:rPr>
      </w:pPr>
      <w:r>
        <w:rPr>
          <w:rFonts w:hint="default"/>
          <w:lang w:val="ru-RU"/>
        </w:rPr>
        <w:t>Первое задание</w:t>
      </w:r>
    </w:p>
    <w:p>
      <w:pPr>
        <w:numPr>
          <w:ilvl w:val="0"/>
          <w:numId w:val="0"/>
        </w:numPr>
        <w:ind w:left="560" w:leftChars="0" w:right="-652" w:rightChars="-233"/>
        <w:rPr>
          <w:rFonts w:hint="default"/>
          <w:lang w:val="ru-RU"/>
        </w:rPr>
      </w:pPr>
      <w:r>
        <w:rPr>
          <w:rFonts w:hint="default"/>
          <w:lang w:val="ru-RU"/>
        </w:rPr>
        <w:t>Схема первого задания представлена на рисунке 1.</w:t>
      </w:r>
    </w:p>
    <w:p>
      <w:pPr>
        <w:numPr>
          <w:ilvl w:val="0"/>
          <w:numId w:val="0"/>
        </w:numPr>
        <w:ind w:left="560" w:leftChars="0" w:right="-652" w:rightChars="-2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685540" cy="33140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652" w:rightChars="-2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Первая схема в установке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данном задании представлен кэш со следующими характеристиками: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Распределение: частично-ассоциативное;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обновления ОП: сквозная запись;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замещения: псевдо LRU-стека;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Расслоение: без расслоения.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Оценка времени выполнения операций чтения и записи представлена в таблице 1.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1 - Оценка времени выполнения операций чтения и записи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450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652" w:rightChars="-233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right="-126" w:rightChars="-45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in tag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right="87" w:rightChars="31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not in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87" w:rightChars="31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+4</w:t>
            </w:r>
            <w:r>
              <w:rPr>
                <w:rFonts w:hint="default"/>
                <w:vertAlign w:val="baseline"/>
                <w:lang w:val="en-US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  <w:r>
              <w:rPr>
                <w:rFonts w:hint="default"/>
                <w:vertAlign w:val="baseline"/>
                <w:lang w:val="ru-RU"/>
              </w:rPr>
              <w:t xml:space="preserve"> + 5T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Запись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87" w:rightChars="31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+4</w:t>
            </w:r>
            <w:r>
              <w:rPr>
                <w:rFonts w:hint="default"/>
                <w:vertAlign w:val="baseline"/>
                <w:lang w:val="en-US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  <w:r>
              <w:rPr>
                <w:rFonts w:hint="default"/>
                <w:vertAlign w:val="baseline"/>
                <w:lang w:val="ru-RU"/>
              </w:rPr>
              <w:t xml:space="preserve"> + 5T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работы контроллера кэш-памяти представлена на рисунках 2 и 3.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6560820"/>
            <wp:effectExtent l="0" t="0" r="6350" b="11430"/>
            <wp:docPr id="2" name="Изображение 2" descr="1СхемаЧ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СхемаЧте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ГСА работы контроллера кэш-памяти при чтении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6551930"/>
            <wp:effectExtent l="0" t="0" r="6350" b="1270"/>
            <wp:docPr id="6" name="Изображение 6" descr="1СхемаЗа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СхемаЗапис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ГСА работы контроллера кэш-памяти при записи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1"/>
          <w:numId w:val="1"/>
        </w:numPr>
        <w:spacing w:after="0" w:line="360" w:lineRule="auto"/>
        <w:ind w:left="560" w:leftChars="0" w:right="-652" w:rightChars="-233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Второе задание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Схема второго задания представлена на рисунке 4.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3040" cy="2114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4 - Вторая схема в установке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данном задании представлен кэш со следующими характеристиками: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Распределение: частично-ассоциативное;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обновления ОП: прямая обратная запись;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замещения: по биту неиспользования;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Расслоение: с расслоением к ОП.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Оценка времени выполнения операций чтения и записи представлена в таблице 2.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2 - Оценка времени выполнения операций чтения и записи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450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652" w:rightChars="-233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652" w:rightChars="-233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in tag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652" w:rightChars="-233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not in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+5T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+6T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Запись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+5T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+6T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работы контроллера кэш-памяти представлена на рисунках 5 и 6.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7642225"/>
            <wp:effectExtent l="0" t="0" r="6350" b="15875"/>
            <wp:docPr id="7" name="Изображение 7" descr="2СхемаЧ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СхемаЧте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ГСА работы контроллера кэш-памяти при чтении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7642225"/>
            <wp:effectExtent l="0" t="0" r="6350" b="15875"/>
            <wp:docPr id="8" name="Изображение 8" descr="2СхемаЗа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СхемаЗапись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ГСА работы контроллера кэш-памяти при записи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1"/>
          <w:numId w:val="1"/>
        </w:numPr>
        <w:spacing w:after="0" w:line="360" w:lineRule="auto"/>
        <w:ind w:left="560" w:leftChars="0" w:right="-652" w:rightChars="-233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Третье задание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Схема третьего задания представлена на рисунке 4.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9865" cy="26098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Третья схема в установке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данном задании представлен кэш со следующими характеристиками: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Распределение: прямое;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обновления ОП: регистровая запись;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замещения: нет;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Расслоение: с расслоением к ОП и кэш-памяти.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Оценка времени выполнения операций чтения и записи представлена в таблице 3.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3 - Оценка времени выполнения операций чтения и записи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450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652" w:rightChars="-233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126" w:rightChars="-45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in tag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190" w:rightChars="-68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not in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+2T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Запись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+2T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работы контроллера кэш-памяти представлена на рисунках 8 и 9.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58615" cy="3828415"/>
            <wp:effectExtent l="0" t="0" r="13335" b="635"/>
            <wp:docPr id="9" name="Изображение 9" descr="3СхемаЧ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СхемаЧте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8 - ГСА работы контроллера кэш-памяти при чтении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89095" cy="3856355"/>
            <wp:effectExtent l="0" t="0" r="1905" b="10795"/>
            <wp:docPr id="10" name="Изображение 10" descr="3СхемаЗа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3СхемаЗапись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9 - ГСА работы контроллера кэш-памяти при записи</w:t>
      </w:r>
    </w:p>
    <w:p>
      <w:pPr>
        <w:numPr>
          <w:ilvl w:val="1"/>
          <w:numId w:val="1"/>
        </w:numPr>
        <w:spacing w:after="0" w:line="360" w:lineRule="auto"/>
        <w:ind w:left="560" w:leftChars="0" w:right="-652" w:rightChars="-233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Четвёртое задание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Схема четвёртого задания представлена на рисунке 10.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8595" cy="214693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10 - Четвёртая схема в установке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данном задании представлен кэш со следующими характеристиками: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Распределение: полностью ассоциативное;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обновления ОП: флаговая запись;</w:t>
      </w:r>
    </w:p>
    <w:p>
      <w:pPr>
        <w:numPr>
          <w:ilvl w:val="0"/>
          <w:numId w:val="0"/>
        </w:numPr>
        <w:spacing w:after="0" w:line="360" w:lineRule="auto"/>
        <w:ind w:leftChars="20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Метод замещения: по счётчику;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Расслоение: с расслоением к ОП и кэш-памяти.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Оценка времени выполнения операций чтения и записи представлена в таблице 4.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4 - Оценка времени выполнения операций чтения и записи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450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652" w:rightChars="-233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126" w:rightChars="-45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in tag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="-280" w:leftChars="-100" w:right="-190" w:rightChars="-68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 not in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+4T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42" w:rightChars="1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Запись</w:t>
            </w:r>
          </w:p>
        </w:tc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26" w:rightChars="-4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360" w:lineRule="auto"/>
              <w:ind w:right="-190" w:rightChars="-68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2T</w:t>
            </w:r>
            <w:r>
              <w:rPr>
                <w:rFonts w:hint="default"/>
                <w:vertAlign w:val="subscript"/>
                <w:lang w:val="ru-RU"/>
              </w:rPr>
              <w:t>тэг</w:t>
            </w:r>
            <w:r>
              <w:rPr>
                <w:rFonts w:hint="default"/>
                <w:vertAlign w:val="baseline"/>
                <w:lang w:val="ru-RU"/>
              </w:rPr>
              <w:t>+4T</w:t>
            </w:r>
            <w:r>
              <w:rPr>
                <w:rFonts w:hint="default"/>
                <w:vertAlign w:val="subscript"/>
                <w:lang w:val="ru-RU"/>
              </w:rPr>
              <w:t>созу</w:t>
            </w:r>
            <w:r>
              <w:rPr>
                <w:rFonts w:hint="default"/>
                <w:vertAlign w:val="baseline"/>
                <w:lang w:val="ru-RU"/>
              </w:rPr>
              <w:t>+T</w:t>
            </w:r>
            <w:r>
              <w:rPr>
                <w:rFonts w:hint="default"/>
                <w:vertAlign w:val="subscript"/>
                <w:lang w:val="ru-RU"/>
              </w:rPr>
              <w:t>озу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работы контроллера кэш-памяти представлена на рисунках 11 и 12.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605530" cy="3762375"/>
            <wp:effectExtent l="0" t="0" r="13970" b="9525"/>
            <wp:docPr id="11" name="Изображение 11" descr="Чтение4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Чтение4Схема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11 - ГСА работы контроллера кэш-памяти при чтении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594100" cy="4001770"/>
            <wp:effectExtent l="0" t="0" r="6350" b="17780"/>
            <wp:docPr id="12" name="Изображение 12" descr="4СхемаЗа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4СхемаЗапись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12 - ГСА работы контроллера кэш-памяти при записи</w:t>
      </w: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Вывод: в процессе выполнения данной лабораторной работы были изучены основные принципы работы кэш-памяти, были рассмотрены следующие методы распределения: частично-ассоциативное, прямое и полностью ассоциативное. Также были исследованы следующие стратегии обновления: сквозная запись, простая обратная запись, регистровая запись и флаговая запись. Изучены стратегии замещения кэш-памяти: псевдо LRU-стека, по биту неиспользования и по счётчику. Знания, полученные в процессе выполнения данной лабораторной работы, будут полезны в будущем.</w:t>
      </w:r>
    </w:p>
    <w:p>
      <w:pPr>
        <w:numPr>
          <w:ilvl w:val="0"/>
          <w:numId w:val="0"/>
        </w:numPr>
        <w:spacing w:after="0" w:line="360" w:lineRule="auto"/>
        <w:ind w:left="560" w:leftChars="0" w:right="-652" w:rightChars="-233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80E03"/>
    <w:multiLevelType w:val="multilevel"/>
    <w:tmpl w:val="1D580E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F6F5A"/>
    <w:rsid w:val="6A5474D9"/>
    <w:rsid w:val="DFDEADEC"/>
    <w:rsid w:val="EDD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2023-05-25T17:59:00Z</dcterms:created>
  <dc:creator>kiruko</dc:creator>
  <cp:lastModifiedBy>drago</cp:lastModifiedBy>
  <dcterms:modified xsi:type="dcterms:W3CDTF">2023-05-27T10:16:24Z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74D08E27170A459FB4646BD41EC21B84</vt:lpwstr>
  </property>
</Properties>
</file>