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Competitor Analysis 2026</w:t>
      </w:r>
    </w:p>
    <w:p>
      <w:r>
        <w:t>Halvorsen Industrial Systems - Management - owner: Gabriel Eisner</w:t>
      </w:r>
    </w:p>
    <w:p>
      <w:pPr>
        <w:pStyle w:val="Heading1"/>
      </w:pPr>
      <w:r>
        <w:t>1. Grundfors Pumps</w:t>
      </w:r>
    </w:p>
    <w:p>
      <w:r>
        <w:t>Positioning: market leader, strong brand, 12% price premium.</w:t>
      </w:r>
    </w:p>
    <w:p>
      <w:r>
        <w:t>Estimated European revenue EUR 1014m. Our win rate against them in 2025: 22%.</w:t>
      </w:r>
    </w:p>
    <w:p>
      <w:r>
        <w:br w:type="page"/>
      </w:r>
    </w:p>
    <w:p>
      <w:pPr>
        <w:pStyle w:val="Heading1"/>
      </w:pPr>
      <w:r>
        <w:t>2. Wilmar Fluid</w:t>
      </w:r>
    </w:p>
    <w:p>
      <w:r>
        <w:t>Positioning: aggressive pricing in Iberia, weaker service network.</w:t>
      </w:r>
    </w:p>
    <w:p>
      <w:r>
        <w:t>Estimated European revenue EUR 701m. Our win rate against them in 2025: 51%.</w:t>
      </w:r>
    </w:p>
    <w:p>
      <w:r>
        <w:br w:type="page"/>
      </w:r>
    </w:p>
    <w:p>
      <w:pPr>
        <w:pStyle w:val="Heading1"/>
      </w:pPr>
      <w:r>
        <w:t>3. KSV Pumpen</w:t>
      </w:r>
    </w:p>
    <w:p>
      <w:r>
        <w:t>Positioning: strong in DACH chemicals, long lead times.</w:t>
      </w:r>
    </w:p>
    <w:p>
      <w:r>
        <w:t>Estimated European revenue EUR 584m. Our win rate against them in 2025: 38%.</w:t>
      </w:r>
    </w:p>
    <w:p>
      <w:r>
        <w:br w:type="page"/>
      </w:r>
    </w:p>
    <w:p>
      <w:pPr>
        <w:pStyle w:val="Heading1"/>
      </w:pPr>
      <w:r>
        <w:t>4. Sulzbach Flow</w:t>
      </w:r>
    </w:p>
    <w:p>
      <w:r>
        <w:t>Positioning: premium high-pressure range, competing with HX-700.</w:t>
      </w:r>
    </w:p>
    <w:p>
      <w:r>
        <w:t>Estimated European revenue EUR 2376m. Our win rate against them in 2025: 41%.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