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Treasury and Signing Authority Policy</w:t>
      </w:r>
    </w:p>
    <w:p>
      <w:r>
        <w:t>Halvorsen Industrial Systems - Department - owner: Valdemar Peltonen</w:t>
      </w:r>
    </w:p>
    <w:p>
      <w:pPr>
        <w:pStyle w:val="Heading1"/>
      </w:pPr>
      <w:r>
        <w:t>1. Signing limits</w:t>
      </w:r>
    </w:p>
    <w:p>
      <w:r>
        <w:t>Payments and commitments require approval according to the limits below. Two signatures are required above EUR 50,000.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Single approval limit</w:t>
            </w:r>
          </w:p>
        </w:tc>
      </w:tr>
      <w:tr>
        <w:tc>
          <w:tcPr>
            <w:tcW w:type="dxa" w:w="4320"/>
          </w:tcPr>
          <w:p>
            <w:r>
              <w:t>Department head</w:t>
            </w:r>
          </w:p>
        </w:tc>
        <w:tc>
          <w:tcPr>
            <w:tcW w:type="dxa" w:w="4320"/>
          </w:tcPr>
          <w:p>
            <w:r>
              <w:t>EUR 50,000</w:t>
            </w:r>
          </w:p>
        </w:tc>
      </w:tr>
      <w:tr>
        <w:tc>
          <w:tcPr>
            <w:tcW w:type="dxa" w:w="4320"/>
          </w:tcPr>
          <w:p>
            <w:r>
              <w:t>Executive (C-level)</w:t>
            </w:r>
          </w:p>
        </w:tc>
        <w:tc>
          <w:tcPr>
            <w:tcW w:type="dxa" w:w="4320"/>
          </w:tcPr>
          <w:p>
            <w:r>
              <w:t>EUR 500,000</w:t>
            </w:r>
          </w:p>
        </w:tc>
      </w:tr>
      <w:tr>
        <w:tc>
          <w:tcPr>
            <w:tcW w:type="dxa" w:w="4320"/>
          </w:tcPr>
          <w:p>
            <w:r>
              <w:t>CEO</w:t>
            </w:r>
          </w:p>
        </w:tc>
        <w:tc>
          <w:tcPr>
            <w:tcW w:type="dxa" w:w="4320"/>
          </w:tcPr>
          <w:p>
            <w:r>
              <w:t>EUR 2,000,000</w:t>
            </w:r>
          </w:p>
        </w:tc>
      </w:tr>
      <w:tr>
        <w:tc>
          <w:tcPr>
            <w:tcW w:type="dxa" w:w="4320"/>
          </w:tcPr>
          <w:p>
            <w:r>
              <w:t>Board</w:t>
            </w:r>
          </w:p>
        </w:tc>
        <w:tc>
          <w:tcPr>
            <w:tcW w:type="dxa" w:w="4320"/>
          </w:tcPr>
          <w:p>
            <w:r>
              <w:t>Above EUR 2,000,000</w:t>
            </w:r>
          </w:p>
        </w:tc>
      </w:tr>
    </w:tbl>
    <w:p>
      <w:r>
        <w:br w:type="page"/>
      </w:r>
    </w:p>
    <w:p>
      <w:pPr>
        <w:pStyle w:val="Heading1"/>
      </w:pPr>
      <w:r>
        <w:t>2. Cash management</w:t>
      </w:r>
    </w:p>
    <w:p>
      <w:r>
        <w:t>Surplus cash is held with at least three banks rated A- or better, with no more than 40% at any single bank.</w:t>
      </w:r>
    </w:p>
    <w:p>
      <w:r>
        <w:t>FX exposures above EUR 1 million equivalent are hedged at 75% for the following 12 months.</w:t>
      </w:r>
    </w:p>
    <w:p>
      <w:r>
        <w:br w:type="page"/>
      </w:r>
    </w:p>
    <w:p>
      <w:pPr>
        <w:pStyle w:val="Heading1"/>
      </w:pPr>
      <w:r>
        <w:t>3. Bank accounts</w:t>
      </w:r>
    </w:p>
    <w:p>
      <w:r>
        <w:t>Opening or closing bank accounts requires approval by the CFO (Valdemar Peltonen) and the CEO.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