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Группа №2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Мамонова Татьяна, Семенов Кирилл, Смирнова Александра, Торубаров Иван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Статья: On the Impact of SeedWords on Sentiment Polarity Lexicon Induction, ссылка: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https://www.aclweb.org/anthology/C16-1147.pdf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1a72kr0wnrm" w:id="0"/>
      <w:bookmarkEnd w:id="0"/>
      <w:r w:rsidDel="00000000" w:rsidR="00000000" w:rsidRPr="00000000">
        <w:rPr>
          <w:rtl w:val="0"/>
        </w:rPr>
        <w:t xml:space="preserve">Тестсет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 готовые файлы находятся здесь: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https://www.dropbox.com/sh/6imiguuzugv9qx8/AAAAZNFA4BM2N5Weq8PPcFP0a?dl=0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jc92ai9oqk4" w:id="1"/>
      <w:bookmarkEnd w:id="1"/>
      <w:r w:rsidDel="00000000" w:rsidR="00000000" w:rsidRPr="00000000">
        <w:rPr>
          <w:rtl w:val="0"/>
        </w:rPr>
        <w:t xml:space="preserve">Реферат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Задача, которую решали авторы — доказать, что для sentiment lexicon может быть достаточно небольшое количество слов — сотни слов и фраз в качестве seed words. Такой подход дает два преимущества: 1) использование высококачественного словаря в качестве seeds, 2) их автоматический анализ с помощью затравки (bootstrapping). Авторами был проведен эксперимент по созданию sentiment lexicon для македонского языка. Стоит отметить со стороны еще одно преимущество, что раньше подобных исследований для македонского языка не проводилось.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Авторами используется подход составления sentiment-словаря, и они, говоря об иных опытах, перечисляют удачные по их мнению sentiment-словари, среди которых: LIWC (Pennebaker et al., 2001) — 2,300 слов; the General Inquirer (Stone et al., 1966) —  4,206 слов, Bing Liu’s lexicon (Hu and Liu, 2004) — 6,786 слов, MPQA (Wilson et al., 2005) примерно 8000 слов. Крупномасштабные словари, такие как SentiWordNet (Esuli и Sebastiani, 2006; Baccianella et al., 2010); Hashtag Sentiment и Sentiment140, которые были разработаны командой NRC Canada в задании на SemEval-2013 по анализу настроений в Twitter. Авторы подчеркивают, что эти словари были составлены на большой базе “семян”; они хотят показать, что можно добиться не менее хороших результатов, используя “семена” среднего размера (исчисляя слова и фразы не в десятках тысяч, а в сотнях).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качестве данных авторы использовали 500 000 постов в Твиттере на македонском языке. Тестовый датасет seed-words состоял из 1139 фраз и слов. Они были размечены двумя носителями македонского языка, которым требовалось определить, положительная, отрицательная или нейтральная оценка характерна для твита. В финальный тестовый датасет не вошли те данные, насчет которых у аннотаторов возникли разногласия, в итоге получилось 1088 фраз. Тренировочный датасет состоял из  8583 твитов, размеченных одним носителем македонского, он размечал характеристику каждого предложения внутри твита. Кроме этих датасетов были использованы sentiment-словари. Поскольку их не было в открытом доступе для македонского, авторы статьи взяли за основу Bing Liu’s lexicon (2,006 положительных и 4,783 отрицательных слов), MPQA (2,718 положительных и 4,912 отрицательных слов), и болгарский словарь, состоявший из рецензий на фильмы, перевели их на македонский и скорректировали перевод.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Авторы статьи использовали несколько sentiment-словарей разного объема, чтобы понять, какой объем достаточен для sentiment-анализа. Таблица ниже их иллюстрирует.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489" l="13787" r="10963" t="4719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e06666" w:val="clear"/>
        </w:rPr>
      </w:pPr>
      <w:r w:rsidDel="00000000" w:rsidR="00000000" w:rsidRPr="00000000">
        <w:rPr>
          <w:rtl w:val="0"/>
        </w:rPr>
        <w:t xml:space="preserve">Для обучения были важны следующие признаки: количество позитивных и негативных токенов, соотношение позитивных или негативных токенов к общему количеству токенов, сумма всех позитивных scores, всех негативных и общая сумма. Для классификации была использована логистическая регрессия, где основными признаками были значения TF.IDF для униграм, биграм и смайликов (или эмодзи). Кроме того, были различные дополнительные признаки, основанные на том, как часто в одном и том же твите появлялись позитивная и негативная лексика, на основе которых score пересчитывался.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Авторы статьи сравнивали то, как объем корпуса, его происхождение и метод увеличения объема (регрессия или PMI) влияют на результаты.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Работа авторов разделена на две подзадачи: создание расширенного (bootstrapped) лексикона на основе “семян” и обучение на основе этих лексиконов классификационной модели. Соответственно, авторы приводят результаты для каждой из подзадач.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таблице, которую мы привели ранее, приведены результаты генерации лексиконов двумя способами из наборов “семян” разного объёма. Показано, что больший набор исходных слов приводит к более полному результирующему лексикону. При этом, хотя рост объёма лексикона и замедляется с ростом количества “семян” (если для минимального объёма он составляет 25х для униграмм и 433х для биграмм, то для максимального -- всего 9,5х и 148х соответственно), это замедление недостаточно значительное для того, чтобы можно было признать оптимальным любой из меньших исследованных объёмов “семян”.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Эта же таблица иллюстрирует значительную разницу в продуктивности двух методов генерации лексикона: униграммного (PMI) и биграммного (LR). Показано, что биграммный метод определяет на порядок больше таргетов: их вклад в работу моделей, впрочем, лучше демонстрируется в следующей таблице, описывающей результаты работы классификационных моделей.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оценки качества моделей авторы используют среднее между двумя F1-мерами, для которых целевыми переменными считаются соответственно тексты с позитивной и и негативной окраской. В строках таблицы представлены лексиконы, построенные на наборах “семян” различного объёма; в столбцах -- различные методы генерации лексиконов и обучения модели. Видно, во-первых, что униграммная и биграммная генерация лексикона дают приблизительно одинаковое качество, хотя биграммная в среднем всегда показывает метрику на 1% выше. Объединение униграммного и биграммного лексиконов также стабильно работает лучше, чем каждый лексикон в отдельности, хотя по сравнению с LR-лексиконом прирост ещё меньше (0,5%). Значительно большую разницу между метриками вносит разница в объёмах наборов "семян" и использование в моделях дополнительных метрик (feature engineering), а также добавление в автоматически сгенерированый лексикон исходных "семян". Скомбинировав все доработки модели на самом большом лексиконе, авторы получили наилучший результат со значением метрики 94,44.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Несмотря на довольно обширное обсуждение результатов, авторы не рассматривают проблемы алгоритма и не приводят примеров неверной работы моделей.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Безусловно, большой плюс этой статьи в том, что описывается не только технология увеличения лексикона при помощи seed words, но и весь пайплайн обработки текстов для дальнейшего сентимент-анализа. Впрочем, увы, эти пайплайны очень зависят от языка, и для русского большое количество рассмотренных эвристик (вроде стемминга) не подойдет.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Очень корректно подчеркивалось, что задача бинарной классификации sentiment-orientation для каждого слова является на самом деле классификацией на три группы - положительные, отрицательные и нейтральные.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Что касается особенностей данного проекта, то достаточно неплохой эвристикой можно считать использование sentiment lexicons из других языков. В данном случае для составления македонского словаря использовались  sentiment lexicons английского, русского и болгарского языков. Безусловно, такой шаг стоит делать с осторожностью, потому что в различных языках у слов с прямым переводом есть различные коннотации; но получить таким образом несколько сотен полезных слов вполне возможно. Еще более важен их вывод: подготовленные таким образом лексиконы всегда дают худший результат, чем вручную выбранные для  данного языка слова.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Минус - нет псевдокодов. Без этого было сложно понимать, как взаимодействуют алгоритмы PMI и Logistic Regression при обучении, и что происходит со словами, которые образуют пересечение множеств иностранных переводов и вручную придуманных лексиконов. Псевдокод очень помог бы в п. 4.3 и п. 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 очень понятным осталось три момента. Во-первых, мы так и не смогли понять, что значит mid-sized seed, учитывая, что самые хорошие результаты получались у исследователей при количестве seedwords чуть больше тысячи, а во введении описано, что лексиконы в принципе делают обычно объемом меньше, чем 10 000. Можно ли в итоге их выборку считать mid-sized - вопрос открытый. Во-вторых, при подведении результатов в таблицах и диаграммах стало не очень ясно, в чем оппозиция между B, S и M: например, какие взаимные пропорции между В и М (когда предлагается сложить B+S+M).  В-третьих, не очень понятно, что именно входило в дополнительные признаки при построении модели логистической регрессии.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clweb.org/anthology/C16-1147.pdf" TargetMode="External"/><Relationship Id="rId7" Type="http://schemas.openxmlformats.org/officeDocument/2006/relationships/hyperlink" Target="https://www.dropbox.com/sh/6imiguuzugv9qx8/AAAAZNFA4BM2N5Weq8PPcFP0a?dl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