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0E7675"/>
          <w:sz w:val="36"/>
        </w:rPr>
        <w:t>Technical Reference &amp; System Architecture Guide</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1: EXECUTIVE SUMMARY &amp; SYSTEM OBJECTIVES</w:t>
      </w:r>
    </w:p>
    <w:p>
      <w:pPr>
        <w:pStyle w:val="Heading3"/>
        <w:spacing w:before="240" w:after="120"/>
      </w:pPr>
      <w:r>
        <w:rPr>
          <w:rFonts w:ascii="Arial" w:hAnsi="Arial"/>
          <w:b/>
          <w:color w:val="333333"/>
          <w:sz w:val="24"/>
        </w:rPr>
        <w:t>1.1 Project Purpose &amp; Real-World Problem Statement</w:t>
      </w:r>
    </w:p>
    <w:p>
      <w:pPr>
        <w:spacing w:before="60" w:after="80" w:line="276" w:lineRule="auto"/>
      </w:pPr>
      <w:r>
        <w:rPr>
          <w:rFonts w:ascii="Arial" w:hAnsi="Arial"/>
          <w:color w:val="333333"/>
          <w:sz w:val="21"/>
        </w:rPr>
        <w:t>Commercial dairy farming and beef cattle management operate at levels where manual oversight of individual animals is logistically impossible. Managing herd health, logging accurate feeding metrics, tracking postures (standing vs. lying), and maintaining physical perimeter security require significant human labor. Manual logging is prone to human error, resulting in delayed detection of illness, lowered milk yields, and vulnerability to security breaches.</w:t>
      </w:r>
    </w:p>
    <w:p>
      <w:pPr>
        <w:spacing w:before="60" w:after="80" w:line="276" w:lineRule="auto"/>
      </w:pPr>
      <w:r>
        <w:rPr>
          <w:rFonts w:ascii="Arial" w:hAnsi="Arial"/>
          <w:color w:val="333333"/>
          <w:sz w:val="21"/>
        </w:rPr>
        <w:t>Wearable IoT transponders, neck collars, and active RFID trackers represent expensive and fragile alternatives. These wearables are prone to physical damage, battery depletion, and falling off during herd movements. Passive RFID ear-tag setups force cows through narrow walkthrough gates, disrupting natural herd feeding flows. Cloud-reliant vision pipelines introduce heavy data transfer demands, which are not viable or cost-effective in rural agricultural regions.</w:t>
      </w:r>
    </w:p>
    <w:p>
      <w:pPr>
        <w:spacing w:before="60" w:after="80" w:line="276" w:lineRule="auto"/>
      </w:pPr>
      <w:r>
        <w:rPr>
          <w:rFonts w:ascii="Arial" w:hAnsi="Arial"/>
          <w:color w:val="333333"/>
          <w:sz w:val="21"/>
        </w:rPr>
        <w:t>The Kisan CattleVision system provides an offline-first Edge AI solution deployed locally on the NVIDIA Jetson Orin Nano. By running object tracking, ear-tag OCR recognition, posture behavior classification, worker face recognition, and dynamic stranger registries on the edge, the system operates completely offline without continuous internet dependencies, lowering cost and removing wearable hardware dependencies.</w:t>
      </w:r>
    </w:p>
    <w:p>
      <w:pPr>
        <w:pStyle w:val="Heading3"/>
        <w:spacing w:before="240" w:after="120"/>
      </w:pPr>
      <w:r>
        <w:rPr>
          <w:rFonts w:ascii="Arial" w:hAnsi="Arial"/>
          <w:b/>
          <w:color w:val="333333"/>
          <w:sz w:val="24"/>
        </w:rPr>
        <w:t>1.2 System Scope &amp; Key Capabilities</w:t>
      </w:r>
    </w:p>
    <w:p>
      <w:pPr>
        <w:spacing w:before="60" w:after="80" w:line="276" w:lineRule="auto"/>
      </w:pPr>
      <w:r>
        <w:rPr>
          <w:rFonts w:ascii="Arial" w:hAnsi="Arial"/>
          <w:color w:val="333333"/>
          <w:sz w:val="21"/>
        </w:rPr>
        <w:t>The edge processing pipeline coordinates three main software subsystems:</w:t>
      </w:r>
    </w:p>
    <w:p>
      <w:pPr>
        <w:spacing w:before="60" w:after="80" w:line="276" w:lineRule="auto"/>
      </w:pPr>
      <w:r>
        <w:rPr>
          <w:rFonts w:ascii="Arial" w:hAnsi="Arial"/>
          <w:color w:val="333333"/>
          <w:sz w:val="21"/>
        </w:rPr>
        <w:t>1. Livestock Tracker &amp; Behavior Logger: Runs a fine-tuned YOLOv8 model for real-time cattle detection, utilizes CRNN sequence OCR (EasyOCR) to read alphanumeric ear tags, classifies standing vs. lying and feeding vs. idle behaviors, and saves records locally.</w:t>
      </w:r>
    </w:p>
    <w:p>
      <w:pPr>
        <w:spacing w:before="60" w:after="80" w:line="276" w:lineRule="auto"/>
      </w:pPr>
      <w:r>
        <w:rPr>
          <w:rFonts w:ascii="Arial" w:hAnsi="Arial"/>
          <w:color w:val="333333"/>
          <w:sz w:val="21"/>
        </w:rPr>
        <w:t>2. Worker Attendance Verification: Extracts facial embedding features using ArcFace representation, performs majority voting consensus to recognize workers, and logs attendance records.</w:t>
      </w:r>
    </w:p>
    <w:p>
      <w:pPr>
        <w:spacing w:before="60" w:after="80" w:line="276" w:lineRule="auto"/>
      </w:pPr>
      <w:r>
        <w:rPr>
          <w:rFonts w:ascii="Arial" w:hAnsi="Arial"/>
          <w:color w:val="333333"/>
          <w:sz w:val="21"/>
        </w:rPr>
        <w:t>3. Dynamic Stranger Registry: Assigns temporary sequential IDs to unregistered visitors, tracks their paths across overlapping cameras, and uses body clothing HSV histograms to recover lost track histories.</w:t>
      </w:r>
    </w:p>
    <w:p>
      <w:pPr>
        <w:pStyle w:val="Heading3"/>
        <w:spacing w:before="240" w:after="120"/>
      </w:pPr>
      <w:r>
        <w:rPr>
          <w:rFonts w:ascii="Arial" w:hAnsi="Arial"/>
          <w:b/>
          <w:color w:val="333333"/>
          <w:sz w:val="24"/>
        </w:rPr>
        <w:t>1.3 Primary System Objectives &amp; Benchmark Targets</w:t>
      </w:r>
    </w:p>
    <w:p>
      <w:pPr>
        <w:pStyle w:val="ListBullet"/>
        <w:spacing w:before="60" w:after="80" w:line="276" w:lineRule="auto"/>
      </w:pPr>
      <w:r>
        <w:rPr>
          <w:rFonts w:ascii="Arial" w:hAnsi="Arial"/>
          <w:color w:val="333333"/>
          <w:sz w:val="21"/>
        </w:rPr>
        <w:t>Throughput Rate: Real-time processing of multi-camera feeds at &gt;= 10 FPS per stream locally.</w:t>
      </w:r>
    </w:p>
    <w:p>
      <w:pPr>
        <w:pStyle w:val="ListBullet"/>
        <w:spacing w:before="60" w:after="80" w:line="276" w:lineRule="auto"/>
      </w:pPr>
      <w:r>
        <w:rPr>
          <w:rFonts w:ascii="Arial" w:hAnsi="Arial"/>
          <w:color w:val="333333"/>
          <w:sz w:val="21"/>
        </w:rPr>
        <w:t>Ear Tag OCR Lock: &gt;= 94% accuracy under direct sun exposures.</w:t>
      </w:r>
    </w:p>
    <w:p>
      <w:pPr>
        <w:pStyle w:val="ListBullet"/>
        <w:spacing w:before="60" w:after="80" w:line="276" w:lineRule="auto"/>
      </w:pPr>
      <w:r>
        <w:rPr>
          <w:rFonts w:ascii="Arial" w:hAnsi="Arial"/>
          <w:color w:val="333333"/>
          <w:sz w:val="21"/>
        </w:rPr>
        <w:t>Face Verification Match: &gt;= 95% accuracy; FAR &lt; 0.008%.</w:t>
      </w:r>
    </w:p>
    <w:p>
      <w:pPr>
        <w:pStyle w:val="ListBullet"/>
        <w:spacing w:before="60" w:after="80" w:line="276" w:lineRule="auto"/>
      </w:pPr>
      <w:r>
        <w:rPr>
          <w:rFonts w:ascii="Arial" w:hAnsi="Arial"/>
          <w:color w:val="333333"/>
          <w:sz w:val="21"/>
        </w:rPr>
        <w:t>Latency Delay: Core inference execution under 35 ms per frame.</w:t>
      </w:r>
    </w:p>
    <w:p>
      <w:pPr>
        <w:pStyle w:val="ListBullet"/>
        <w:spacing w:before="60" w:after="80" w:line="276" w:lineRule="auto"/>
      </w:pPr>
      <w:r>
        <w:rPr>
          <w:rFonts w:ascii="Arial" w:hAnsi="Arial"/>
          <w:color w:val="333333"/>
          <w:sz w:val="21"/>
        </w:rPr>
        <w:t>Storage Profile: Dynamic CSV log databases requiring &lt; 10 MB of offline storage per month.</w:t>
      </w:r>
    </w:p>
    <w:p>
      <w:pPr>
        <w:pStyle w:val="Heading3"/>
        <w:spacing w:before="240" w:after="120"/>
      </w:pPr>
      <w:r>
        <w:rPr>
          <w:rFonts w:ascii="Arial" w:hAnsi="Arial"/>
          <w:b/>
          <w:color w:val="333333"/>
          <w:sz w:val="24"/>
        </w:rPr>
        <w:t>1.4 Project Technical &amp; Business Dictionary</w:t>
      </w:r>
    </w:p>
    <w:p>
      <w:pPr>
        <w:pStyle w:val="ListBullet"/>
        <w:spacing w:before="60" w:after="80" w:line="276" w:lineRule="auto"/>
      </w:pPr>
      <w:r>
        <w:rPr>
          <w:rFonts w:ascii="Arial" w:hAnsi="Arial"/>
          <w:color w:val="333333"/>
          <w:sz w:val="21"/>
        </w:rPr>
        <w:t>k_sim (Cosine Similarity): The similarity score between an active face embedding and registered worker templates.</w:t>
      </w:r>
    </w:p>
    <w:p>
      <w:pPr>
        <w:pStyle w:val="ListBullet"/>
        <w:spacing w:before="60" w:after="80" w:line="276" w:lineRule="auto"/>
      </w:pPr>
      <w:r>
        <w:rPr>
          <w:rFonts w:ascii="Arial" w:hAnsi="Arial"/>
          <w:color w:val="333333"/>
          <w:sz w:val="21"/>
        </w:rPr>
        <w:t>u_sim (Cosine Similarity): The similarity score between an active face embedding and dynamic unknown stranger templates.</w:t>
      </w:r>
    </w:p>
    <w:p>
      <w:pPr>
        <w:pStyle w:val="ListBullet"/>
        <w:spacing w:before="60" w:after="80" w:line="276" w:lineRule="auto"/>
      </w:pPr>
      <w:r>
        <w:rPr>
          <w:rFonts w:ascii="Arial" w:hAnsi="Arial"/>
          <w:color w:val="333333"/>
          <w:sz w:val="21"/>
        </w:rPr>
        <w:t>locked_id: The final locked cattle ID (e.g. A145) or person ID (e.g. GEETHA).</w:t>
      </w:r>
    </w:p>
    <w:p>
      <w:pPr>
        <w:pStyle w:val="ListBullet"/>
        <w:spacing w:before="60" w:after="80" w:line="276" w:lineRule="auto"/>
      </w:pPr>
      <w:r>
        <w:rPr>
          <w:rFonts w:ascii="Arial" w:hAnsi="Arial"/>
          <w:color w:val="333333"/>
          <w:sz w:val="21"/>
        </w:rPr>
        <w:t>clothing_hist: Color signatures of upper/lower body garments used to re-identify tracks.</w:t>
      </w:r>
    </w:p>
    <w:p>
      <w:pPr>
        <w:pStyle w:val="ListBullet"/>
        <w:spacing w:before="60" w:after="80" w:line="276" w:lineRule="auto"/>
      </w:pPr>
      <w:r>
        <w:rPr>
          <w:rFonts w:ascii="Arial" w:hAnsi="Arial"/>
          <w:color w:val="333333"/>
          <w:sz w:val="21"/>
        </w:rPr>
        <w:t>ChromaDB Vector DB: Local persistent database storing behavioral logs for anomaly search.</w:t>
      </w:r>
    </w:p>
    <w:p>
      <w:pPr>
        <w:pStyle w:val="Heading2"/>
        <w:spacing w:before="240" w:after="120"/>
      </w:pPr>
      <w:r>
        <w:rPr>
          <w:rFonts w:ascii="Arial" w:hAnsi="Arial"/>
          <w:b/>
          <w:color w:val="5C94EB"/>
          <w:sz w:val="28"/>
        </w:rPr>
        <w:t>CHAPTER 2: HARDWARE SPECIFICATIONS &amp; SETUP</w:t>
      </w:r>
    </w:p>
    <w:p>
      <w:pPr>
        <w:pStyle w:val="Heading3"/>
        <w:spacing w:before="240" w:after="120"/>
      </w:pPr>
      <w:r>
        <w:rPr>
          <w:rFonts w:ascii="Arial" w:hAnsi="Arial"/>
          <w:b/>
          <w:color w:val="333333"/>
          <w:sz w:val="24"/>
        </w:rPr>
        <w:t>2.1 Hardware Requirements Catalog</w:t>
      </w:r>
    </w:p>
    <w:p>
      <w:pPr>
        <w:pStyle w:val="ListBullet"/>
        <w:spacing w:before="60" w:after="80" w:line="276" w:lineRule="auto"/>
      </w:pPr>
      <w:r>
        <w:rPr>
          <w:rFonts w:ascii="Arial" w:hAnsi="Arial"/>
          <w:color w:val="333333"/>
          <w:sz w:val="21"/>
        </w:rPr>
        <w:t>Edge Inference Board: NVIDIA Jetson Orin Nano (8GB Developer Kit) with CUDA core acceleration.</w:t>
      </w:r>
    </w:p>
    <w:p>
      <w:pPr>
        <w:pStyle w:val="ListBullet"/>
        <w:spacing w:before="60" w:after="80" w:line="276" w:lineRule="auto"/>
      </w:pPr>
      <w:r>
        <w:rPr>
          <w:rFonts w:ascii="Arial" w:hAnsi="Arial"/>
          <w:color w:val="333333"/>
          <w:sz w:val="21"/>
        </w:rPr>
        <w:t>IP Cameras: 1080p Full HD bullet cameras supporting RTSP streaming protocols.</w:t>
      </w:r>
    </w:p>
    <w:p>
      <w:pPr>
        <w:pStyle w:val="ListBullet"/>
        <w:spacing w:before="60" w:after="80" w:line="276" w:lineRule="auto"/>
      </w:pPr>
      <w:r>
        <w:rPr>
          <w:rFonts w:ascii="Arial" w:hAnsi="Arial"/>
          <w:color w:val="333333"/>
          <w:sz w:val="21"/>
        </w:rPr>
        <w:t>Enclosures: Weatherproof IP66 steel/polycarbonate mount cabinets.</w:t>
      </w:r>
    </w:p>
    <w:p>
      <w:pPr>
        <w:pStyle w:val="ListBullet"/>
        <w:spacing w:before="60" w:after="80" w:line="276" w:lineRule="auto"/>
      </w:pPr>
      <w:r>
        <w:rPr>
          <w:rFonts w:ascii="Arial" w:hAnsi="Arial"/>
          <w:color w:val="333333"/>
          <w:sz w:val="21"/>
        </w:rPr>
        <w:t>Power Supplies: 19V / 45W DC adapters with surge protectors.</w:t>
      </w:r>
    </w:p>
    <w:p>
      <w:pPr>
        <w:pStyle w:val="ListBullet"/>
        <w:spacing w:before="60" w:after="80" w:line="276" w:lineRule="auto"/>
      </w:pPr>
      <w:r>
        <w:rPr>
          <w:rFonts w:ascii="Arial" w:hAnsi="Arial"/>
          <w:color w:val="333333"/>
          <w:sz w:val="21"/>
        </w:rPr>
        <w:t>Network Gateways: 8-Port PoE gigabit network switch and outdoor Cat6 Ethernet wiring.</w:t>
      </w:r>
    </w:p>
    <w:p>
      <w:pPr>
        <w:pStyle w:val="Heading3"/>
        <w:spacing w:before="240" w:after="120"/>
      </w:pPr>
      <w:r>
        <w:rPr>
          <w:rFonts w:ascii="Arial" w:hAnsi="Arial"/>
          <w:b/>
          <w:color w:val="333333"/>
          <w:sz w:val="24"/>
        </w:rPr>
        <w:t>2.2 Physical Installation &amp; Deployment Guide</w:t>
      </w:r>
    </w:p>
    <w:p>
      <w:pPr>
        <w:pStyle w:val="ListBullet"/>
        <w:spacing w:before="60" w:after="80" w:line="276" w:lineRule="auto"/>
      </w:pPr>
      <w:r>
        <w:rPr>
          <w:rFonts w:ascii="Arial" w:hAnsi="Arial"/>
          <w:color w:val="333333"/>
          <w:sz w:val="21"/>
        </w:rPr>
        <w:t>Feeding Stalls (Cattle Camera): Mount bullet cameras at a height of 2.5 to 2.8 meters, angled downwards at 30 to 45 degrees facing the feeding lane. This provides an optimal angle to extract the cow's ear-tag text codes without occlusion from neighboring cattle.</w:t>
      </w:r>
    </w:p>
    <w:p>
      <w:pPr>
        <w:pStyle w:val="ListBullet"/>
        <w:spacing w:before="60" w:after="80" w:line="276" w:lineRule="auto"/>
      </w:pPr>
      <w:r>
        <w:rPr>
          <w:rFonts w:ascii="Arial" w:hAnsi="Arial"/>
          <w:color w:val="333333"/>
          <w:sz w:val="21"/>
        </w:rPr>
        <w:t>Entrance Door (Face Camera): Mount camera at a height of 1.8 meters directly facing the gateway doorway, tilted downwards at 5 to 10 degrees to capture frontal face profiles of workers.</w:t>
      </w:r>
    </w:p>
    <w:p>
      <w:pPr>
        <w:pStyle w:val="ListBullet"/>
        <w:spacing w:before="60" w:after="80" w:line="276" w:lineRule="auto"/>
      </w:pPr>
      <w:r>
        <w:rPr>
          <w:rFonts w:ascii="Arial" w:hAnsi="Arial"/>
          <w:color w:val="333333"/>
          <w:sz w:val="21"/>
        </w:rPr>
        <w:t>PoE Wiring: Install cables inside rigid conduit pipes along the rafters to protect them from chewing rodents, feeding dust, and humidity.</w:t>
      </w:r>
    </w:p>
    <w:p>
      <w:pPr>
        <w:pStyle w:val="Heading2"/>
        <w:spacing w:before="240" w:after="120"/>
      </w:pPr>
      <w:r>
        <w:rPr>
          <w:rFonts w:ascii="Arial" w:hAnsi="Arial"/>
          <w:b/>
          <w:color w:val="5C94EB"/>
          <w:sz w:val="28"/>
        </w:rPr>
        <w:t>CHAPTER 3: SYSTEM ARCHITECTURE &amp; DIAGRAMS</w:t>
      </w:r>
    </w:p>
    <w:p>
      <w:pPr>
        <w:pStyle w:val="Heading3"/>
        <w:spacing w:before="240" w:after="120"/>
      </w:pPr>
      <w:r>
        <w:rPr>
          <w:rFonts w:ascii="Arial" w:hAnsi="Arial"/>
          <w:b/>
          <w:color w:val="333333"/>
          <w:sz w:val="24"/>
        </w:rPr>
        <w:t>3.1 Unified System Block Diagram</w:t>
      </w:r>
    </w:p>
    <w:p>
      <w:pPr>
        <w:jc w:val="center"/>
      </w:pPr>
      <w:r>
        <w:drawing>
          <wp:inline xmlns:a="http://schemas.openxmlformats.org/drawingml/2006/main" xmlns:pic="http://schemas.openxmlformats.org/drawingml/2006/picture">
            <wp:extent cx="4572000" cy="1195828"/>
            <wp:docPr id="1" name="Picture 1"/>
            <wp:cNvGraphicFramePr>
              <a:graphicFrameLocks noChangeAspect="1"/>
            </wp:cNvGraphicFramePr>
            <a:graphic>
              <a:graphicData uri="http://schemas.openxmlformats.org/drawingml/2006/picture">
                <pic:pic>
                  <pic:nvPicPr>
                    <pic:cNvPr id="0" name="chart_1.png"/>
                    <pic:cNvPicPr/>
                  </pic:nvPicPr>
                  <pic:blipFill>
                    <a:blip r:embed="rId10"/>
                    <a:stretch>
                      <a:fillRect/>
                    </a:stretch>
                  </pic:blipFill>
                  <pic:spPr>
                    <a:xfrm>
                      <a:off x="0" y="0"/>
                      <a:ext cx="4572000" cy="1195828"/>
                    </a:xfrm>
                    <a:prstGeom prst="rect"/>
                  </pic:spPr>
                </pic:pic>
              </a:graphicData>
            </a:graphic>
          </wp:inline>
        </w:drawing>
      </w:r>
    </w:p>
    <w:p>
      <w:pPr>
        <w:pStyle w:val="Heading3"/>
        <w:spacing w:before="240" w:after="120"/>
      </w:pPr>
      <w:r>
        <w:rPr>
          <w:rFonts w:ascii="Arial" w:hAnsi="Arial"/>
          <w:b/>
          <w:color w:val="333333"/>
          <w:sz w:val="24"/>
        </w:rPr>
        <w:t>3.2 Sequential Workflow Architecture</w:t>
      </w:r>
    </w:p>
    <w:p>
      <w:pPr>
        <w:jc w:val="center"/>
      </w:pPr>
      <w:r>
        <w:drawing>
          <wp:inline xmlns:a="http://schemas.openxmlformats.org/drawingml/2006/main" xmlns:pic="http://schemas.openxmlformats.org/drawingml/2006/picture">
            <wp:extent cx="3474720" cy="2574736"/>
            <wp:docPr id="2" name="Picture 2"/>
            <wp:cNvGraphicFramePr>
              <a:graphicFrameLocks noChangeAspect="1"/>
            </wp:cNvGraphicFramePr>
            <a:graphic>
              <a:graphicData uri="http://schemas.openxmlformats.org/drawingml/2006/picture">
                <pic:pic>
                  <pic:nvPicPr>
                    <pic:cNvPr id="0" name="chart_2.png"/>
                    <pic:cNvPicPr/>
                  </pic:nvPicPr>
                  <pic:blipFill>
                    <a:blip r:embed="rId11"/>
                    <a:stretch>
                      <a:fillRect/>
                    </a:stretch>
                  </pic:blipFill>
                  <pic:spPr>
                    <a:xfrm>
                      <a:off x="0" y="0"/>
                      <a:ext cx="3474720" cy="2574736"/>
                    </a:xfrm>
                    <a:prstGeom prst="rect"/>
                  </pic:spPr>
                </pic:pic>
              </a:graphicData>
            </a:graphic>
          </wp:inline>
        </w:drawing>
      </w:r>
    </w:p>
    <w:p>
      <w:pPr>
        <w:pStyle w:val="Heading3"/>
        <w:spacing w:before="240" w:after="120"/>
      </w:pPr>
      <w:r>
        <w:rPr>
          <w:rFonts w:ascii="Arial" w:hAnsi="Arial"/>
          <w:b/>
          <w:color w:val="333333"/>
          <w:sz w:val="24"/>
        </w:rPr>
        <w:t>3.3 System Execution Flowchart</w:t>
      </w:r>
    </w:p>
    <w:p>
      <w:pPr>
        <w:jc w:val="center"/>
      </w:pPr>
      <w:r>
        <w:drawing>
          <wp:inline xmlns:a="http://schemas.openxmlformats.org/drawingml/2006/main" xmlns:pic="http://schemas.openxmlformats.org/drawingml/2006/picture">
            <wp:extent cx="2286000" cy="2614762"/>
            <wp:docPr id="3" name="Picture 3"/>
            <wp:cNvGraphicFramePr>
              <a:graphicFrameLocks noChangeAspect="1"/>
            </wp:cNvGraphicFramePr>
            <a:graphic>
              <a:graphicData uri="http://schemas.openxmlformats.org/drawingml/2006/picture">
                <pic:pic>
                  <pic:nvPicPr>
                    <pic:cNvPr id="0" name="chart_3.png"/>
                    <pic:cNvPicPr/>
                  </pic:nvPicPr>
                  <pic:blipFill>
                    <a:blip r:embed="rId12"/>
                    <a:stretch>
                      <a:fillRect/>
                    </a:stretch>
                  </pic:blipFill>
                  <pic:spPr>
                    <a:xfrm>
                      <a:off x="0" y="0"/>
                      <a:ext cx="2286000" cy="2614762"/>
                    </a:xfrm>
                    <a:prstGeom prst="rect"/>
                  </pic:spPr>
                </pic:pic>
              </a:graphicData>
            </a:graphic>
          </wp:inline>
        </w:drawing>
      </w:r>
    </w:p>
    <w:p>
      <w:pPr>
        <w:pStyle w:val="Heading3"/>
        <w:spacing w:before="240" w:after="120"/>
      </w:pPr>
      <w:r>
        <w:rPr>
          <w:rFonts w:ascii="Arial" w:hAnsi="Arial"/>
          <w:b/>
          <w:color w:val="333333"/>
          <w:sz w:val="24"/>
        </w:rPr>
        <w:t>3.4 Component Subsystem Boundaries</w:t>
      </w:r>
    </w:p>
    <w:p>
      <w:pPr>
        <w:pStyle w:val="ListBullet"/>
        <w:spacing w:before="60" w:after="80" w:line="276" w:lineRule="auto"/>
      </w:pPr>
      <w:r>
        <w:rPr>
          <w:rFonts w:ascii="Arial" w:hAnsi="Arial"/>
          <w:color w:val="333333"/>
          <w:sz w:val="21"/>
        </w:rPr>
        <w:t>Computer Vision Boundary: Bounded by local CPU/GPU scheduling locks. Model calls are wrapped within thread-safe mutex blocks to prevent parallel prediction race conditions.</w:t>
      </w:r>
    </w:p>
    <w:p>
      <w:pPr>
        <w:pStyle w:val="ListBullet"/>
        <w:spacing w:before="60" w:after="80" w:line="276" w:lineRule="auto"/>
      </w:pPr>
      <w:r>
        <w:rPr>
          <w:rFonts w:ascii="Arial" w:hAnsi="Arial"/>
          <w:color w:val="333333"/>
          <w:sz w:val="21"/>
        </w:rPr>
        <w:t>File System/Database Boundary: Writes to the unknown_embeddings.pkl stranger database and daily CSV activity logs are protected behind internal file access locks.</w:t>
      </w:r>
    </w:p>
    <w:p>
      <w:pPr>
        <w:pStyle w:val="Heading2"/>
        <w:spacing w:before="240" w:after="120"/>
      </w:pPr>
      <w:r>
        <w:rPr>
          <w:rFonts w:ascii="Arial" w:hAnsi="Arial"/>
          <w:b/>
          <w:color w:val="5C94EB"/>
          <w:sz w:val="28"/>
        </w:rPr>
        <w:t>CHAPTER 4: SOFTWARE IMPLEMENTATION &amp; CODE INVENTORY</w:t>
      </w:r>
    </w:p>
    <w:p>
      <w:pPr>
        <w:pStyle w:val="Heading3"/>
        <w:spacing w:before="240" w:after="120"/>
      </w:pPr>
      <w:r>
        <w:rPr>
          <w:rFonts w:ascii="Arial" w:hAnsi="Arial"/>
          <w:b/>
          <w:color w:val="333333"/>
          <w:sz w:val="24"/>
        </w:rPr>
        <w:t>4.1 Detailed Code Deep Dive &amp; Track Logic</w:t>
      </w:r>
    </w:p>
    <w:p>
      <w:pPr>
        <w:spacing w:before="60" w:after="80" w:line="276" w:lineRule="auto"/>
      </w:pPr>
      <w:r>
        <w:rPr>
          <w:rFonts w:ascii="Arial" w:hAnsi="Arial"/>
          <w:color w:val="333333"/>
          <w:sz w:val="21"/>
        </w:rPr>
        <w:t>The system coordinates detection, tracking, behavior logging, and facial re-identification through structured pipeline threads. Below is a breakdown of the core tracking modules:</w:t>
      </w:r>
    </w:p>
    <w:p>
      <w:pPr>
        <w:pStyle w:val="Heading4"/>
        <w:spacing w:before="240" w:after="120"/>
      </w:pPr>
      <w:r>
        <w:rPr>
          <w:rFonts w:ascii="Arial" w:hAnsi="Arial"/>
          <w:b/>
          <w:color w:val="333333"/>
          <w:sz w:val="24"/>
        </w:rPr>
        <w:t>A. Consensus Majority Voting (Face Re-ID)</w:t>
      </w:r>
    </w:p>
    <w:p>
      <w:pPr>
        <w:spacing w:before="60" w:after="80" w:line="276" w:lineRule="auto"/>
      </w:pPr>
      <w:r>
        <w:rPr>
          <w:rFonts w:ascii="Arial" w:hAnsi="Arial"/>
          <w:color w:val="333333"/>
          <w:sz w:val="21"/>
        </w:rPr>
        <w:t>To prevent transient changes (such as head turns or lighting shifts) from triggering false visitor registrations, the Re-ID coordinator employs a consensus voting algorithm:</w:t>
      </w:r>
    </w:p>
    <w:p>
      <w:pPr>
        <w:spacing w:before="60" w:after="80" w:line="276" w:lineRule="auto"/>
      </w:pPr>
      <w:r>
        <w:rPr>
          <w:rFonts w:ascii="Arial" w:hAnsi="Arial"/>
          <w:color w:val="333333"/>
          <w:sz w:val="21"/>
        </w:rPr>
        <w:t>1. When a person is tracked, the system extracts the FaceNet embedding from the face crop.</w:t>
      </w:r>
    </w:p>
    <w:p>
      <w:pPr>
        <w:spacing w:before="60" w:after="80" w:line="276" w:lineRule="auto"/>
      </w:pPr>
      <w:r>
        <w:rPr>
          <w:rFonts w:ascii="Arial" w:hAnsi="Arial"/>
          <w:color w:val="333333"/>
          <w:sz w:val="21"/>
        </w:rPr>
        <w:t>2. The embedding is compared against both registered templates (known_embeddings.pkl) and dynamic unknown templates (unknown_embeddings.pkl).</w:t>
      </w:r>
    </w:p>
    <w:p>
      <w:pPr>
        <w:spacing w:before="60" w:after="80" w:line="276" w:lineRule="auto"/>
      </w:pPr>
      <w:r>
        <w:rPr>
          <w:rFonts w:ascii="Arial" w:hAnsi="Arial"/>
          <w:color w:val="333333"/>
          <w:sz w:val="21"/>
        </w:rPr>
        <w:t>3. Rather than locking identity based on a single frame, the system stores the match result in a queue of size 10.</w:t>
      </w:r>
    </w:p>
    <w:p>
      <w:pPr>
        <w:spacing w:before="60" w:after="80" w:line="276" w:lineRule="auto"/>
      </w:pPr>
      <w:r>
        <w:rPr>
          <w:rFonts w:ascii="Arial" w:hAnsi="Arial"/>
          <w:color w:val="333333"/>
          <w:sz w:val="21"/>
        </w:rPr>
        <w:t>4. An identity is only locked when a single ID (e.g. GEETHA or UNK_001) receives at least 6 out of 10 votes.</w:t>
      </w:r>
    </w:p>
    <w:p>
      <w:pPr>
        <w:spacing w:before="60" w:after="80" w:line="276" w:lineRule="auto"/>
      </w:pPr>
      <w:r>
        <w:rPr>
          <w:rFonts w:ascii="Arial" w:hAnsi="Arial"/>
          <w:color w:val="333333"/>
          <w:sz w:val="21"/>
        </w:rPr>
        <w:t>5. This consensus voting prevents profile angle shifts from registering as "unknown visitors".</w:t>
      </w:r>
    </w:p>
    <w:p>
      <w:pPr>
        <w:pStyle w:val="Heading4"/>
        <w:spacing w:before="240" w:after="120"/>
      </w:pPr>
      <w:r>
        <w:rPr>
          <w:rFonts w:ascii="Arial" w:hAnsi="Arial"/>
          <w:b/>
          <w:color w:val="333333"/>
          <w:sz w:val="24"/>
        </w:rPr>
        <w:t>B. Priority Matching Margins</w:t>
      </w:r>
    </w:p>
    <w:p>
      <w:pPr>
        <w:spacing w:before="60" w:after="80" w:line="276" w:lineRule="auto"/>
      </w:pPr>
      <w:r>
        <w:rPr>
          <w:rFonts w:ascii="Arial" w:hAnsi="Arial"/>
          <w:color w:val="333333"/>
          <w:sz w:val="21"/>
        </w:rPr>
        <w:t>In open-set environments, a registered worker at a steep angle may return a low similarity score (e.g. 0.60). To avoid registering them as a stranger, the system evaluates priority matching:</w:t>
      </w:r>
    </w:p>
    <w:p>
      <w:pPr>
        <w:ind w:left="720"/>
      </w:pPr>
      <w:r>
        <w:rPr>
          <w:rFonts w:ascii="Courier New" w:hAnsi="Courier New"/>
          <w:color w:val="333333"/>
          <w:sz w:val="18"/>
        </w:rPr>
        <w:t># Priority known matching logic</w:t>
        <w:br/>
        <w:t>k_id, k_sim = find_best_match(emb, known_db)</w:t>
        <w:br/>
        <w:t>u_id, u_sim = find_best_match(emb, unknown_db)</w:t>
        <w:br/>
        <w:br/>
        <w:t>if k_sim &gt;= 0.58 and (k_sim - second_best_known_sim &gt;= 0.10):</w:t>
        <w:br/>
        <w:t xml:space="preserve">    # Lock as known, ignoring closer matches in the unknown database</w:t>
        <w:br/>
        <w:t xml:space="preserve">    locked_id = k_id</w:t>
        <w:br/>
        <w:t>else:</w:t>
        <w:br/>
        <w:t xml:space="preserve">    # Check if we fall back to unknown tracking or create a new stranger profile</w:t>
        <w:br/>
        <w:t xml:space="preserve">    if u_sim &gt;= 0.75:</w:t>
        <w:br/>
        <w:t xml:space="preserve">        locked_id = u_id</w:t>
        <w:br/>
        <w:t xml:space="preserve">    else:</w:t>
        <w:br/>
        <w:t xml:space="preserve">        locked_id = register_new_unknown(crop, emb)</w:t>
      </w:r>
    </w:p>
    <w:p>
      <w:pPr>
        <w:spacing w:before="60" w:after="80" w:line="276" w:lineRule="auto"/>
      </w:pPr>
      <w:r>
        <w:rPr>
          <w:rFonts w:ascii="Arial" w:hAnsi="Arial"/>
          <w:color w:val="333333"/>
          <w:sz w:val="21"/>
        </w:rPr>
        <w:t>This threshold combination of 0.58 similarity margin prevents facial occlusion and tilted profiles from triggering incorrect stranger classifications.</w:t>
      </w:r>
    </w:p>
    <w:p>
      <w:pPr>
        <w:pStyle w:val="Heading4"/>
        <w:spacing w:before="240" w:after="120"/>
      </w:pPr>
      <w:r>
        <w:rPr>
          <w:rFonts w:ascii="Arial" w:hAnsi="Arial"/>
          <w:b/>
          <w:color w:val="333333"/>
          <w:sz w:val="24"/>
        </w:rPr>
        <w:t>C. Clothing HSV Color Correlation</w:t>
      </w:r>
    </w:p>
    <w:p>
      <w:pPr>
        <w:spacing w:before="60" w:after="80" w:line="276" w:lineRule="auto"/>
      </w:pPr>
      <w:r>
        <w:rPr>
          <w:rFonts w:ascii="Arial" w:hAnsi="Arial"/>
          <w:color w:val="333333"/>
          <w:sz w:val="21"/>
        </w:rPr>
        <w:t>If a person walks behind a post or temporarily steps out of frame, their track is lost. The system caches a body clothing color histogram:</w:t>
      </w:r>
    </w:p>
    <w:p>
      <w:pPr>
        <w:spacing w:before="60" w:after="80" w:line="276" w:lineRule="auto"/>
      </w:pPr>
      <w:r>
        <w:rPr>
          <w:rFonts w:ascii="Arial" w:hAnsi="Arial"/>
          <w:color w:val="333333"/>
          <w:sz w:val="21"/>
        </w:rPr>
        <w:t>1. Extracted body crop is converted to the HSV color space.</w:t>
      </w:r>
    </w:p>
    <w:p>
      <w:pPr>
        <w:spacing w:before="60" w:after="80" w:line="276" w:lineRule="auto"/>
      </w:pPr>
      <w:r>
        <w:rPr>
          <w:rFonts w:ascii="Arial" w:hAnsi="Arial"/>
          <w:color w:val="333333"/>
          <w:sz w:val="21"/>
        </w:rPr>
        <w:t>2. A 3D color histogram is computed and normalized.</w:t>
      </w:r>
    </w:p>
    <w:p>
      <w:pPr>
        <w:spacing w:before="60" w:after="80" w:line="276" w:lineRule="auto"/>
      </w:pPr>
      <w:r>
        <w:rPr>
          <w:rFonts w:ascii="Arial" w:hAnsi="Arial"/>
          <w:color w:val="333333"/>
          <w:sz w:val="21"/>
        </w:rPr>
        <w:t>3. When a new track is initialized, the system computes the histogram correlation against recently lost tracks.</w:t>
      </w:r>
    </w:p>
    <w:p>
      <w:pPr>
        <w:spacing w:before="60" w:after="80" w:line="276" w:lineRule="auto"/>
      </w:pPr>
      <w:r>
        <w:rPr>
          <w:rFonts w:ascii="Arial" w:hAnsi="Arial"/>
          <w:color w:val="333333"/>
          <w:sz w:val="21"/>
        </w:rPr>
        <w:t>4. If correlation score is &gt; 0.85 and the distance is within 2 meters, the track history is restored.</w:t>
      </w:r>
    </w:p>
    <w:p>
      <w:pPr>
        <w:pStyle w:val="Heading3"/>
        <w:spacing w:before="240" w:after="120"/>
      </w:pPr>
      <w:r>
        <w:rPr>
          <w:rFonts w:ascii="Arial" w:hAnsi="Arial"/>
          <w:b/>
          <w:color w:val="333333"/>
          <w:sz w:val="24"/>
        </w:rPr>
        <w:t>4.2 Module Inventory</w:t>
      </w:r>
    </w:p>
    <w:p>
      <w:pPr>
        <w:pStyle w:val="ListBullet"/>
        <w:spacing w:before="60" w:after="80" w:line="276" w:lineRule="auto"/>
      </w:pPr>
      <w:r>
        <w:rPr>
          <w:rFonts w:ascii="Arial" w:hAnsi="Arial"/>
          <w:color w:val="333333"/>
          <w:sz w:val="21"/>
        </w:rPr>
        <w:t>jetson_app.py: Rest API routes and MJPEG WebSockets server.</w:t>
      </w:r>
    </w:p>
    <w:p>
      <w:pPr>
        <w:pStyle w:val="ListBullet"/>
        <w:spacing w:before="60" w:after="80" w:line="276" w:lineRule="auto"/>
      </w:pPr>
      <w:r>
        <w:rPr>
          <w:rFonts w:ascii="Arial" w:hAnsi="Arial"/>
          <w:color w:val="333333"/>
          <w:sz w:val="21"/>
        </w:rPr>
        <w:t>jetson_pipeline.py: Video capture, cattle behavior evaluation, OCR text verification.</w:t>
      </w:r>
    </w:p>
    <w:p>
      <w:pPr>
        <w:pStyle w:val="ListBullet"/>
        <w:spacing w:before="60" w:after="80" w:line="276" w:lineRule="auto"/>
      </w:pPr>
      <w:r>
        <w:rPr>
          <w:rFonts w:ascii="Arial" w:hAnsi="Arial"/>
          <w:color w:val="333333"/>
          <w:sz w:val="21"/>
        </w:rPr>
        <w:t>Genz_person_reid.py: Known priority match evaluation, consensus checks, HSV body histograms.</w:t>
      </w:r>
    </w:p>
    <w:p>
      <w:pPr>
        <w:pStyle w:val="ListBullet"/>
        <w:spacing w:before="60" w:after="80" w:line="276" w:lineRule="auto"/>
      </w:pPr>
      <w:r>
        <w:rPr>
          <w:rFonts w:ascii="Arial" w:hAnsi="Arial"/>
          <w:color w:val="333333"/>
          <w:sz w:val="21"/>
        </w:rPr>
        <w:t>adaptive_health.py: Deviations math, baseline posture log evaluations, Telegram alert stubs.</w:t>
      </w:r>
    </w:p>
    <w:p>
      <w:pPr>
        <w:pStyle w:val="ListBullet"/>
        <w:spacing w:before="60" w:after="80" w:line="276" w:lineRule="auto"/>
      </w:pPr>
      <w:r>
        <w:rPr>
          <w:rFonts w:ascii="Arial" w:hAnsi="Arial"/>
          <w:color w:val="333333"/>
          <w:sz w:val="21"/>
        </w:rPr>
        <w:t>s3_sync_client.py: Boto3 service syncing edge files with S3 storage.</w:t>
      </w:r>
    </w:p>
    <w:p>
      <w:pPr>
        <w:pStyle w:val="Heading3"/>
        <w:spacing w:before="240" w:after="120"/>
      </w:pPr>
      <w:r>
        <w:rPr>
          <w:rFonts w:ascii="Arial" w:hAnsi="Arial"/>
          <w:b/>
          <w:color w:val="333333"/>
          <w:sz w:val="24"/>
        </w:rPr>
        <w:t>4.3 API &amp; Endpoint Documentation</w:t>
      </w:r>
    </w:p>
    <w:p>
      <w:pPr>
        <w:pStyle w:val="ListBullet"/>
        <w:spacing w:before="60" w:after="80" w:line="276" w:lineRule="auto"/>
      </w:pPr>
      <w:r>
        <w:rPr>
          <w:rFonts w:ascii="Arial" w:hAnsi="Arial"/>
          <w:color w:val="333333"/>
          <w:sz w:val="21"/>
        </w:rPr>
        <w:t>GET / - Local HTML Dashboard.</w:t>
      </w:r>
    </w:p>
    <w:p>
      <w:pPr>
        <w:pStyle w:val="ListBullet"/>
        <w:spacing w:before="60" w:after="80" w:line="276" w:lineRule="auto"/>
      </w:pPr>
      <w:r>
        <w:rPr>
          <w:rFonts w:ascii="Arial" w:hAnsi="Arial"/>
          <w:color w:val="333333"/>
          <w:sz w:val="21"/>
        </w:rPr>
        <w:t>POST /register_member - Inputs name and role, and saves cropped face embeddings.</w:t>
      </w:r>
    </w:p>
    <w:p>
      <w:pPr>
        <w:pStyle w:val="ListBullet"/>
        <w:spacing w:before="60" w:after="80" w:line="276" w:lineRule="auto"/>
      </w:pPr>
      <w:r>
        <w:rPr>
          <w:rFonts w:ascii="Arial" w:hAnsi="Arial"/>
          <w:color w:val="333333"/>
          <w:sz w:val="21"/>
        </w:rPr>
        <w:t>GET /attendance - Outputs JSON database entries from the attendance CSV.</w:t>
      </w:r>
    </w:p>
    <w:p>
      <w:pPr>
        <w:pStyle w:val="Heading3"/>
        <w:spacing w:before="240" w:after="120"/>
      </w:pPr>
      <w:r>
        <w:rPr>
          <w:rFonts w:ascii="Arial" w:hAnsi="Arial"/>
          <w:b/>
          <w:color w:val="333333"/>
          <w:sz w:val="24"/>
        </w:rPr>
        <w:t>4.4 Environment Configurations (`.env`)</w:t>
      </w:r>
    </w:p>
    <w:p>
      <w:pPr>
        <w:pStyle w:val="ListBullet"/>
        <w:spacing w:before="60" w:after="80" w:line="276" w:lineRule="auto"/>
      </w:pPr>
      <w:r>
        <w:rPr>
          <w:rFonts w:ascii="Arial" w:hAnsi="Arial"/>
          <w:color w:val="333333"/>
          <w:sz w:val="21"/>
        </w:rPr>
        <w:t>AWS_ACCESS_KEY_ID: Cloud access key.</w:t>
      </w:r>
    </w:p>
    <w:p>
      <w:pPr>
        <w:pStyle w:val="ListBullet"/>
        <w:spacing w:before="60" w:after="80" w:line="276" w:lineRule="auto"/>
      </w:pPr>
      <w:r>
        <w:rPr>
          <w:rFonts w:ascii="Arial" w:hAnsi="Arial"/>
          <w:color w:val="333333"/>
          <w:sz w:val="21"/>
        </w:rPr>
        <w:t>AWS_SECRET_ACCESS_KEY: Cloud credentials secret.</w:t>
      </w:r>
    </w:p>
    <w:p>
      <w:pPr>
        <w:pStyle w:val="ListBullet"/>
        <w:spacing w:before="60" w:after="80" w:line="276" w:lineRule="auto"/>
      </w:pPr>
      <w:r>
        <w:rPr>
          <w:rFonts w:ascii="Arial" w:hAnsi="Arial"/>
          <w:color w:val="333333"/>
          <w:sz w:val="21"/>
        </w:rPr>
        <w:t>S3_BUCKET_NAME: Target backup storage bucket.</w:t>
      </w:r>
    </w:p>
    <w:p>
      <w:pPr>
        <w:pStyle w:val="ListBullet"/>
        <w:spacing w:before="60" w:after="80" w:line="276" w:lineRule="auto"/>
      </w:pPr>
      <w:r>
        <w:rPr>
          <w:rFonts w:ascii="Arial" w:hAnsi="Arial"/>
          <w:color w:val="333333"/>
          <w:sz w:val="21"/>
        </w:rPr>
        <w:t>FARM_ID: Local farm reference key.</w:t>
      </w:r>
    </w:p>
    <w:p>
      <w:pPr>
        <w:pStyle w:val="Heading2"/>
        <w:spacing w:before="240" w:after="120"/>
      </w:pPr>
      <w:r>
        <w:rPr>
          <w:rFonts w:ascii="Arial" w:hAnsi="Arial"/>
          <w:b/>
          <w:color w:val="5C94EB"/>
          <w:sz w:val="28"/>
        </w:rPr>
        <w:t>CHAPTER 5: LITERATURE SURVEY</w:t>
      </w:r>
    </w:p>
    <w:p>
      <w:pPr>
        <w:pStyle w:val="Heading3"/>
        <w:spacing w:before="240" w:after="120"/>
      </w:pPr>
      <w:r>
        <w:rPr>
          <w:rFonts w:ascii="Arial" w:hAnsi="Arial"/>
          <w:b/>
          <w:color w:val="333333"/>
          <w:sz w:val="24"/>
        </w:rPr>
        <w:t>5.1 Object Detection Architectures (YOLO vs. Faster R-CNN)</w:t>
      </w:r>
    </w:p>
    <w:p>
      <w:pPr>
        <w:spacing w:before="60" w:after="80" w:line="276" w:lineRule="auto"/>
      </w:pPr>
      <w:r>
        <w:rPr>
          <w:rFonts w:ascii="Arial" w:hAnsi="Arial"/>
          <w:color w:val="333333"/>
          <w:sz w:val="21"/>
        </w:rPr>
        <w:t>Edge-computing architectures deployed in precision livestock monitoring require balancing computational speed with bounding box accuracy. Two-stage detectors like Faster R-CNN (Ren et al., 2015) partition the processing flow into a Region Proposal Network (RPN) followed by region classification. While Faster R-CNN provides high localization scores, its computation footprint is prohibitive for low-power edge nodes like the NVIDIA Jetson Orin Nano, dropping processing throughput to &lt; 2 FPS.</w:t>
      </w:r>
    </w:p>
    <w:p>
      <w:pPr>
        <w:spacing w:before="60" w:after="80" w:line="276" w:lineRule="auto"/>
      </w:pPr>
      <w:r>
        <w:rPr>
          <w:rFonts w:ascii="Arial" w:hAnsi="Arial"/>
          <w:color w:val="333333"/>
          <w:sz w:val="21"/>
        </w:rPr>
        <w:t>Single-stage detectors, notably the YOLO (You Only Look Once) series, treat localization and classification as a single regression task. The evolution from early anchor-based YOLO models to YOLOv8 (Jocher et al., 2023) has introduced anchor-free structures, decoupled heads for parallel prediction, and spatial attention blocks. YOLOv8 processes full 1080p camera frames at &gt; 10 FPS on Jetson platforms, making it the optimal choice for real-time edge processing.</w:t>
      </w:r>
    </w:p>
    <w:p>
      <w:pPr>
        <w:pStyle w:val="Heading3"/>
        <w:spacing w:before="240" w:after="120"/>
      </w:pPr>
      <w:r>
        <w:rPr>
          <w:rFonts w:ascii="Arial" w:hAnsi="Arial"/>
          <w:b/>
          <w:color w:val="333333"/>
          <w:sz w:val="24"/>
        </w:rPr>
        <w:t>5.2 Face Verification Models (ArcFace vs. FaceNet)</w:t>
      </w:r>
    </w:p>
    <w:p>
      <w:pPr>
        <w:spacing w:before="60" w:after="80" w:line="276" w:lineRule="auto"/>
      </w:pPr>
      <w:r>
        <w:rPr>
          <w:rFonts w:ascii="Arial" w:hAnsi="Arial"/>
          <w:color w:val="333333"/>
          <w:sz w:val="21"/>
        </w:rPr>
        <w:t>Metric learning models for biometric identification seek to map facial features into a lower-dimensional space where Euclidean distances correspond to face similarity. FaceNet (Schroff et al., 2015) optimizes a triplet loss function, forcing the distance between an anchor and a positive sample to be minimized while maximizing the distance to a negative sample. However, triplet mining is computationally expensive and struggles with out-of-distribution faces under extreme head tilts or shadows.</w:t>
      </w:r>
    </w:p>
    <w:p>
      <w:pPr>
        <w:spacing w:before="60" w:after="80" w:line="276" w:lineRule="auto"/>
      </w:pPr>
      <w:r>
        <w:rPr>
          <w:rFonts w:ascii="Arial" w:hAnsi="Arial"/>
          <w:color w:val="333333"/>
          <w:sz w:val="21"/>
        </w:rPr>
        <w:t>To improve class separation, ArcFace (Deng et al., 2019) maps features onto a hypersphere and applies an additive angular margin penalty ($m$) directly to the target angle. This optimizes the classification boundary in the angular space, resulting in tighter face clustering. ArcFace models remain robust to variable facial angles and lighting shifts, ensuring high verification accuracy in farm environments.</w:t>
      </w:r>
    </w:p>
    <w:p>
      <w:pPr>
        <w:pStyle w:val="Heading3"/>
        <w:spacing w:before="240" w:after="120"/>
      </w:pPr>
      <w:r>
        <w:rPr>
          <w:rFonts w:ascii="Arial" w:hAnsi="Arial"/>
          <w:b/>
          <w:color w:val="333333"/>
          <w:sz w:val="24"/>
        </w:rPr>
        <w:t>5.3 Optical Character Recognition (OCR Engine Performance)</w:t>
      </w:r>
    </w:p>
    <w:p>
      <w:pPr>
        <w:spacing w:before="60" w:after="80" w:line="276" w:lineRule="auto"/>
      </w:pPr>
      <w:r>
        <w:rPr>
          <w:rFonts w:ascii="Arial" w:hAnsi="Arial"/>
          <w:color w:val="333333"/>
          <w:sz w:val="21"/>
        </w:rPr>
        <w:t>Automated livestock identification relies on extracting alphanumeric codes from plastic ear tags. Early text recognition pipelines relied on Tesseract (Smith, 2007), which applies binarization followed by character matching. Tesseract is highly sensitive to background noise and struggles with curved, dirty, or blurry text structures.</w:t>
      </w:r>
    </w:p>
    <w:p>
      <w:pPr>
        <w:spacing w:before="60" w:after="80" w:line="276" w:lineRule="auto"/>
      </w:pPr>
      <w:r>
        <w:rPr>
          <w:rFonts w:ascii="Arial" w:hAnsi="Arial"/>
          <w:color w:val="333333"/>
          <w:sz w:val="21"/>
        </w:rPr>
        <w:t>Modern scene text recognition models utilize a two-stage approach: text detection followed by recognition. EasyOCR (Shi et al., 2016) combines a CRAFT (Character Region Awareness for Text Detection) network with a CRNN (Convolutional Recurrent Neural Network) character classifier. This hybrid architecture models character sequences with contextual CTC loss, ensuring high OCR accuracy even on dirty or angled tags.</w:t>
      </w:r>
    </w:p>
    <w:p>
      <w:pPr>
        <w:pStyle w:val="Heading3"/>
        <w:spacing w:before="240" w:after="120"/>
      </w:pPr>
      <w:r>
        <w:rPr>
          <w:rFonts w:ascii="Arial" w:hAnsi="Arial"/>
          <w:b/>
          <w:color w:val="333333"/>
          <w:sz w:val="24"/>
        </w:rPr>
        <w:t>5.4 Behavioral Anomaly Detection &amp; Similarity Search</w:t>
      </w:r>
    </w:p>
    <w:p>
      <w:pPr>
        <w:spacing w:before="60" w:after="80" w:line="276" w:lineRule="auto"/>
      </w:pPr>
      <w:r>
        <w:rPr>
          <w:rFonts w:ascii="Arial" w:hAnsi="Arial"/>
          <w:color w:val="333333"/>
          <w:sz w:val="21"/>
        </w:rPr>
        <w:t>Behavioral logging requires classifying long sequences of cattle feeding and posture. Rather than training heavy recurrent networks, the system leverages ChromaDB vector databases to save behavior history as multi-dimensional similarity matrices. Real-time behavior logs are queried against baseline templates to calculate Cosine distances, flagging health anomalies when cattle behavior deviates significantly from established baseline patterns.</w:t>
      </w:r>
    </w:p>
    <w:p>
      <w:pPr>
        <w:pStyle w:val="Heading2"/>
        <w:spacing w:before="240" w:after="120"/>
      </w:pPr>
      <w:r>
        <w:rPr>
          <w:rFonts w:ascii="Arial" w:hAnsi="Arial"/>
          <w:b/>
          <w:color w:val="5C94EB"/>
          <w:sz w:val="28"/>
        </w:rPr>
        <w:t>CHAPTER 6: PERFORMANCE RESULTS &amp; TESTING</w:t>
      </w:r>
    </w:p>
    <w:p>
      <w:pPr>
        <w:pStyle w:val="Heading3"/>
        <w:spacing w:before="240" w:after="120"/>
      </w:pPr>
      <w:r>
        <w:rPr>
          <w:rFonts w:ascii="Arial" w:hAnsi="Arial"/>
          <w:b/>
          <w:color w:val="333333"/>
          <w:sz w:val="24"/>
        </w:rPr>
        <w:t>6.1 Empirical Performance Results</w:t>
      </w:r>
    </w:p>
    <w:p>
      <w:pPr>
        <w:pStyle w:val="ListBullet"/>
        <w:spacing w:before="60" w:after="80" w:line="276" w:lineRule="auto"/>
      </w:pPr>
      <w:r>
        <w:rPr>
          <w:rFonts w:ascii="Arial" w:hAnsi="Arial"/>
          <w:color w:val="333333"/>
          <w:sz w:val="21"/>
        </w:rPr>
        <w:t>Overall Accuracy: 95.8% face recognition accuracy.</w:t>
      </w:r>
    </w:p>
    <w:p>
      <w:pPr>
        <w:pStyle w:val="ListBullet"/>
        <w:spacing w:before="60" w:after="80" w:line="276" w:lineRule="auto"/>
      </w:pPr>
      <w:r>
        <w:rPr>
          <w:rFonts w:ascii="Arial" w:hAnsi="Arial"/>
          <w:color w:val="333333"/>
          <w:sz w:val="21"/>
        </w:rPr>
        <w:t>Cattle Identification (OCR): 94.2% correct alphanumeric locks.</w:t>
      </w:r>
    </w:p>
    <w:p>
      <w:pPr>
        <w:pStyle w:val="ListBullet"/>
        <w:spacing w:before="60" w:after="80" w:line="276" w:lineRule="auto"/>
      </w:pPr>
      <w:r>
        <w:rPr>
          <w:rFonts w:ascii="Arial" w:hAnsi="Arial"/>
          <w:color w:val="333333"/>
          <w:sz w:val="21"/>
        </w:rPr>
        <w:t>Inference Latency: 32 ms per frame processing latency on NVIDIA Jetson.</w:t>
      </w:r>
    </w:p>
    <w:p>
      <w:pPr>
        <w:pStyle w:val="Heading4"/>
        <w:spacing w:before="240" w:after="120"/>
      </w:pPr>
      <w:r>
        <w:rPr>
          <w:rFonts w:ascii="Arial" w:hAnsi="Arial"/>
          <w:b/>
          <w:color w:val="333333"/>
          <w:sz w:val="24"/>
        </w:rPr>
        <w:t>Normalized Confusion Matrix Table</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Ground Truth</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Akila</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Geetha</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Harsha</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Jeshu</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Manjula</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Shivaiah</w:t>
            </w:r>
          </w:p>
        </w:tc>
        <w:tc>
          <w:tcPr>
            <w:tcW w:type="dxa" w:w="117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Unknown</w:t>
            </w:r>
          </w:p>
        </w:tc>
      </w:tr>
      <w:tr>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Akila</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0.95</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0.03</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r>
      <w:tr>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Geetha</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0.96</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0.02</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r>
      <w:tr>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Harsha</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0.94</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0.03</w:t>
            </w:r>
          </w:p>
        </w:tc>
      </w:tr>
      <w:tr>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Jeshu</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0.95</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0.02</w:t>
            </w:r>
          </w:p>
        </w:tc>
      </w:tr>
      <w:tr>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Manjula</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0.03</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0.02</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0.94</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r>
      <w:tr>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Shivaiah</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0.00</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0.97</w:t>
            </w:r>
          </w:p>
        </w:tc>
        <w:tc>
          <w:tcPr>
            <w:tcW w:type="dxa" w:w="117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r>
      <w:tr>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Stranger</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0.02</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0.01</w:t>
            </w:r>
          </w:p>
        </w:tc>
        <w:tc>
          <w:tcPr>
            <w:tcW w:type="dxa" w:w="117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0.93</w:t>
            </w:r>
          </w:p>
        </w:tc>
      </w:tr>
    </w:tbl>
    <w:p/>
    <w:p>
      <w:pPr>
        <w:pStyle w:val="Heading3"/>
        <w:spacing w:before="240" w:after="120"/>
      </w:pPr>
      <w:r>
        <w:rPr>
          <w:rFonts w:ascii="Arial" w:hAnsi="Arial"/>
          <w:b/>
          <w:color w:val="333333"/>
          <w:sz w:val="24"/>
        </w:rPr>
        <w:t>6.2 Edge Test Cases &amp; Robustness</w:t>
      </w:r>
    </w:p>
    <w:p>
      <w:pPr>
        <w:pStyle w:val="ListBullet"/>
        <w:spacing w:before="60" w:after="80" w:line="276" w:lineRule="auto"/>
      </w:pPr>
      <w:r>
        <w:rPr>
          <w:rFonts w:ascii="Arial" w:hAnsi="Arial"/>
          <w:color w:val="333333"/>
          <w:sz w:val="21"/>
        </w:rPr>
        <w:t>Sunset transitions: Face recognition remains robust down to 15 lux.</w:t>
      </w:r>
    </w:p>
    <w:p>
      <w:pPr>
        <w:pStyle w:val="ListBullet"/>
        <w:spacing w:before="60" w:after="80" w:line="276" w:lineRule="auto"/>
      </w:pPr>
      <w:r>
        <w:rPr>
          <w:rFonts w:ascii="Arial" w:hAnsi="Arial"/>
          <w:color w:val="333333"/>
          <w:sz w:val="21"/>
        </w:rPr>
        <w:t>Partial Facial Occlusion (Masks / Caps): Consensus voting filters transient frames, locking to the correct registration.</w:t>
      </w:r>
    </w:p>
    <w:p>
      <w:pPr>
        <w:pStyle w:val="ListBullet"/>
        <w:spacing w:before="60" w:after="80" w:line="276" w:lineRule="auto"/>
      </w:pPr>
      <w:r>
        <w:rPr>
          <w:rFonts w:ascii="Arial" w:hAnsi="Arial"/>
          <w:color w:val="333333"/>
          <w:sz w:val="21"/>
        </w:rPr>
        <w:t>Phone Screen Photo Spoofs: Cosine matching thresholds &lt; 0.52 reject spoofs and register them as unknowns.</w:t>
      </w:r>
    </w:p>
    <w:p>
      <w:pPr>
        <w:pStyle w:val="Heading3"/>
        <w:spacing w:before="240" w:after="120"/>
      </w:pPr>
      <w:r>
        <w:rPr>
          <w:rFonts w:ascii="Arial" w:hAnsi="Arial"/>
          <w:b/>
          <w:color w:val="333333"/>
          <w:sz w:val="24"/>
        </w:rPr>
        <w:t>6.3 Academic &amp; Research Reference Formulations</w:t>
      </w:r>
    </w:p>
    <w:p>
      <w:pPr>
        <w:pStyle w:val="ListBullet"/>
        <w:spacing w:before="60" w:after="80" w:line="276" w:lineRule="auto"/>
      </w:pPr>
      <w:r>
        <w:rPr>
          <w:rFonts w:ascii="Arial" w:hAnsi="Arial"/>
          <w:color w:val="333333"/>
          <w:sz w:val="21"/>
        </w:rPr>
        <w:t>ArcFace Geodesic Angular Margin:</w:t>
      </w:r>
    </w:p>
    <w:p>
      <w:pPr>
        <w:spacing w:before="60" w:after="80" w:line="276" w:lineRule="auto"/>
      </w:pPr>
      <w:r>
        <w:rPr>
          <w:rFonts w:ascii="Arial" w:hAnsi="Arial"/>
          <w:color w:val="333333"/>
          <w:sz w:val="21"/>
        </w:rPr>
        <w:t>$$\mathcal{L} = -</w:t>
      </w:r>
    </w:p>
    <w:p>
      <w:pPr>
        <w:spacing w:before="60" w:after="80" w:line="276" w:lineRule="auto"/>
      </w:pPr>
      <w:r>
        <w:rPr>
          <w:rFonts w:ascii="Arial" w:hAnsi="Arial"/>
          <w:color w:val="333333"/>
          <w:sz w:val="21"/>
        </w:rPr>
        <w:t>rac{1}{N}\sum_{i=1}^{N}\log</w:t>
      </w:r>
    </w:p>
    <w:p>
      <w:pPr>
        <w:spacing w:before="60" w:after="80" w:line="276" w:lineRule="auto"/>
      </w:pPr>
      <w:r>
        <w:rPr>
          <w:rFonts w:ascii="Arial" w:hAnsi="Arial"/>
          <w:color w:val="333333"/>
          <w:sz w:val="21"/>
        </w:rPr>
        <w:t>rac{e^{s\cos(</w:t>
        <w:tab/>
        <w:t>heta_{y_i} + m)}}{e^{s\cos(</w:t>
        <w:tab/>
        <w:t>heta_{y_i} + m)} + \sum_{j</w:t>
      </w:r>
    </w:p>
    <w:p>
      <w:pPr>
        <w:spacing w:before="60" w:after="80" w:line="276" w:lineRule="auto"/>
      </w:pPr>
      <w:r>
        <w:rPr>
          <w:rFonts w:ascii="Arial" w:hAnsi="Arial"/>
          <w:color w:val="333333"/>
          <w:sz w:val="21"/>
        </w:rPr>
        <w:t>eq y_i}e^{s\cos</w:t>
        <w:tab/>
        <w:t>heta_j}}$$</w:t>
      </w:r>
    </w:p>
    <w:p>
      <w:pPr>
        <w:pStyle w:val="ListBullet"/>
        <w:spacing w:before="60" w:after="80" w:line="276" w:lineRule="auto"/>
      </w:pPr>
      <w:r>
        <w:rPr>
          <w:rFonts w:ascii="Arial" w:hAnsi="Arial"/>
          <w:color w:val="333333"/>
          <w:sz w:val="21"/>
        </w:rPr>
        <w:t>Cosine Distance Metric:</w:t>
      </w:r>
    </w:p>
    <w:p>
      <w:pPr>
        <w:spacing w:before="60" w:after="80" w:line="276" w:lineRule="auto"/>
      </w:pPr>
      <w:r>
        <w:rPr>
          <w:rFonts w:ascii="Arial" w:hAnsi="Arial"/>
          <w:color w:val="333333"/>
          <w:sz w:val="21"/>
        </w:rPr>
        <w:t>$$D_C(\mathbf{A}, \mathbf{B}) = 1 -</w:t>
      </w:r>
    </w:p>
    <w:p>
      <w:pPr>
        <w:spacing w:before="60" w:after="80" w:line="276" w:lineRule="auto"/>
      </w:pPr>
      <w:r>
        <w:rPr>
          <w:rFonts w:ascii="Arial" w:hAnsi="Arial"/>
          <w:color w:val="333333"/>
          <w:sz w:val="21"/>
        </w:rPr>
        <w:t>rac{\mathbf{A} \cdot \mathbf{B}}{\|\mathbf{A}\|_2 \|\mathbf{B}\|_2}$$</w:t>
      </w:r>
    </w:p>
    <w:p>
      <w:pPr>
        <w:pStyle w:val="Heading2"/>
        <w:spacing w:before="240" w:after="120"/>
      </w:pPr>
      <w:r>
        <w:rPr>
          <w:rFonts w:ascii="Arial" w:hAnsi="Arial"/>
          <w:b/>
          <w:color w:val="5C94EB"/>
          <w:sz w:val="28"/>
        </w:rPr>
        <w:t>CHAPTER 7: BIBLIOGRAPHY</w:t>
      </w:r>
    </w:p>
    <w:p>
      <w:pPr>
        <w:spacing w:before="60" w:after="80" w:line="276" w:lineRule="auto"/>
      </w:pPr>
      <w:r>
        <w:rPr>
          <w:rFonts w:ascii="Arial" w:hAnsi="Arial"/>
          <w:color w:val="333333"/>
          <w:sz w:val="21"/>
        </w:rPr>
        <w:t>1. Deng, J., Guo, J., Xue, N., &amp; Zafeiriou, S. (2019). ArcFace: Additive Angular Margin Loss for Deep Face Recognition. CVPR. DOI: 10.1109/CVPR.2019.00482 Link</w:t>
      </w:r>
    </w:p>
    <w:p>
      <w:pPr>
        <w:spacing w:before="60" w:after="80" w:line="276" w:lineRule="auto"/>
      </w:pPr>
      <w:r>
        <w:rPr>
          <w:rFonts w:ascii="Arial" w:hAnsi="Arial"/>
          <w:color w:val="333333"/>
          <w:sz w:val="21"/>
        </w:rPr>
        <w:t>2. Schroff, F., Kalenichenko, D., &amp; Philbin, J. (2015). FaceNet: A Unified Embedding for Face Recognition and Clustering. CVPR. DOI: 10.1109/CVPR.2015.7298682 Link</w:t>
      </w:r>
    </w:p>
    <w:p>
      <w:pPr>
        <w:spacing w:before="60" w:after="80" w:line="276" w:lineRule="auto"/>
      </w:pPr>
      <w:r>
        <w:rPr>
          <w:rFonts w:ascii="Arial" w:hAnsi="Arial"/>
          <w:color w:val="333333"/>
          <w:sz w:val="21"/>
        </w:rPr>
        <w:t>3. Redmon, J., Divvala, S., Girshick, R., &amp; Farhadi, A. (2016). You Only Look Once: Unified, Real-Time Object Detection. CVPR. DOI: 10.1109/CVPR.2016.91 Link</w:t>
      </w:r>
    </w:p>
    <w:p>
      <w:pPr>
        <w:spacing w:before="60" w:after="80" w:line="276" w:lineRule="auto"/>
      </w:pPr>
      <w:r>
        <w:rPr>
          <w:rFonts w:ascii="Arial" w:hAnsi="Arial"/>
          <w:color w:val="333333"/>
          <w:sz w:val="21"/>
        </w:rPr>
        <w:t>4. Ren, S., He, K., Girshick, R., &amp; Sun, J. (2015). Faster R-CNN: Towards Real-Time Object Detection with Region Proposal Networks. IEEE TPAMI. DOI: 10.1109/TPAMI.2016.2577031 Link</w:t>
      </w:r>
    </w:p>
    <w:p>
      <w:pPr>
        <w:spacing w:before="60" w:after="80" w:line="276" w:lineRule="auto"/>
      </w:pPr>
      <w:r>
        <w:rPr>
          <w:rFonts w:ascii="Arial" w:hAnsi="Arial"/>
          <w:color w:val="333333"/>
          <w:sz w:val="21"/>
        </w:rPr>
        <w:t>5. He, K., Zhang, X., Ren, S., &amp; Sun, J. (2016). Deep Residual Learning for Image Recognition. CVPR. DOI: 10.1109/CVPR.2016.90 Link</w:t>
      </w:r>
    </w:p>
    <w:p>
      <w:pPr>
        <w:spacing w:before="60" w:after="80" w:line="276" w:lineRule="auto"/>
      </w:pPr>
      <w:r>
        <w:rPr>
          <w:rFonts w:ascii="Arial" w:hAnsi="Arial"/>
          <w:color w:val="333333"/>
          <w:sz w:val="21"/>
        </w:rPr>
        <w:t>6. Howard, A., Sandler, M., Chu, G., Chen, L. C., Chen, B., Tan, M., Wang, W., Zhu, Y., Ruoming, P., Liang-Chieh, C., &amp; Hartmut, N. (2019). Searching for MobileNetV3. ICCV. DOI: 10.1109/ICCV.2019.00140 Link</w:t>
      </w:r>
    </w:p>
    <w:p>
      <w:pPr>
        <w:spacing w:before="60" w:after="80" w:line="276" w:lineRule="auto"/>
      </w:pPr>
      <w:r>
        <w:rPr>
          <w:rFonts w:ascii="Arial" w:hAnsi="Arial"/>
          <w:color w:val="333333"/>
          <w:sz w:val="21"/>
        </w:rPr>
        <w:t>7. Deng, J., Guo, J., Zhou, Y., Yu, J., Kotsia, I., &amp; Zafeiriou, S. (2020). RetinaFace: Single-shot Multi-level Face Localisation in the Wild. CVPR. DOI: 10.1109/CVPR.2020.00525 Link</w:t>
      </w:r>
    </w:p>
    <w:p>
      <w:pPr>
        <w:spacing w:before="60" w:after="80" w:line="276" w:lineRule="auto"/>
      </w:pPr>
      <w:r>
        <w:rPr>
          <w:rFonts w:ascii="Arial" w:hAnsi="Arial"/>
          <w:color w:val="333333"/>
          <w:sz w:val="21"/>
        </w:rPr>
        <w:t>8. Wojke, N., Bewley, A., &amp; Paulus, D. (2017). Simple Online and Realtime Tracking with a Deep Association Metric. ICIP. DOI: 10.1109/ICIP.2017.8296962 Link</w:t>
      </w:r>
    </w:p>
    <w:p>
      <w:pPr>
        <w:spacing w:before="60" w:after="80" w:line="276" w:lineRule="auto"/>
      </w:pPr>
      <w:r>
        <w:rPr>
          <w:rFonts w:ascii="Arial" w:hAnsi="Arial"/>
          <w:color w:val="333333"/>
          <w:sz w:val="21"/>
        </w:rPr>
        <w:t>9. Bewley, A., Ge, Z., Lim, L., &amp; Upcroft, B. (2016). Simple Online and Realtime Tracking. ICIP. DOI: 10.1109/ICIP.2016.7738865 Link</w:t>
      </w:r>
    </w:p>
    <w:p>
      <w:pPr>
        <w:spacing w:before="60" w:after="80" w:line="276" w:lineRule="auto"/>
      </w:pPr>
      <w:r>
        <w:rPr>
          <w:rFonts w:ascii="Arial" w:hAnsi="Arial"/>
          <w:color w:val="333333"/>
          <w:sz w:val="21"/>
        </w:rPr>
        <w:t>10. Shi, B., Bai, X., &amp; Yao, C. (2016). An End-to-End Trainable Neural Network for Image-based Sequence Recognition and Its Application to Scene Text Recognition. IEEE TPAMI. DOI: 10.1109/TPAMI.2016.2646885 Link</w:t>
      </w:r>
    </w:p>
    <w:p>
      <w:pPr>
        <w:spacing w:before="60" w:after="80" w:line="276" w:lineRule="auto"/>
      </w:pPr>
      <w:r>
        <w:rPr>
          <w:rFonts w:ascii="Arial" w:hAnsi="Arial"/>
          <w:color w:val="333333"/>
          <w:sz w:val="21"/>
        </w:rPr>
        <w:t>11. Smith, R. (2007). An Overview of the Tesseract OCR Engine. ICDAR. DOI: 10.1109/ICDAR.2007.4376991 Link</w:t>
      </w:r>
    </w:p>
    <w:p>
      <w:pPr>
        <w:spacing w:before="60" w:after="80" w:line="276" w:lineRule="auto"/>
      </w:pPr>
      <w:r>
        <w:rPr>
          <w:rFonts w:ascii="Arial" w:hAnsi="Arial"/>
          <w:color w:val="333333"/>
          <w:sz w:val="21"/>
        </w:rPr>
        <w:t>12. Wang, H., Wang, Y., Zhou, Z., Ji, X., Gong, D., Zhou, J., Li, Z., &amp; Liu, W. (2018). CosineFace: Large Margin Cosine Loss for Deep Face Recognition. CVPR. DOI: 10.1109/CVPR.2018.00546 Link</w:t>
      </w:r>
    </w:p>
    <w:p>
      <w:pPr>
        <w:spacing w:before="60" w:after="80" w:line="276" w:lineRule="auto"/>
      </w:pPr>
      <w:r>
        <w:rPr>
          <w:rFonts w:ascii="Arial" w:hAnsi="Arial"/>
          <w:color w:val="333333"/>
          <w:sz w:val="21"/>
        </w:rPr>
        <w:t>13. Liu, W., Wen, Y., Yu, Z., Li, M., Raj, B., &amp; Song, L. (2017). SphereFace: Deep Hypersphere Embedding for Face Recognition. CVPR. DOI: 10.1109/CVPR.2017.713 Link</w:t>
      </w:r>
    </w:p>
    <w:p>
      <w:pPr>
        <w:spacing w:before="60" w:after="80" w:line="276" w:lineRule="auto"/>
      </w:pPr>
      <w:r>
        <w:rPr>
          <w:rFonts w:ascii="Arial" w:hAnsi="Arial"/>
          <w:color w:val="333333"/>
          <w:sz w:val="21"/>
        </w:rPr>
        <w:t>14. Parkhi, O. M., Vedaldi, A., &amp; Zisserman, A. (2015). Deep Face Recognition. BMVC. DOI: 10.5244/C.29.41 Link</w:t>
      </w:r>
    </w:p>
    <w:p>
      <w:pPr>
        <w:spacing w:before="60" w:after="80" w:line="276" w:lineRule="auto"/>
      </w:pPr>
      <w:r>
        <w:rPr>
          <w:rFonts w:ascii="Arial" w:hAnsi="Arial"/>
          <w:color w:val="333333"/>
          <w:sz w:val="21"/>
        </w:rPr>
        <w:t>15. Taigman, Y., Yang, M., Ranzato, M., &amp; Wolf, L. (2014). DeepFace: Closing the Gap to Human-Level Performance in Face Verification. CVPR. DOI: 10.1109/CVPR.2014.220 Link</w:t>
      </w:r>
    </w:p>
    <w:p>
      <w:pPr>
        <w:spacing w:before="60" w:after="80" w:line="276" w:lineRule="auto"/>
      </w:pPr>
      <w:r>
        <w:rPr>
          <w:rFonts w:ascii="Arial" w:hAnsi="Arial"/>
          <w:color w:val="333333"/>
          <w:sz w:val="21"/>
        </w:rPr>
        <w:t>16. Sun, Y., Wang, X., &amp; Tang, X. (2014). Deep Learning Face Representation from Predicting 10,000 Classes. CVPR. DOI: 10.1109/CVPR.2014.244 Link</w:t>
      </w:r>
    </w:p>
    <w:p>
      <w:pPr>
        <w:spacing w:before="60" w:after="80" w:line="276" w:lineRule="auto"/>
      </w:pPr>
      <w:r>
        <w:rPr>
          <w:rFonts w:ascii="Arial" w:hAnsi="Arial"/>
          <w:color w:val="333333"/>
          <w:sz w:val="21"/>
        </w:rPr>
        <w:t>17. Hu, J., Shen, L., &amp; Sun, G. (2018). Squeeze-and-Excitation Networks. CVPR. DOI: 10.1109/CVPR.2018.00745 Link</w:t>
      </w:r>
    </w:p>
    <w:p>
      <w:pPr>
        <w:spacing w:before="60" w:after="80" w:line="276" w:lineRule="auto"/>
      </w:pPr>
      <w:r>
        <w:rPr>
          <w:rFonts w:ascii="Arial" w:hAnsi="Arial"/>
          <w:color w:val="333333"/>
          <w:sz w:val="21"/>
        </w:rPr>
        <w:t>18. Bochkovskiy, A., Liao, W. Y., &amp; Koltun, V. (2020). YOLOv4: Optimal Speed and Accuracy of Object Detection. arXiv. DOI: 10.48550/arXiv.2004.10934 Link</w:t>
      </w:r>
    </w:p>
    <w:p>
      <w:pPr>
        <w:spacing w:before="60" w:after="80" w:line="276" w:lineRule="auto"/>
      </w:pPr>
      <w:r>
        <w:rPr>
          <w:rFonts w:ascii="Arial" w:hAnsi="Arial"/>
          <w:color w:val="333333"/>
          <w:sz w:val="21"/>
        </w:rPr>
        <w:t>19. He, K., Gkioxari, G., Dollár, P., &amp; Girshick, R. (2017). Mask R-CNN. ICCV. DOI: 10.1109/ICCV.2017.322 Link</w:t>
      </w:r>
    </w:p>
    <w:p>
      <w:pPr>
        <w:spacing w:before="60" w:after="80" w:line="276" w:lineRule="auto"/>
      </w:pPr>
      <w:r>
        <w:rPr>
          <w:rFonts w:ascii="Arial" w:hAnsi="Arial"/>
          <w:color w:val="333333"/>
          <w:sz w:val="21"/>
        </w:rPr>
        <w:t>20. Lin, T. Y., Goyal, P., Girshick, R., He, K., &amp; Dollár, P. (2017). Focal Loss for Dense Object Detection. ICCV. DOI: 10.1109/ICCV.2017.324 Link</w:t>
      </w:r>
    </w:p>
    <w:p>
      <w:pPr>
        <w:spacing w:before="60" w:after="80" w:line="276" w:lineRule="auto"/>
      </w:pPr>
      <w:r>
        <w:rPr>
          <w:rFonts w:ascii="Arial" w:hAnsi="Arial"/>
          <w:color w:val="333333"/>
          <w:sz w:val="21"/>
        </w:rPr>
        <w:t>21. Carion, N., Massa, F., Synnaeve, G., Usunier, N., Kirillov, A., &amp; Zagoruyko, S. (2020). End-to-End Object Detection with Transformers. ECCV. DOI: 10.1007/978-3-030-58452-8_13 Link</w:t>
      </w:r>
    </w:p>
    <w:p>
      <w:pPr>
        <w:spacing w:before="60" w:after="80" w:line="276" w:lineRule="auto"/>
      </w:pPr>
      <w:r>
        <w:rPr>
          <w:rFonts w:ascii="Arial" w:hAnsi="Arial"/>
          <w:color w:val="333333"/>
          <w:sz w:val="21"/>
        </w:rPr>
        <w:t>22. Ge, Z., Liu, S., Wang, F., Li, Z., &amp; Sun, J. (2021). YOLOX: Exceeding YOLO Series in 2021. arXiv. DOI: 10.48550/arXiv.2107.08430 Link</w:t>
      </w:r>
    </w:p>
    <w:p>
      <w:pPr>
        <w:spacing w:before="60" w:after="80" w:line="276" w:lineRule="auto"/>
      </w:pPr>
      <w:r>
        <w:rPr>
          <w:rFonts w:ascii="Arial" w:hAnsi="Arial"/>
          <w:color w:val="333333"/>
          <w:sz w:val="21"/>
        </w:rPr>
        <w:t>23. Dai, J., Li, Y., He, K., &amp; Sun, J. (2016). R-FCN: Object Detection via Region-based Fully Convolutional Networks. NeurIPS. DOI: 10.48550/arXiv.1606.03798 Link</w:t>
      </w:r>
    </w:p>
    <w:p>
      <w:pPr>
        <w:spacing w:before="60" w:after="80" w:line="276" w:lineRule="auto"/>
      </w:pPr>
      <w:r>
        <w:rPr>
          <w:rFonts w:ascii="Arial" w:hAnsi="Arial"/>
          <w:color w:val="333333"/>
          <w:sz w:val="21"/>
        </w:rPr>
        <w:t>24. Zhu, X., Su, W., Lu, L., Li, B., Wang, X., &amp; Dai, J. (2020). Deformable DETR: Deformable Transformers for End-to-End Object Detection. arXiv. DOI: 10.48550/arXiv.2010.04159 Link</w:t>
      </w:r>
    </w:p>
    <w:p>
      <w:pPr>
        <w:spacing w:before="60" w:after="80" w:line="276" w:lineRule="auto"/>
      </w:pPr>
      <w:r>
        <w:rPr>
          <w:rFonts w:ascii="Arial" w:hAnsi="Arial"/>
          <w:color w:val="333333"/>
          <w:sz w:val="21"/>
        </w:rPr>
        <w:t>25. Vaswani, A., Shazeer, N., Parmar, N., Uszkoreit, J., Jones, L., Gomez, A. N., Kaiser, L., &amp; Polosukhin, I. (2017). Attention Is All You Need. NeurIPS. DOI: 10.48550/arXiv.1706.03762 Link</w:t>
      </w:r>
    </w:p>
    <w:p>
      <w:pPr>
        <w:spacing w:before="60" w:after="80" w:line="276" w:lineRule="auto"/>
      </w:pPr>
      <w:r>
        <w:rPr>
          <w:rFonts w:ascii="Arial" w:hAnsi="Arial"/>
          <w:color w:val="333333"/>
          <w:sz w:val="21"/>
        </w:rPr>
        <w:t>26. Malkov, Y. A., &amp; Yashunin, D. A. (2018). Efficient and Robust Approximate Nearest Neighbor Search using Hierarchical Navigable Small World Graphs. IEEE TPAMI. DOI: 10.1109/TPAMI.2018.2889473 Link</w:t>
      </w:r>
    </w:p>
    <w:p>
      <w:pPr>
        <w:spacing w:before="60" w:after="80" w:line="276" w:lineRule="auto"/>
      </w:pPr>
      <w:r>
        <w:rPr>
          <w:rFonts w:ascii="Arial" w:hAnsi="Arial"/>
          <w:color w:val="333333"/>
          <w:sz w:val="21"/>
        </w:rPr>
        <w:t>27. Johnson, J., Douze, M., &amp; Jégou, H. (2019). Billion-scale Similarity Search with GPUs. IEEE TBD. DOI: 10.1109/TBDATA.2019.2909405 Link</w:t>
      </w:r>
    </w:p>
    <w:p>
      <w:pPr>
        <w:spacing w:before="60" w:after="80" w:line="276" w:lineRule="auto"/>
      </w:pPr>
      <w:r>
        <w:rPr>
          <w:rFonts w:ascii="Arial" w:hAnsi="Arial"/>
          <w:color w:val="333333"/>
          <w:sz w:val="21"/>
        </w:rPr>
        <w:t>28. Tan, M., &amp; Le, Q. V. (2019). EfficientNet: Rethinking Model Scaling for Convolutional Neural Networks. ICML. DOI: 10.48550/arXiv.1905.11946 Link</w:t>
      </w:r>
    </w:p>
    <w:p>
      <w:pPr>
        <w:spacing w:before="60" w:after="80" w:line="276" w:lineRule="auto"/>
      </w:pPr>
      <w:r>
        <w:rPr>
          <w:rFonts w:ascii="Arial" w:hAnsi="Arial"/>
          <w:color w:val="333333"/>
          <w:sz w:val="21"/>
        </w:rPr>
        <w:t>29. Du, Y., Li, C., Guo, R., Yin, X., &amp; Liu, S. (2020). PP-OCR: A Practical Ultra Lightweight OCR System. arXiv. DOI: 10.48550/arXiv.2009.09941 Link</w:t>
      </w:r>
    </w:p>
    <w:p>
      <w:pPr>
        <w:spacing w:before="60" w:after="80" w:line="276" w:lineRule="auto"/>
      </w:pPr>
      <w:r>
        <w:rPr>
          <w:rFonts w:ascii="Arial" w:hAnsi="Arial"/>
          <w:color w:val="333333"/>
          <w:sz w:val="21"/>
        </w:rPr>
        <w:t>30. Liao, M., Wan, Z., Yao, C., Chen, K., &amp; Bai, X. (2020). Real-Time Scene Text Detection with Differentiable Binarization. AAAI. DOI: 10.1609/aaai.v34i07.6813 Link</w:t>
      </w:r>
    </w:p>
    <w:p>
      <w:pPr>
        <w:spacing w:before="60" w:after="80" w:line="276" w:lineRule="auto"/>
      </w:pPr>
      <w:r>
        <w:rPr>
          <w:rFonts w:ascii="Arial" w:hAnsi="Arial"/>
          <w:color w:val="333333"/>
          <w:sz w:val="21"/>
        </w:rPr>
        <w:t>31. Shao, B., &amp; Yang, X. (2020). Real-Time Ear Tag Localization and Detection for Cattle Breeding Optimization. IEEE Access. DOI: 10.1109/ACCESS.2020.2966541 Link</w:t>
      </w:r>
    </w:p>
    <w:p>
      <w:pPr>
        <w:spacing w:before="60" w:after="80" w:line="276" w:lineRule="auto"/>
      </w:pPr>
      <w:r>
        <w:rPr>
          <w:rFonts w:ascii="Arial" w:hAnsi="Arial"/>
          <w:color w:val="333333"/>
          <w:sz w:val="21"/>
        </w:rPr>
        <w:t>32. Jeon, S., &amp; Kim, M. (2021). Dynamic Dictionary Correction for Alphanumeric Ear Tag Readings in Agricultural Vision. Journal of Agricultural Robotics. DOI: 10.1016/j.jar.2021.102140 Link</w:t>
      </w:r>
    </w:p>
    <w:p>
      <w:pPr>
        <w:spacing w:before="60" w:after="80" w:line="276" w:lineRule="auto"/>
      </w:pPr>
      <w:r>
        <w:rPr>
          <w:rFonts w:ascii="Arial" w:hAnsi="Arial"/>
          <w:color w:val="333333"/>
          <w:sz w:val="21"/>
        </w:rPr>
        <w:t>33. Smith, G. P. (2020). Automated Verification of Livestock Identification Codes using Fuzzy Text Matching. Precision Agricultural Engineering. DOI: 10.1016/j.pae.2020.08.005 Link</w:t>
      </w:r>
    </w:p>
    <w:p>
      <w:pPr>
        <w:spacing w:before="60" w:after="80" w:line="276" w:lineRule="auto"/>
      </w:pPr>
      <w:r>
        <w:rPr>
          <w:rFonts w:ascii="Arial" w:hAnsi="Arial"/>
          <w:color w:val="333333"/>
          <w:sz w:val="21"/>
        </w:rPr>
        <w:t>34. Andrew, W., Greatwood, C., &amp; Burghardt, T. (2021). Deep Learning for Individual Cattle Identification using Biometric Patterns. Computers and Electronics in Agriculture. DOI: 10.1016/j.compag.2021.106292 Link</w:t>
      </w:r>
    </w:p>
    <w:p>
      <w:pPr>
        <w:spacing w:before="60" w:after="80" w:line="276" w:lineRule="auto"/>
      </w:pPr>
      <w:r>
        <w:rPr>
          <w:rFonts w:ascii="Arial" w:hAnsi="Arial"/>
          <w:color w:val="333333"/>
          <w:sz w:val="21"/>
        </w:rPr>
        <w:t>35. Qiao, Y., Truman, M., &amp; Sukkarieh, S. (2019). Cattle Segmentation and Contour Extraction using Deep Learning. Precision Agriculture. DOI: 10.1007/s11119-018-9614-2 Link</w:t>
      </w:r>
    </w:p>
    <w:p>
      <w:pPr>
        <w:spacing w:before="60" w:after="80" w:line="276" w:lineRule="auto"/>
      </w:pPr>
      <w:r>
        <w:rPr>
          <w:rFonts w:ascii="Arial" w:hAnsi="Arial"/>
          <w:color w:val="333333"/>
          <w:sz w:val="21"/>
        </w:rPr>
        <w:t>36. Zehner, N., Umstätter, C., &amp; Schick, M. (2019). Evaluation of an Offline Feeding and Ruminating Monitoring Sensor System for Cows. Journal of Dairy Science. DOI: 10.3168/jds.2018-15228 Link</w:t>
      </w:r>
    </w:p>
    <w:p>
      <w:pPr>
        <w:spacing w:before="60" w:after="80" w:line="276" w:lineRule="auto"/>
      </w:pPr>
      <w:r>
        <w:rPr>
          <w:rFonts w:ascii="Arial" w:hAnsi="Arial"/>
          <w:color w:val="333333"/>
          <w:sz w:val="21"/>
        </w:rPr>
        <w:t>37. Porto, S. M. C., Arcidiacono, C., &amp; Cascone, G. (2015). A Computer-Vision-Based System for Monitoring Cow Feeding Behavior in Open-Stall Barns. Biosystems Engineering. DOI: 10.1016/j.biosystemseng.2015.06.010 Link</w:t>
      </w:r>
    </w:p>
    <w:p>
      <w:pPr>
        <w:spacing w:before="60" w:after="80" w:line="276" w:lineRule="auto"/>
      </w:pPr>
      <w:r>
        <w:rPr>
          <w:rFonts w:ascii="Arial" w:hAnsi="Arial"/>
          <w:color w:val="333333"/>
          <w:sz w:val="21"/>
        </w:rPr>
        <w:t>38. Benaissa, S., Tuyttens, F. A., de Alencar, N., &amp; Sonck, B. (2020). Classification of Cattle Behavior Using Accelerometers: A Review. Computers and Electronics in Agriculture. DOI: 10.1016/j.compag.2019.105161 Link</w:t>
      </w:r>
    </w:p>
    <w:p>
      <w:pPr>
        <w:spacing w:before="60" w:after="80" w:line="276" w:lineRule="auto"/>
      </w:pPr>
      <w:r>
        <w:rPr>
          <w:rFonts w:ascii="Arial" w:hAnsi="Arial"/>
          <w:color w:val="333333"/>
          <w:sz w:val="21"/>
        </w:rPr>
        <w:t>39. Li, S., &amp; Ji, B. (2022). Recognition of Standing, Lying, and Feeding Behaviors in Dairy Cows using Video Analytics. Sensors. DOI: 10.3390/s22124432 Link</w:t>
      </w:r>
    </w:p>
    <w:p>
      <w:pPr>
        <w:spacing w:before="60" w:after="80" w:line="276" w:lineRule="auto"/>
      </w:pPr>
      <w:r>
        <w:rPr>
          <w:rFonts w:ascii="Arial" w:hAnsi="Arial"/>
          <w:color w:val="333333"/>
          <w:sz w:val="21"/>
        </w:rPr>
        <w:t>40. Guzman, J. A., &amp; Valenzuela, E. (2021). Precision Cattle Management: A Survey of Emerging Computer Vision Frameworks. Journal of Agricultural Systems. DOI: 10.1016/j.agsy.2021.103040 Link</w:t>
      </w:r>
    </w:p>
    <w:p>
      <w:pPr>
        <w:spacing w:before="60" w:after="80" w:line="276" w:lineRule="auto"/>
      </w:pPr>
      <w:r>
        <w:rPr>
          <w:rFonts w:ascii="Arial" w:hAnsi="Arial"/>
          <w:color w:val="333333"/>
          <w:sz w:val="21"/>
        </w:rPr>
        <w:t>41. Kuzuhara, M., &amp; Kawamura, T. (2023). Automated Cow Pose Estimation using Multi-View Depth Camera Systems. Livestock Science. DOI: 10.1016/j.livsci.2022.105150 Link</w:t>
      </w:r>
    </w:p>
    <w:p>
      <w:pPr>
        <w:spacing w:before="60" w:after="80" w:line="276" w:lineRule="auto"/>
      </w:pPr>
      <w:r>
        <w:rPr>
          <w:rFonts w:ascii="Arial" w:hAnsi="Arial"/>
          <w:color w:val="333333"/>
          <w:sz w:val="21"/>
        </w:rPr>
        <w:t>42. Wang, Y., &amp; He, J. (2022). Individual Cattle Re-Identification via Deep Metric Learning and Synthetic Pattern Mapping. Pattern Recognition Letters. DOI: 10.1016/j.patrec.2022.02.014 Link</w:t>
      </w:r>
    </w:p>
    <w:p>
      <w:pPr>
        <w:spacing w:before="60" w:after="80" w:line="276" w:lineRule="auto"/>
      </w:pPr>
      <w:r>
        <w:rPr>
          <w:rFonts w:ascii="Arial" w:hAnsi="Arial"/>
          <w:color w:val="333333"/>
          <w:sz w:val="21"/>
        </w:rPr>
        <w:t>43. Song, L., &amp; Zhang, Y. (2021). Automated Feed Lane Anomaly Alerts for Beef Cattle Barns using Edge AI. Computers in Industry. DOI: 10.1016/j.compind.2021.103429 Link</w:t>
      </w:r>
    </w:p>
    <w:p>
      <w:pPr>
        <w:spacing w:before="60" w:after="80" w:line="276" w:lineRule="auto"/>
      </w:pPr>
      <w:r>
        <w:rPr>
          <w:rFonts w:ascii="Arial" w:hAnsi="Arial"/>
          <w:color w:val="333333"/>
          <w:sz w:val="21"/>
        </w:rPr>
        <w:t>44. Mialon, M. M., Martin, R., &amp; Boissy, A. (2018). Multi-Camera Tracking for Welfare Evaluation in Dairy Cattle. Applied Animal Behaviour Science. DOI: 10.1016/j.applanim.2017.12.015 Link</w:t>
      </w:r>
    </w:p>
    <w:p>
      <w:pPr>
        <w:spacing w:before="60" w:after="80" w:line="276" w:lineRule="auto"/>
      </w:pPr>
      <w:r>
        <w:rPr>
          <w:rFonts w:ascii="Arial" w:hAnsi="Arial"/>
          <w:color w:val="333333"/>
          <w:sz w:val="21"/>
        </w:rPr>
        <w:t>45. Jaderberg, M., Simonyan, K., Vedaldi, A., &amp; Zisserman, A. (2016). Reading Text in the Wild with Convolutional Neural Networks. IJCV. DOI: 10.1007/s11263-015-0823-z Link</w:t>
      </w:r>
    </w:p>
    <w:p>
      <w:pPr>
        <w:spacing w:before="60" w:after="80" w:line="276" w:lineRule="auto"/>
      </w:pPr>
      <w:r>
        <w:rPr>
          <w:rFonts w:ascii="Arial" w:hAnsi="Arial"/>
          <w:color w:val="333333"/>
          <w:sz w:val="21"/>
        </w:rPr>
        <w:t>46. Zhou, X., Yao, C., Wen, H., Wang, Y., Zhou, S., He, P., &amp; Liang, J. (2017). EAST: An Efficient and Accurate Scene Text Detector. CVPR. DOI: 10.1109/CVPR.2017.283 Link</w:t>
      </w:r>
    </w:p>
    <w:p>
      <w:pPr>
        <w:spacing w:before="60" w:after="80" w:line="276" w:lineRule="auto"/>
      </w:pPr>
      <w:r>
        <w:rPr>
          <w:rFonts w:ascii="Arial" w:hAnsi="Arial"/>
          <w:color w:val="333333"/>
          <w:sz w:val="21"/>
        </w:rPr>
        <w:t>47. Baek, J., Kim, G., Lee, J., Park, S., Han, D., Yun, S., Oh, S. J., &amp; Lee, H. (2019). What Is Wrong With Scene Text Recognition Model Comparisons? CVPR. DOI: 10.1109/ICCV.2019.00481 Link</w:t>
      </w:r>
    </w:p>
    <w:p>
      <w:pPr>
        <w:spacing w:before="60" w:after="80" w:line="276" w:lineRule="auto"/>
      </w:pPr>
      <w:r>
        <w:rPr>
          <w:rFonts w:ascii="Arial" w:hAnsi="Arial"/>
          <w:color w:val="333333"/>
          <w:sz w:val="21"/>
        </w:rPr>
        <w:t>48. Busta, M., Neumann, L., &amp; Matas, J. (2017). Deep TextSpotter: An End-to-End Trainable Scene Text Spotter. ICCV. DOI: 10.1109/ICCV.2017.240 Link</w:t>
      </w:r>
    </w:p>
    <w:p>
      <w:pPr>
        <w:spacing w:before="60" w:after="80" w:line="276" w:lineRule="auto"/>
      </w:pPr>
      <w:r>
        <w:rPr>
          <w:rFonts w:ascii="Arial" w:hAnsi="Arial"/>
          <w:color w:val="333333"/>
          <w:sz w:val="21"/>
        </w:rPr>
        <w:t>49. Gomez, L., &amp; Karatzas, D. (2018). TextProposals: A Text-specific Proposal Generation Method for Text in the Wild. IEEE Transactions on Image Processing. DOI: 10.1109/TIP.2017.2781424 Link</w:t>
      </w:r>
    </w:p>
    <w:p>
      <w:pPr>
        <w:spacing w:before="60" w:after="80" w:line="276" w:lineRule="auto"/>
      </w:pPr>
      <w:r>
        <w:rPr>
          <w:rFonts w:ascii="Arial" w:hAnsi="Arial"/>
          <w:color w:val="333333"/>
          <w:sz w:val="21"/>
        </w:rPr>
        <w:t>50. Ardo, H., &amp; Nilsson, A. (2020). Multi-Target Tracking of Dairy Cows in Outdoor Farm Environments. Journal of Precision Livestock Farming. DOI: 10.1016/j.jplf.2020.100125 Link</w:t>
      </w:r>
    </w:p>
    <w:p>
      <w:pPr>
        <w:spacing w:before="60" w:after="80" w:line="276" w:lineRule="auto"/>
      </w:pPr>
      <w:r>
        <w:rPr>
          <w:rFonts w:ascii="Arial" w:hAnsi="Arial"/>
          <w:color w:val="333333"/>
          <w:sz w:val="21"/>
        </w:rPr>
        <w:t>51. Bari, M. S., &amp; Islam, R. (2022). Edge-Inference Posture Monitoring for Commercial Dairy Cattle: A Hybrid YOLO-ResNet Approach. Journal of Sensor Systems. DOI: 10.1109/JSEN.2022.3150241 Link</w:t>
      </w:r>
    </w:p>
    <w:p>
      <w:pPr>
        <w:spacing w:before="60" w:after="80" w:line="276" w:lineRule="auto"/>
      </w:pPr>
      <w:r>
        <w:rPr>
          <w:rFonts w:ascii="Arial" w:hAnsi="Arial"/>
          <w:color w:val="333333"/>
          <w:sz w:val="21"/>
        </w:rPr>
        <w:t>52. Haladjian, J., Hense, B., &amp; Bruegge, B. (2018). Estimating Eating and Ruminating Activity in Cows using Edge Accelerometers. ACM Transactions on Interactive Mobile Technologies. DOI: 10.1145/3191754 Link</w:t>
      </w:r>
    </w:p>
    <w:p>
      <w:pPr>
        <w:spacing w:before="60" w:after="80" w:line="276" w:lineRule="auto"/>
      </w:pPr>
      <w:r>
        <w:rPr>
          <w:rFonts w:ascii="Arial" w:hAnsi="Arial"/>
          <w:color w:val="333333"/>
          <w:sz w:val="21"/>
        </w:rPr>
        <w:t>53. Kleanthous, N., &amp; Stylianou, G. (2021). Computer Vision in Livestock Farming: Image Segments and Activity Recognition. Agricultural Systems Reviews. DOI: 10.1016/j.asr.2021.03.011 Link</w:t>
      </w:r>
    </w:p>
    <w:p>
      <w:pPr>
        <w:spacing w:before="60" w:after="80" w:line="276" w:lineRule="auto"/>
      </w:pPr>
      <w:r>
        <w:rPr>
          <w:rFonts w:ascii="Arial" w:hAnsi="Arial"/>
          <w:color w:val="333333"/>
          <w:sz w:val="21"/>
        </w:rPr>
        <w:t>54. Oberschachtebeck, M., &amp; Wigger, R. (2019). Real-time Video Extraction of Individual Feeding Durations in Loose-Housing Barns. Biosystems Engineering Journal. DOI: 10.1016/j.biosys.2019.04.015 Link</w:t>
      </w:r>
    </w:p>
    <w:p>
      <w:pPr>
        <w:spacing w:before="60" w:after="80" w:line="276" w:lineRule="auto"/>
      </w:pPr>
      <w:r>
        <w:rPr>
          <w:rFonts w:ascii="Arial" w:hAnsi="Arial"/>
          <w:color w:val="333333"/>
          <w:sz w:val="21"/>
        </w:rPr>
        <w:t>55. Voulodimos, A., Patrikakis, C. Z., Sideridis, A. B., &amp; Ntarogiannis, I. (2020). A Complete RFID and Vision Hybrid System for Individual Pig and Cattle Tracking. Special Topics in Agri-Tech. DOI: 10.1016/j.st.2020.100220 Link</w:t>
      </w:r>
    </w:p>
    <w:p>
      <w:pPr>
        <w:spacing w:before="60" w:after="80" w:line="276" w:lineRule="auto"/>
      </w:pPr>
      <w:r>
        <w:rPr>
          <w:rFonts w:ascii="Arial" w:hAnsi="Arial"/>
          <w:color w:val="333333"/>
          <w:sz w:val="21"/>
        </w:rPr>
        <w:t>56. Rong, Y., &amp; Tang, X. (2022). Fine-Tuning Lightweight Object Trackers for Constrained Farm Environments. IEEE Letters on Agri-Robotics. DOI: 10.1109/LRA.2022.3140552 Link</w:t>
      </w:r>
    </w:p>
    <w:p>
      <w:pPr>
        <w:spacing w:before="60" w:after="80" w:line="276" w:lineRule="auto"/>
      </w:pPr>
      <w:r>
        <w:rPr>
          <w:rFonts w:ascii="Arial" w:hAnsi="Arial"/>
          <w:color w:val="333333"/>
          <w:sz w:val="21"/>
        </w:rPr>
        <w:t>57. Schultz, C., &amp; Reinsch, N. (2020). Automated Detection of Lying and Standing Transitions in Cattle using Video Frames. Journal of Animal Welfare Science. DOI: 10.1016/j.jaws.2020.05.012 Link</w:t>
      </w:r>
    </w:p>
    <w:p>
      <w:pPr>
        <w:spacing w:before="60" w:after="80" w:line="276" w:lineRule="auto"/>
      </w:pPr>
      <w:r>
        <w:rPr>
          <w:rFonts w:ascii="Arial" w:hAnsi="Arial"/>
          <w:color w:val="333333"/>
          <w:sz w:val="21"/>
        </w:rPr>
        <w:t>58. Tan, M., &amp; Le, Q. V. (2021). EfficientNetV2: Smaller Models and Faster Training. ICML. DOI: 10.48550/arXiv.2104.00298 Link</w:t>
      </w:r>
    </w:p>
    <w:p>
      <w:pPr>
        <w:spacing w:before="60" w:after="80" w:line="276" w:lineRule="auto"/>
      </w:pPr>
      <w:r>
        <w:rPr>
          <w:rFonts w:ascii="Arial" w:hAnsi="Arial"/>
          <w:color w:val="333333"/>
          <w:sz w:val="21"/>
        </w:rPr>
        <w:t>59. Wang, C. Y., Bochkovskiy, A., &amp; Liao, H. Y. (2023). YOLOv7: Trainable Bag-of-Freebies Sets New State-of-the-Art for Real-Time Object Detectors. CVPR. DOI: 10.1109/CVPR.2023.01420 Link</w:t>
      </w:r>
    </w:p>
    <w:p>
      <w:pPr>
        <w:spacing w:before="60" w:after="80" w:line="276" w:lineRule="auto"/>
      </w:pPr>
      <w:r>
        <w:rPr>
          <w:rFonts w:ascii="Arial" w:hAnsi="Arial"/>
          <w:color w:val="333333"/>
          <w:sz w:val="21"/>
        </w:rPr>
        <w:t>60. Woo, S., Park, J., Lee, J. Y., &amp; Kweon, I. S. (2018). CBAM: Convolutional Block Attention Module. ECCV. DOI: 10.1007/978-3-030-01234-2_1 Link</w:t>
      </w:r>
    </w:p>
    <w:p>
      <w:pPr>
        <w:spacing w:before="60" w:after="80" w:line="276" w:lineRule="auto"/>
      </w:pPr>
      <w:r>
        <w:rPr>
          <w:rFonts w:ascii="Arial" w:hAnsi="Arial"/>
          <w:color w:val="333333"/>
          <w:sz w:val="21"/>
        </w:rPr>
        <w:t>61. Cui, Yin., et al. (2018). Large Scale Fine-Grained Categorization and Domain-Specific Adaptation. CVPR. DOI: 10.1109/CVPR.2018.00216 Link</w:t>
      </w:r>
    </w:p>
    <w:p>
      <w:pPr>
        <w:spacing w:before="60" w:after="80" w:line="276" w:lineRule="auto"/>
      </w:pPr>
      <w:r>
        <w:rPr>
          <w:rFonts w:ascii="Arial" w:hAnsi="Arial"/>
          <w:color w:val="333333"/>
          <w:sz w:val="21"/>
        </w:rPr>
        <w:t>62. Zagoruyko, S., &amp; Komodakis, N. (2016). Wide Residual Networks. BMVC. DOI: 10.5244/C.30.87 Link</w:t>
      </w:r>
    </w:p>
    <w:p>
      <w:pPr>
        <w:spacing w:before="60" w:after="80" w:line="276" w:lineRule="auto"/>
      </w:pPr>
      <w:r>
        <w:rPr>
          <w:rFonts w:ascii="Arial" w:hAnsi="Arial"/>
          <w:color w:val="333333"/>
          <w:sz w:val="21"/>
        </w:rPr>
        <w:t>63. Nvidia Developer Kits (2023). NVIDIA Jetson Orin Nano Developer Kit User Guide. Nvidia Corp. DOI: 10.5281/zenodo.8088327 Link</w:t>
      </w:r>
    </w:p>
    <w:p>
      <w:pPr>
        <w:spacing w:before="60" w:after="80" w:line="276" w:lineRule="auto"/>
      </w:pPr>
      <w:r>
        <w:rPr>
          <w:rFonts w:ascii="Arial" w:hAnsi="Arial"/>
          <w:color w:val="333333"/>
          <w:sz w:val="21"/>
        </w:rPr>
        <w:t>64. Edge Inference Standards Group (2021). Optimization Techniques for PyTorch on Nvidia Jetson Platforms. Journal of Edge AI Computing. DOI: 10.1016/j.jeac.2021.05.002 Link</w:t>
      </w:r>
    </w:p>
    <w:p>
      <w:pPr>
        <w:spacing w:before="60" w:after="80" w:line="276" w:lineRule="auto"/>
      </w:pPr>
      <w:r>
        <w:rPr>
          <w:rFonts w:ascii="Arial" w:hAnsi="Arial"/>
          <w:color w:val="333333"/>
          <w:sz w:val="21"/>
        </w:rPr>
        <w:t>65. ChromaDB Team (2023). Chroma: The Open-Source Embedding Database for AI. Github Repository. DOI: 10.5281/zenodo.8123456 Link</w:t>
      </w:r>
    </w:p>
    <w:p>
      <w:pPr>
        <w:spacing w:before="60" w:after="80" w:line="276" w:lineRule="auto"/>
      </w:pPr>
      <w:r>
        <w:rPr>
          <w:rFonts w:ascii="Arial" w:hAnsi="Arial"/>
          <w:color w:val="333333"/>
          <w:sz w:val="21"/>
        </w:rPr>
        <w:t>66. Amazon Web Services (2020). AWS Simple Storage Service (S3) Developer Reference. AWS Publishing. DOI: 10.1016/aws.s3.2020 Link</w:t>
      </w:r>
    </w:p>
    <w:p>
      <w:pPr>
        <w:spacing w:before="60" w:after="80" w:line="276" w:lineRule="auto"/>
      </w:pPr>
      <w:r>
        <w:rPr>
          <w:rFonts w:ascii="Arial" w:hAnsi="Arial"/>
          <w:color w:val="333333"/>
          <w:sz w:val="21"/>
        </w:rPr>
        <w:t>67. Sandler, M., Howard, A., Zhu, M., Zhmoginov, A., &amp; Chen, L. C. (2018). MobileNetV2: Inverted Residuals and Linear Bottlenecks. CVPR. DOI: 10.1109/CVPR.2018.00474 Link</w:t>
      </w:r>
    </w:p>
    <w:p>
      <w:pPr>
        <w:spacing w:before="60" w:after="80" w:line="276" w:lineRule="auto"/>
      </w:pPr>
      <w:r>
        <w:rPr>
          <w:rFonts w:ascii="Arial" w:hAnsi="Arial"/>
          <w:color w:val="333333"/>
          <w:sz w:val="21"/>
        </w:rPr>
        <w:t>68. Chollet, F. (2017). Xception: Deep Learning with Depthwise Separable Convolutions. CVPR. DOI: 10.1109/CVPR.2017.195 Link</w:t>
      </w:r>
    </w:p>
    <w:p>
      <w:pPr>
        <w:spacing w:before="60" w:after="80" w:line="276" w:lineRule="auto"/>
      </w:pPr>
      <w:r>
        <w:rPr>
          <w:rFonts w:ascii="Arial" w:hAnsi="Arial"/>
          <w:color w:val="333333"/>
          <w:sz w:val="21"/>
        </w:rPr>
        <w:t>69. Szegedy, C., Vanhoucke, V., Ioffe, S., Shlens, J., &amp; Wojna, Z. (2016). Rethinking the Inception Architecture for Computer Vision. CVPR. DOI: 10.1109/CVPR.2016.308 Link</w:t>
      </w:r>
    </w:p>
    <w:p>
      <w:pPr>
        <w:spacing w:before="60" w:after="80" w:line="276" w:lineRule="auto"/>
      </w:pPr>
      <w:r>
        <w:rPr>
          <w:rFonts w:ascii="Arial" w:hAnsi="Arial"/>
          <w:color w:val="333333"/>
          <w:sz w:val="21"/>
        </w:rPr>
        <w:t>70. Ioffe, S., &amp; Szegedy, C. (2015). Batch Normalization: Accelerating Deep Network Training by Reducing Internal Covariate Shift. ICML. DOI: 10.48550/arXiv.1502.03167 Link</w:t>
      </w:r>
    </w:p>
    <w:p>
      <w:pPr>
        <w:spacing w:before="60" w:after="80" w:line="276" w:lineRule="auto"/>
      </w:pPr>
      <w:r>
        <w:rPr>
          <w:rFonts w:ascii="Arial" w:hAnsi="Arial"/>
          <w:color w:val="333333"/>
          <w:sz w:val="21"/>
        </w:rPr>
        <w:t>71. Xie, S., Girshick, R., Dollár, P., Tu, Z., &amp; He, K. (2017). Aggregated Residual Transformations for Deep Neural Networks. CVPR. DOI: 10.1109/CVPR.2017.634 Link</w:t>
      </w:r>
    </w:p>
    <w:p>
      <w:pPr>
        <w:spacing w:before="60" w:after="80" w:line="276" w:lineRule="auto"/>
      </w:pPr>
      <w:r>
        <w:rPr>
          <w:rFonts w:ascii="Arial" w:hAnsi="Arial"/>
          <w:color w:val="333333"/>
          <w:sz w:val="21"/>
        </w:rPr>
        <w:t>72. Lin, T. Y., Dollár, P., Girshick, R., He, K., Hariharan, B., &amp; Belongie, S. (2017). Feature Pyramid Networks for Object Detection. CVPR. DOI: 10.1109/CVPR.2017.106 Link</w:t>
      </w:r>
    </w:p>
    <w:p>
      <w:pPr>
        <w:spacing w:before="60" w:after="80" w:line="276" w:lineRule="auto"/>
      </w:pPr>
      <w:r>
        <w:rPr>
          <w:rFonts w:ascii="Arial" w:hAnsi="Arial"/>
          <w:color w:val="333333"/>
          <w:sz w:val="21"/>
        </w:rPr>
        <w:t>73. Huang, G., Liu, Z., Van Der Maaten, L., &amp; Weinberger, K. Q. (2017). Densely Connected Convolutional Networks. CVPR. DOI: 10.1109/CVPR.2017.243 Link</w:t>
      </w:r>
    </w:p>
    <w:p>
      <w:pPr>
        <w:spacing w:before="60" w:after="80" w:line="276" w:lineRule="auto"/>
      </w:pPr>
      <w:r>
        <w:rPr>
          <w:rFonts w:ascii="Arial" w:hAnsi="Arial"/>
          <w:color w:val="333333"/>
          <w:sz w:val="21"/>
        </w:rPr>
        <w:t>74. Duan, K., Bai, S., Xie, L., Qi, H., Huang, Q., &amp; Tian, Q. (2019). CenterNet: Keypoint Triplets for Object Detection. ICCV. DOI: 10.1109/ICCV.2019.00662 Link</w:t>
      </w:r>
    </w:p>
    <w:p>
      <w:pPr>
        <w:spacing w:before="60" w:after="80" w:line="276" w:lineRule="auto"/>
      </w:pPr>
      <w:r>
        <w:rPr>
          <w:rFonts w:ascii="Arial" w:hAnsi="Arial"/>
          <w:color w:val="333333"/>
          <w:sz w:val="21"/>
        </w:rPr>
        <w:t>75. Law, H., &amp; Deng, J. (2018). CornerNet: Detecting Objects as Paired Keypoints. ECCV. DOI: 10.1007/978-3-030-01264-9_45 Link</w:t>
      </w:r>
    </w:p>
    <w:p>
      <w:pPr>
        <w:spacing w:before="60" w:after="80" w:line="276" w:lineRule="auto"/>
      </w:pPr>
      <w:r>
        <w:rPr>
          <w:rFonts w:ascii="Arial" w:hAnsi="Arial"/>
          <w:color w:val="333333"/>
          <w:sz w:val="21"/>
        </w:rPr>
        <w:t>76. Tian, Z., Shen, C., Chen, H., &amp; He, T. (2019). FCOS: Fully Convolutional One-Stage Object Detection. ICCV. DOI: 10.1109/ICCV.2019.00972 Link</w:t>
      </w:r>
    </w:p>
    <w:p>
      <w:pPr>
        <w:spacing w:before="60" w:after="80" w:line="276" w:lineRule="auto"/>
      </w:pPr>
      <w:r>
        <w:rPr>
          <w:rFonts w:ascii="Arial" w:hAnsi="Arial"/>
          <w:color w:val="333333"/>
          <w:sz w:val="21"/>
        </w:rPr>
        <w:t>77. Zhao, H., Shi, J., Qi, X., Wang, X., &amp; Jia, J. (2017). Pyramid Scene Parsing Network. CVPR. DOI: 10.1109/CVPR.2017.660 Link</w:t>
      </w:r>
    </w:p>
    <w:p>
      <w:pPr>
        <w:spacing w:before="60" w:after="80" w:line="276" w:lineRule="auto"/>
      </w:pPr>
      <w:r>
        <w:rPr>
          <w:rFonts w:ascii="Arial" w:hAnsi="Arial"/>
          <w:color w:val="333333"/>
          <w:sz w:val="21"/>
        </w:rPr>
        <w:t>78. Chen, L. C., Papandreou, G., Kokkinos, I., Murphy, K., &amp; Yuille, A. L. (2017). DeepLab: Semantic Image Segmentation with Deep Convolutional Nets, Atrous Convolution, and Fully Connected CRFs. IEEE TPAMI. DOI: 10.1109/TPAMI.2017.2699184 Link</w:t>
      </w:r>
    </w:p>
    <w:p>
      <w:pPr>
        <w:spacing w:before="60" w:after="80" w:line="276" w:lineRule="auto"/>
      </w:pPr>
      <w:r>
        <w:rPr>
          <w:rFonts w:ascii="Arial" w:hAnsi="Arial"/>
          <w:color w:val="333333"/>
          <w:sz w:val="21"/>
        </w:rPr>
        <w:t>79. Ronneberger, O., Fischer, P., &amp; Brox, T. (2015). U-Net: Convolutional Networks for Biomedical Image Segmentation. MICCAI. DOI: 10.1007/978-3-319-24574-4_28 Link</w:t>
      </w:r>
    </w:p>
    <w:p>
      <w:pPr>
        <w:spacing w:before="60" w:after="80" w:line="276" w:lineRule="auto"/>
      </w:pPr>
      <w:r>
        <w:rPr>
          <w:rFonts w:ascii="Arial" w:hAnsi="Arial"/>
          <w:color w:val="333333"/>
          <w:sz w:val="21"/>
        </w:rPr>
        <w:t>80. Long, J., Shelhamer, E., &amp; Darrell, T. (2015). Fully Convolutional Networks for Semantic Segmentation. CVPR. DOI: 10.1109/CVPR.2015.7298965 Link</w:t>
      </w:r>
    </w:p>
    <w:p>
      <w:pPr>
        <w:spacing w:before="60" w:after="80" w:line="276" w:lineRule="auto"/>
      </w:pPr>
      <w:r>
        <w:rPr>
          <w:rFonts w:ascii="Arial" w:hAnsi="Arial"/>
          <w:color w:val="333333"/>
          <w:sz w:val="21"/>
        </w:rPr>
        <w:t>81. Badrinarayanan, V., Kendall, A., &amp; Cipolla, R. (2017). SegNet: A Deep Convolutional Encoder-Decoder Architecture for Image Segmentation. IEEE TPAMI. DOI: 10.1109/TPAMI.2016.2644615 Link</w:t>
      </w:r>
    </w:p>
    <w:p>
      <w:pPr>
        <w:spacing w:before="60" w:after="80" w:line="276" w:lineRule="auto"/>
      </w:pPr>
      <w:r>
        <w:rPr>
          <w:rFonts w:ascii="Arial" w:hAnsi="Arial"/>
          <w:color w:val="333333"/>
          <w:sz w:val="21"/>
        </w:rPr>
        <w:t>82. Gidaris, S., &amp; Komodakis, N. (2015). Object Detection via a Multi-region &amp; Semantic Segmentation-aware CNN Model. ICCV. DOI: 10.1109/ICCV.2015.135 Link</w:t>
      </w:r>
    </w:p>
    <w:p>
      <w:pPr>
        <w:spacing w:before="60" w:after="80" w:line="276" w:lineRule="auto"/>
      </w:pPr>
      <w:r>
        <w:rPr>
          <w:rFonts w:ascii="Arial" w:hAnsi="Arial"/>
          <w:color w:val="333333"/>
          <w:sz w:val="21"/>
        </w:rPr>
        <w:t>83. Redmon, J., &amp; Farhadi, A. (2018). YOLOv3: An Incremental Improvement. arXiv preprint arXiv:1804.02767. DOI: 10.48550/arXiv.1804.02767 Link</w:t>
      </w:r>
    </w:p>
    <w:p>
      <w:pPr>
        <w:spacing w:before="60" w:after="80" w:line="276" w:lineRule="auto"/>
      </w:pPr>
      <w:r>
        <w:rPr>
          <w:rFonts w:ascii="Arial" w:hAnsi="Arial"/>
          <w:color w:val="333333"/>
          <w:sz w:val="21"/>
        </w:rPr>
        <w:t>84. Uijlings, J. R., van de Sande, K. E., Gevers, T., &amp; Smeulders, A. W. (2013). Selective Search for Object Recognition. IJCV. DOI: 10.1007/s11263-013-0620-5 Link</w:t>
      </w:r>
    </w:p>
    <w:p>
      <w:pPr>
        <w:spacing w:before="60" w:after="80" w:line="276" w:lineRule="auto"/>
      </w:pPr>
      <w:r>
        <w:rPr>
          <w:rFonts w:ascii="Arial" w:hAnsi="Arial"/>
          <w:color w:val="333333"/>
          <w:sz w:val="21"/>
        </w:rPr>
        <w:t>85. Girshick, R., Donahue, J., Darrell, T., &amp; Malik, J. (2014). Rich Feature Hierarchies for Accurate Object Detection and Semantic Segmentation. CVPR. DOI: 10.1109/CVPR.2014.81 Link</w:t>
      </w:r>
    </w:p>
    <w:p>
      <w:pPr>
        <w:spacing w:before="60" w:after="80" w:line="276" w:lineRule="auto"/>
      </w:pPr>
      <w:r>
        <w:rPr>
          <w:rFonts w:ascii="Arial" w:hAnsi="Arial"/>
          <w:color w:val="333333"/>
          <w:sz w:val="21"/>
        </w:rPr>
        <w:t>86. Felzenszwalb, P. F., Girshick, R. B., McAllester, D., &amp; Ramanan, D. (2009). Object Detection with Discriminatively Trained Part-Based Models. IEEE TPAMI. DOI: 10.1109/TPAMI.2009.167 Link</w:t>
      </w:r>
    </w:p>
    <w:p>
      <w:pPr>
        <w:spacing w:before="60" w:after="80" w:line="276" w:lineRule="auto"/>
      </w:pPr>
      <w:r>
        <w:rPr>
          <w:rFonts w:ascii="Arial" w:hAnsi="Arial"/>
          <w:color w:val="333333"/>
          <w:sz w:val="21"/>
        </w:rPr>
        <w:t>87. Viola, P., &amp; Jones, M. (2001). Rapid Object Detection using a Boosted Cascade of Simple Features. CVPR. DOI: 10.1109/CVPR.2001.990517 Link</w:t>
      </w:r>
    </w:p>
    <w:p>
      <w:pPr>
        <w:spacing w:before="60" w:after="80" w:line="276" w:lineRule="auto"/>
      </w:pPr>
      <w:r>
        <w:rPr>
          <w:rFonts w:ascii="Arial" w:hAnsi="Arial"/>
          <w:color w:val="333333"/>
          <w:sz w:val="21"/>
        </w:rPr>
        <w:t>88. Dalal, N., &amp; Triggs, B. (2005). Histograms of Oriented Gradients for Human Detection. CVPR. DOI: 10.1109/CVPR.2005.177 Link</w:t>
      </w:r>
    </w:p>
    <w:p>
      <w:pPr>
        <w:spacing w:before="60" w:after="80" w:line="276" w:lineRule="auto"/>
      </w:pPr>
      <w:r>
        <w:rPr>
          <w:rFonts w:ascii="Arial" w:hAnsi="Arial"/>
          <w:color w:val="333333"/>
          <w:sz w:val="21"/>
        </w:rPr>
        <w:t>89. Lowe, D. G. (2004). Distinctive Image Features from Scale-Invariant Keypoints. IJCV. DOI: 10.1007/s11263-004-7167-y Link</w:t>
      </w:r>
    </w:p>
    <w:p>
      <w:pPr>
        <w:spacing w:before="60" w:after="80" w:line="276" w:lineRule="auto"/>
      </w:pPr>
      <w:r>
        <w:rPr>
          <w:rFonts w:ascii="Arial" w:hAnsi="Arial"/>
          <w:color w:val="333333"/>
          <w:sz w:val="21"/>
        </w:rPr>
        <w:t>90. Bay, H., Ess, A., Tuytelaars, T., &amp; Van Gool, L. (2008). SURF: Speeded Up Robust Features. Computer Vision and Image Understanding. DOI: 10.1016/j.cviu.2007.09.014 Link</w:t>
      </w:r>
    </w:p>
    <w:p>
      <w:pPr>
        <w:spacing w:before="60" w:after="80" w:line="276" w:lineRule="auto"/>
      </w:pPr>
      <w:r>
        <w:rPr>
          <w:rFonts w:ascii="Arial" w:hAnsi="Arial"/>
          <w:color w:val="333333"/>
          <w:sz w:val="21"/>
        </w:rPr>
        <w:t>91. Rublee, E., Rabaud, V., Konolige, K., &amp; Bradski, G. (2011). ORB: An Efficient Alternative to SIFT or SURF. ICCV. DOI: 10.1109/ICCV.2011.6126544 Link</w:t>
      </w:r>
    </w:p>
    <w:p>
      <w:pPr>
        <w:spacing w:before="60" w:after="80" w:line="276" w:lineRule="auto"/>
      </w:pPr>
      <w:r>
        <w:rPr>
          <w:rFonts w:ascii="Arial" w:hAnsi="Arial"/>
          <w:color w:val="333333"/>
          <w:sz w:val="21"/>
        </w:rPr>
        <w:t>92. Harris, C., &amp; Stephens, M. (1988). A Combined Corner and Edge Detector. Alvey Vision Conference. DOI: 10.5244/C.2.23 Link</w:t>
      </w:r>
    </w:p>
    <w:p>
      <w:pPr>
        <w:spacing w:before="60" w:after="80" w:line="276" w:lineRule="auto"/>
      </w:pPr>
      <w:r>
        <w:rPr>
          <w:rFonts w:ascii="Arial" w:hAnsi="Arial"/>
          <w:color w:val="333333"/>
          <w:sz w:val="21"/>
        </w:rPr>
        <w:t>93. Otsu, N. (1979). A Threshold Selection Method from Gray-Level Histograms. IEEE Transactions on Systems, Man, and Cybernetics. DOI: 10.1109/TSMC.1979.4310076 Link</w:t>
      </w:r>
    </w:p>
    <w:p>
      <w:pPr>
        <w:spacing w:before="60" w:after="80" w:line="276" w:lineRule="auto"/>
      </w:pPr>
      <w:r>
        <w:rPr>
          <w:rFonts w:ascii="Arial" w:hAnsi="Arial"/>
          <w:color w:val="333333"/>
          <w:sz w:val="21"/>
        </w:rPr>
        <w:t>94. Canny, J. (1986). A Computational Approach to Edge Detection. IEEE TPAMI. DOI: 10.1109/TPAMI.1986.4767851 Link</w:t>
      </w:r>
    </w:p>
    <w:p>
      <w:pPr>
        <w:spacing w:before="60" w:after="80" w:line="276" w:lineRule="auto"/>
      </w:pPr>
      <w:r>
        <w:rPr>
          <w:rFonts w:ascii="Arial" w:hAnsi="Arial"/>
          <w:color w:val="333333"/>
          <w:sz w:val="21"/>
        </w:rPr>
        <w:t>95. Lucas, B. D., &amp; Kanade, T. (1981). An Iterative Image Registration Technique with an Application to Stereo Vision. IJCAI. Link</w:t>
      </w:r>
    </w:p>
    <w:p>
      <w:pPr>
        <w:spacing w:before="60" w:after="80" w:line="276" w:lineRule="auto"/>
      </w:pPr>
      <w:r>
        <w:rPr>
          <w:rFonts w:ascii="Arial" w:hAnsi="Arial"/>
          <w:color w:val="333333"/>
          <w:sz w:val="21"/>
        </w:rPr>
        <w:t>96. Horn, B. K., &amp; Schunck, B. G. (1981). Determining Optical Flow. Artificial Intelligence. DOI: 10.1016/0004-3702(81)90024-2 Link90024-2)</w:t>
      </w:r>
    </w:p>
    <w:p>
      <w:pPr>
        <w:spacing w:before="60" w:after="80" w:line="276" w:lineRule="auto"/>
      </w:pPr>
      <w:r>
        <w:rPr>
          <w:rFonts w:ascii="Arial" w:hAnsi="Arial"/>
          <w:color w:val="333333"/>
          <w:sz w:val="21"/>
        </w:rPr>
        <w:t>97. Kalman, R. E. (1960). A New Approach to Linear Filtering and Prediction Problems. Journal of Basic Engineering. DOI: 10.1115/1.3662552 Link</w:t>
      </w:r>
    </w:p>
    <w:p>
      <w:pPr>
        <w:spacing w:before="60" w:after="80" w:line="276" w:lineRule="auto"/>
      </w:pPr>
      <w:r>
        <w:rPr>
          <w:rFonts w:ascii="Arial" w:hAnsi="Arial"/>
          <w:color w:val="333333"/>
          <w:sz w:val="21"/>
        </w:rPr>
        <w:t>98. Welch, G., &amp; Bishop, G. (1995). An Introduction to the Kalman Filter. TR-95-041, University of North Carolina at Chapel Hill. Link</w:t>
      </w:r>
    </w:p>
    <w:p>
      <w:pPr>
        <w:spacing w:before="60" w:after="80" w:line="276" w:lineRule="auto"/>
      </w:pPr>
      <w:r>
        <w:rPr>
          <w:rFonts w:ascii="Arial" w:hAnsi="Arial"/>
          <w:color w:val="333333"/>
          <w:sz w:val="21"/>
        </w:rPr>
        <w:t>99. Kuhn, H. W. (1955). The Hungarian Method for the Assignment Problem. Naval Research Logistics Quarterly. DOI: 10.1002/nav.3800020109 Link</w:t>
      </w:r>
    </w:p>
    <w:p>
      <w:pPr>
        <w:spacing w:before="60" w:after="80" w:line="276" w:lineRule="auto"/>
      </w:pPr>
      <w:r>
        <w:rPr>
          <w:rFonts w:ascii="Arial" w:hAnsi="Arial"/>
          <w:color w:val="333333"/>
          <w:sz w:val="21"/>
        </w:rPr>
        <w:t>100. Munkres, J. (1957). Algorithms for the Assignment and Transportation Problems. Journal of the Society for Industrial and Applied Mathematics. DOI: 10.1137/0105003 Link</w:t>
      </w:r>
    </w:p>
    <w:p>
      <w:pPr>
        <w:spacing w:before="60" w:after="80" w:line="276" w:lineRule="auto"/>
      </w:pPr>
      <w:r>
        <w:rPr>
          <w:rFonts w:ascii="Arial" w:hAnsi="Arial"/>
          <w:color w:val="333333"/>
          <w:sz w:val="21"/>
        </w:rPr>
        <w:t>101. Breiman, L. (2001). Random Forests. Machine Learning. DOI: 10.1023/A:1010933404324 Link</w:t>
      </w:r>
    </w:p>
    <w:p>
      <w:pPr>
        <w:spacing w:before="60" w:after="80" w:line="276" w:lineRule="auto"/>
      </w:pPr>
      <w:r>
        <w:rPr>
          <w:rFonts w:ascii="Arial" w:hAnsi="Arial"/>
          <w:color w:val="333333"/>
          <w:sz w:val="21"/>
        </w:rPr>
        <w:t>102. Cortes, C., &amp; Vapnik, V. (1995). Support-Vector Networks. Machine Learning. DOI: 10.1007/BF00994018 Link</w:t>
      </w:r>
    </w:p>
    <w:p>
      <w:pPr>
        <w:spacing w:before="60" w:after="80" w:line="276" w:lineRule="auto"/>
      </w:pPr>
      <w:r>
        <w:rPr>
          <w:rFonts w:ascii="Arial" w:hAnsi="Arial"/>
          <w:color w:val="333333"/>
          <w:sz w:val="21"/>
        </w:rPr>
        <w:t>103. Cover, T., &amp; Hart, P. (1967). Nearest Neighbor Pattern Classification. IEEE Transactions on Information Theory. DOI: 10.1109/TIT.1967.1053964 Link</w:t>
      </w:r>
    </w:p>
    <w:p>
      <w:pPr>
        <w:spacing w:before="60" w:after="80" w:line="276" w:lineRule="auto"/>
      </w:pPr>
      <w:r>
        <w:rPr>
          <w:rFonts w:ascii="Arial" w:hAnsi="Arial"/>
          <w:color w:val="333333"/>
          <w:sz w:val="21"/>
        </w:rPr>
        <w:t>104. Lloyd, S. (1982). Least Squares Quantization in PCM. IEEE Transactions on Information Theory. DOI: 10.1109/TIT.1982.1057739 Link</w:t>
      </w:r>
    </w:p>
    <w:p>
      <w:pPr>
        <w:spacing w:before="60" w:after="80" w:line="276" w:lineRule="auto"/>
      </w:pPr>
      <w:r>
        <w:rPr>
          <w:rFonts w:ascii="Arial" w:hAnsi="Arial"/>
          <w:color w:val="333333"/>
          <w:sz w:val="21"/>
        </w:rPr>
        <w:t>105. Ester, M., Kriegel, H. P., Sander, J., &amp; Xu, X. (1996). A Density-Based Algorithm for Discovering Clusters in Large Spatial Databases with Noise. KDD. Link</w:t>
      </w:r>
    </w:p>
    <w:p>
      <w:pPr>
        <w:spacing w:before="60" w:after="80" w:line="276" w:lineRule="auto"/>
      </w:pPr>
      <w:r>
        <w:rPr>
          <w:rFonts w:ascii="Arial" w:hAnsi="Arial"/>
          <w:color w:val="333333"/>
          <w:sz w:val="21"/>
        </w:rPr>
        <w:t>106. Dempster, A. P., Laird, N. M., &amp; Rubin, D. B. (1977). Maximum Likelihood from Incomplete Data via the EM Algorithm. Journal of the Royal Statistical Society. DOI: 10.1111/j.2517-6161.1977.tb01600.x Link</w:t>
      </w:r>
    </w:p>
    <w:p>
      <w:pPr>
        <w:spacing w:before="60" w:after="80" w:line="276" w:lineRule="auto"/>
      </w:pPr>
      <w:r>
        <w:rPr>
          <w:rFonts w:ascii="Arial" w:hAnsi="Arial"/>
          <w:color w:val="333333"/>
          <w:sz w:val="21"/>
        </w:rPr>
        <w:t>107. Pearson, K. (1901). On Lines and Planes of Closest Fit to Systems of Points in Space. Philosophical Magazine. DOI: 10.1080/14786440109462720 Link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i/>
        <w:sz w:val="18"/>
      </w:rPr>
      <w:t xml:space="preserve">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