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-271144</wp:posOffset>
            </wp:positionH>
            <wp:positionV relativeFrom="paragraph">
              <wp:posOffset>-6349</wp:posOffset>
            </wp:positionV>
            <wp:extent cx="5940425" cy="8637270"/>
            <wp:effectExtent b="0" l="0" r="0" t="0"/>
            <wp:wrapSquare wrapText="bothSides" distB="0" distT="0" distL="114300" distR="1143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7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firstLine="902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90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902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Описание диаграммы с помощью 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90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9.0" w:type="dxa"/>
        <w:jc w:val="left"/>
        <w:tblInd w:w="-120.0" w:type="dxa"/>
        <w:tblLayout w:type="fixed"/>
        <w:tblLook w:val="0000"/>
      </w:tblPr>
      <w:tblGrid>
        <w:gridCol w:w="9439"/>
        <w:tblGridChange w:id="0">
          <w:tblGrid>
            <w:gridCol w:w="9439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Название процесса: Взаимодействие с Шахматной Федерацией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Краткое описание: описывает действия, которые выполняются с Федерацией шахмат при проведении шахматного турнира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Главные актеры: Шахматная Федерация, главный судья, организатор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Перед обращением в Шахматную Федерацию планируется организация турнира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Перед тем, как сообщить результаты проведения турнира их нужно получить, а, следовательно, соревнование должно завершиться</w:t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Шахматная Федерация при получении заявки на проведение турнира просматривает её, выполняет действия, связанные с документацией, а потом официально «одобряет» турнир;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Главный судья сообщает результаты в организацию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Если вариант использования завершится успешно, то шахматный турнир будет проведен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ID: 2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Краткое описание: проведение шахматного турнира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Главные актеры: участник, организатор, главный судья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Второстепенные актеры: Шахматная Федерация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Начинает выполняться, после согласования с Шахматной Федерацией;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Подача заявки участником осуществляется после выбора турнира;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Награждение происходит только после того, как все туры сыграны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Организатор находит место, нанимает работников и решает другие вопросы для проведения турниры;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Участник подает заявку на участие, в которой указывает все необходимые данные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Начинается соревнование. Оно включает в себя проведение туров и награждение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Проведение туров включает в себя 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жеребьевку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, сами партии между участниками и решение конфликтных ситуаций, которые могут возникать в них, а также контроль результатов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После этого начинается 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торжественная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часть – награждение.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Завершение успешно – турнир был проведен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Д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иаграммы последовательности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Диаграмма для ID:1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81376" cy="3915307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376" cy="3915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Диаграмма для ID:2</w:t>
      </w:r>
    </w:p>
    <w:p w:rsidR="00000000" w:rsidDel="00000000" w:rsidP="00000000" w:rsidRDefault="00000000" w:rsidRPr="00000000" w14:paraId="0000003F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150864" cy="7302353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0864" cy="7302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43">
      <w:pPr>
        <w:rPr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36"/>
          <w:szCs w:val="36"/>
        </w:rPr>
        <w:drawing>
          <wp:inline distB="0" distT="0" distL="0" distR="0">
            <wp:extent cx="5940425" cy="757999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F2A8C"/>
    <w:pPr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pafterli" w:customStyle="1">
    <w:name w:val="p_after_li"/>
    <w:basedOn w:val="a"/>
    <w:rsid w:val="00AF2A8C"/>
    <w:pPr>
      <w:spacing w:after="280" w:before="75"/>
    </w:pPr>
  </w:style>
  <w:style w:type="paragraph" w:styleId="a3">
    <w:name w:val="List Paragraph"/>
    <w:basedOn w:val="a"/>
    <w:uiPriority w:val="34"/>
    <w:qFormat w:val="1"/>
    <w:rsid w:val="00AF2A8C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AF2A8C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AF2A8C"/>
    <w:rPr>
      <w:rFonts w:ascii="Tahoma" w:cs="Tahoma" w:eastAsia="Times New Roman" w:hAnsi="Tahoma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bxEwchyv7vTH9HMF6/8kVtuS5Q==">CgMxLjAyCGguZ2pkZ3hzOAByITFFWXhNcU9UV2g4aUJBOUVUSmgyMHNxYmE4TUc1SUJCSQ==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2023-09-27T16:39:00Z</dcterms:created>
  <dc:creator>Игорь</dc:creator>
</cp:coreProperties>
</file>