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Evidences: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कृषि अनुदान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>के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केमा पाइन्छ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कहाँबाट कसरी लिने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?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https://shilapatra.com/detail/34654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caps w:val="false"/>
          <w:smallCaps w:val="false"/>
          <w:color w:val="222222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222222"/>
          <w:spacing w:val="0"/>
        </w:rPr>
        <w:t>‘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>कृषि अनुदान पहुँच हुनेले मात्रै पाए’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https://www.setopati.com/kinmel/agriculture/177563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ilapatra.com/detail/3465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etopati.com/kinmel/agriculture/177563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19</Words>
  <Characters>138</Characters>
  <CharactersWithSpaces>154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2021-06-20T15:08:13Z</dcterms:created>
  <dc:creator/>
  <dc:description/>
  <dc:language>en-US</dc:language>
  <cp:lastModifiedBy/>
  <dcterms:modified xsi:type="dcterms:W3CDTF">2021-06-20T15:12:25Z</dcterms:modified>
  <cp:revision>1</cp:revision>
  <dc:subject/>
  <dc:title/>
</cp:coreProperties>
</file>