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100" w:after="100"/>
        <w:rPr>
          <w:b/>
          <w:sz w:val="20"/>
          <w:u w:val="single"/>
        </w:rPr>
      </w:pPr>
      <w:r>
        <w:rPr>
          <w:b/>
          <w:sz w:val="20"/>
          <w:u w:val="single"/>
        </w:rPr>
      </w:r>
    </w:p>
    <w:p>
      <w:pPr>
        <w:pStyle w:val="NormalWeb"/>
        <w:jc w:val="center"/>
        <w:rPr/>
      </w:pPr>
      <w:r>
        <w:rPr/>
        <w:drawing>
          <wp:inline distT="0" distB="0" distL="0" distR="0">
            <wp:extent cx="2858135" cy="6089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3" t="-59" r="-13" b="-59"/>
                    <a:stretch>
                      <a:fillRect/>
                    </a:stretch>
                  </pic:blipFill>
                  <pic:spPr bwMode="auto">
                    <a:xfrm>
                      <a:off x="0" y="0"/>
                      <a:ext cx="2858135" cy="608965"/>
                    </a:xfrm>
                    <a:prstGeom prst="rect">
                      <a:avLst/>
                    </a:prstGeom>
                    <a:noFill/>
                  </pic:spPr>
                </pic:pic>
              </a:graphicData>
            </a:graphic>
          </wp:inline>
        </w:drawing>
      </w:r>
    </w:p>
    <w:p>
      <w:pPr>
        <w:pStyle w:val="NormalWeb"/>
        <w:jc w:val="center"/>
        <w:rPr>
          <w:smallCaps/>
          <w:color w:val="000000"/>
          <w:sz w:val="28"/>
          <w:szCs w:val="28"/>
        </w:rPr>
      </w:pPr>
      <w:r>
        <w:rPr>
          <w:smallCaps/>
          <w:color w:val="000000"/>
          <w:sz w:val="28"/>
          <w:szCs w:val="28"/>
        </w:rPr>
        <w:t>Service Level Agreement (“SLA”) for Internet Leased Line Services</w:t>
      </w:r>
    </w:p>
    <w:tbl>
      <w:tblPr>
        <w:tblW w:w="8738" w:type="dxa"/>
        <w:jc w:val="start"/>
        <w:tblInd w:w="108" w:type="dxa"/>
        <w:tblLayout w:type="fixed"/>
        <w:tblCellMar>
          <w:top w:w="0" w:type="dxa"/>
          <w:start w:w="108" w:type="dxa"/>
          <w:bottom w:w="0" w:type="dxa"/>
          <w:end w:w="108" w:type="dxa"/>
        </w:tblCellMar>
      </w:tblPr>
      <w:tblGrid>
        <w:gridCol w:w="8738"/>
      </w:tblGrid>
      <w:tr>
        <w:trPr>
          <w:trHeight w:val="6719" w:hRule="atLeast"/>
          <w:cantSplit/>
        </w:trPr>
        <w:tc>
          <w:tcPr>
            <w:tcW w:w="8738" w:type="dxa"/>
            <w:tcBorders>
              <w:top w:val="single" w:sz="4" w:space="0" w:color="000000"/>
              <w:start w:val="single" w:sz="4" w:space="0" w:color="000000"/>
              <w:bottom w:val="single" w:sz="4" w:space="0" w:color="000000"/>
              <w:end w:val="single" w:sz="4" w:space="0" w:color="000000"/>
            </w:tcBorders>
          </w:tcPr>
          <w:p>
            <w:pPr>
              <w:pStyle w:val="Normal"/>
              <w:snapToGrid w:val="false"/>
              <w:rPr>
                <w:color w:val="000000"/>
                <w:sz w:val="18"/>
                <w:szCs w:val="18"/>
              </w:rPr>
            </w:pPr>
            <w:r>
              <w:rPr>
                <w:color w:val="000000"/>
                <w:sz w:val="18"/>
                <w:szCs w:val="18"/>
              </w:rPr>
            </w:r>
          </w:p>
          <w:p>
            <w:pPr>
              <w:pStyle w:val="Normal"/>
              <w:snapToGrid w:val="false"/>
              <w:rPr>
                <w:color w:val="000000"/>
                <w:sz w:val="18"/>
                <w:szCs w:val="18"/>
              </w:rPr>
            </w:pPr>
            <w:r>
              <w:rPr>
                <w:color w:val="000000"/>
                <w:sz w:val="18"/>
                <w:szCs w:val="18"/>
              </w:rPr>
              <w:t xml:space="preserve">Effective Date:                                                 {Effective Date}</w:t>
            </w:r>
          </w:p>
          <w:p>
            <w:pPr>
              <w:pStyle w:val="Normal"/>
              <w:snapToGrid w:val="false"/>
              <w:rPr>
                <w:color w:val="000000"/>
                <w:sz w:val="18"/>
                <w:szCs w:val="18"/>
              </w:rPr>
            </w:pPr>
            <w:r>
              <w:rPr>
                <w:color w:val="000000"/>
                <w:sz w:val="18"/>
                <w:szCs w:val="18"/>
              </w:rPr>
              <w:t xml:space="preserve">Customer Name:                                                  {Customer Name}</w:t>
            </w:r>
          </w:p>
          <w:p>
            <w:pPr>
              <w:pStyle w:val="Normal"/>
              <w:snapToGrid w:val="false"/>
              <w:rPr>
                <w:color w:val="000000"/>
                <w:sz w:val="18"/>
                <w:szCs w:val="18"/>
              </w:rPr>
            </w:pPr>
            <w:r>
              <w:rPr>
                <w:color w:val="000000"/>
                <w:sz w:val="18"/>
                <w:szCs w:val="18"/>
              </w:rPr>
              <w:t xml:space="preserve">CAF No     :                                                    {CAF No}</w:t>
            </w:r>
          </w:p>
          <w:p>
            <w:pPr>
              <w:pStyle w:val="Heading1"/>
              <w:numPr>
                <w:ilvl w:val="0"/>
                <w:numId w:val="2"/>
              </w:numPr>
              <w:suppressAutoHyphens w:val="true"/>
              <w:spacing w:before="0" w:after="0"/>
              <w:rPr>
                <w:rFonts w:ascii="Times New Roman" w:hAnsi="Times New Roman" w:cs="Times New Roman"/>
                <w:b w:val="false"/>
                <w:color w:val="000000"/>
                <w:kern w:val="0"/>
                <w:sz w:val="18"/>
                <w:szCs w:val="18"/>
              </w:rPr>
            </w:pPr>
            <w:r>
              <w:rPr>
                <w:rFonts w:cs="Times New Roman" w:ascii="Times New Roman" w:hAnsi="Times New Roman"/>
                <w:b w:val="false"/>
                <w:color w:val="000000"/>
                <w:kern w:val="0"/>
                <w:sz w:val="18"/>
                <w:szCs w:val="18"/>
              </w:rPr>
              <w:t>SLA Measurement Period   :                                      5 Year</w:t>
            </w:r>
          </w:p>
          <w:p>
            <w:pPr>
              <w:pStyle w:val="Heading1"/>
              <w:numPr>
                <w:ilvl w:val="0"/>
                <w:numId w:val="2"/>
              </w:numPr>
              <w:suppressAutoHyphens w:val="true"/>
              <w:spacing w:before="0" w:after="0"/>
              <w:rPr>
                <w:rFonts w:ascii="Times New Roman" w:hAnsi="Times New Roman" w:cs="Times New Roman"/>
                <w:b w:val="false"/>
                <w:color w:val="000000"/>
                <w:kern w:val="0"/>
                <w:sz w:val="18"/>
                <w:szCs w:val="18"/>
              </w:rPr>
            </w:pPr>
            <w:r>
              <w:rPr>
                <w:rFonts w:cs="Times New Roman" w:ascii="Times New Roman" w:hAnsi="Times New Roman"/>
                <w:b w:val="false"/>
                <w:color w:val="000000"/>
                <w:kern w:val="0"/>
                <w:sz w:val="18"/>
                <w:szCs w:val="18"/>
              </w:rPr>
              <w:t xml:space="preserve">SLA Type                                                                   </w:t>
            </w:r>
            <w:r>
              <w:rPr>
                <w:rFonts w:cs="Times New Roman" w:ascii="Times New Roman" w:hAnsi="Times New Roman"/>
                <w:b w:val="false"/>
                <w:color w:val="000000"/>
                <w:kern w:val="0"/>
                <w:sz w:val="18"/>
                <w:szCs w:val="18"/>
              </w:rPr>
              <w:fldChar w:fldCharType="begin"/>
            </w:r>
            <w:r>
              <w:rPr>
                <w:rFonts w:cs="Times New Roman" w:ascii="Times New Roman" w:hAnsi="Times New Roman"/>
                <w:b w:val="false"/>
                <w:color w:val="000000"/>
                <w:kern w:val="0"/>
                <w:sz w:val="18"/>
                <w:szCs w:val="18"/>
              </w:rPr>
              <w:instrText xml:space="preserve"> FILLIN ""</w:instrText>
            </w:r>
            <w:r>
              <w:rPr>
                <w:rFonts w:cs="Times New Roman" w:ascii="Times New Roman" w:hAnsi="Times New Roman"/>
                <w:b w:val="false"/>
                <w:color w:val="000000"/>
                <w:kern w:val="0"/>
                <w:sz w:val="18"/>
                <w:szCs w:val="18"/>
              </w:rPr>
              <w:fldChar w:fldCharType="separate"/>
            </w:r>
            <w:r>
              <w:rPr>
                <w:rFonts w:cs="Times New Roman" w:ascii="Times New Roman" w:hAnsi="Times New Roman"/>
                <w:b w:val="false"/>
                <w:color w:val="000000"/>
                <w:kern w:val="0"/>
                <w:sz w:val="18"/>
                <w:szCs w:val="18"/>
              </w:rPr>
              <w:t>[Premium]</w:t>
            </w:r>
            <w:r>
              <w:rPr>
                <w:rFonts w:cs="Times New Roman" w:ascii="Times New Roman" w:hAnsi="Times New Roman"/>
                <w:b w:val="false"/>
                <w:color w:val="000000"/>
                <w:kern w:val="0"/>
                <w:sz w:val="18"/>
                <w:szCs w:val="18"/>
              </w:rPr>
              <w:fldChar w:fldCharType="end"/>
            </w:r>
          </w:p>
          <w:p>
            <w:pPr>
              <w:pStyle w:val="Heading7"/>
              <w:keepNext w:val="true"/>
              <w:numPr>
                <w:ilvl w:val="6"/>
                <w:numId w:val="2"/>
              </w:numPr>
              <w:suppressAutoHyphens w:val="true"/>
              <w:spacing w:before="0" w:after="0"/>
              <w:ind w:firstLine="180" w:start="-360" w:end="0"/>
              <w:rPr>
                <w:rFonts w:ascii="Times New Roman" w:hAnsi="Times New Roman" w:cs="Times New Roman"/>
                <w:color w:val="000000"/>
                <w:sz w:val="18"/>
                <w:szCs w:val="18"/>
              </w:rPr>
            </w:pPr>
            <w:r>
              <w:rPr>
                <w:rFonts w:cs="Times New Roman" w:ascii="Times New Roman" w:hAnsi="Times New Roman"/>
                <w:color w:val="000000"/>
                <w:sz w:val="18"/>
                <w:szCs w:val="18"/>
              </w:rPr>
              <w:t xml:space="preserve">    </w:t>
            </w:r>
            <w:r>
              <w:rPr>
                <w:rFonts w:cs="Times New Roman" w:ascii="Times New Roman" w:hAnsi="Times New Roman"/>
                <w:color w:val="000000"/>
                <w:sz w:val="18"/>
                <w:szCs w:val="18"/>
              </w:rPr>
              <w:t xml:space="preserve">Service Availability Assurance Percentage                </w:t>
            </w:r>
            <w:r>
              <w:rPr>
                <w:rFonts w:cs="Times New Roman" w:ascii="Times New Roman" w:hAnsi="Times New Roman"/>
                <w:color w:val="000000"/>
                <w:sz w:val="18"/>
                <w:szCs w:val="18"/>
              </w:rPr>
              <w:fldChar w:fldCharType="begin"/>
            </w:r>
            <w:r>
              <w:rPr>
                <w:rFonts w:cs="Times New Roman" w:ascii="Times New Roman" w:hAnsi="Times New Roman"/>
                <w:color w:val="000000"/>
                <w:sz w:val="18"/>
                <w:szCs w:val="18"/>
              </w:rPr>
              <w:instrText xml:space="preserve"> FILLIN ""</w:instrText>
            </w:r>
            <w:r>
              <w:rPr>
                <w:rFonts w:cs="Times New Roman" w:ascii="Times New Roman" w:hAnsi="Times New Roman"/>
                <w:color w:val="000000"/>
                <w:sz w:val="18"/>
                <w:szCs w:val="18"/>
              </w:rPr>
              <w:fldChar w:fldCharType="separate"/>
            </w:r>
            <w:r>
              <w:rPr>
                <w:rFonts w:cs="Times New Roman" w:ascii="Times New Roman" w:hAnsi="Times New Roman"/>
                <w:color w:val="000000"/>
                <w:sz w:val="18"/>
                <w:szCs w:val="18"/>
              </w:rPr>
              <w:t>[99.5%]</w:t>
            </w:r>
            <w:r>
              <w:rPr>
                <w:rFonts w:cs="Times New Roman" w:ascii="Times New Roman" w:hAnsi="Times New Roman"/>
                <w:color w:val="000000"/>
                <w:sz w:val="18"/>
                <w:szCs w:val="18"/>
              </w:rPr>
              <w:fldChar w:fldCharType="end"/>
            </w:r>
          </w:p>
          <w:p>
            <w:pPr>
              <w:pStyle w:val="Normal"/>
              <w:snapToGrid w:val="false"/>
              <w:rPr>
                <w:color w:val="000000"/>
                <w:sz w:val="18"/>
                <w:szCs w:val="18"/>
              </w:rPr>
            </w:pPr>
            <w:r>
              <w:rPr>
                <w:color w:val="000000"/>
                <w:sz w:val="18"/>
                <w:szCs w:val="18"/>
              </w:rPr>
              <w:t xml:space="preserve">MTTR                                                                         </w:t>
            </w:r>
            <w:r>
              <w:rPr>
                <w:color w:val="000000"/>
                <w:sz w:val="18"/>
                <w:szCs w:val="18"/>
              </w:rPr>
              <w:fldChar w:fldCharType="begin"/>
            </w:r>
            <w:r>
              <w:rPr>
                <w:color w:val="000000"/>
                <w:sz w:val="18"/>
                <w:szCs w:val="18"/>
              </w:rPr>
              <w:instrText xml:space="preserve"> FILLIN ""</w:instrText>
            </w:r>
            <w:r>
              <w:rPr>
                <w:color w:val="000000"/>
                <w:sz w:val="18"/>
                <w:szCs w:val="18"/>
              </w:rPr>
              <w:fldChar w:fldCharType="separate"/>
            </w:r>
            <w:r>
              <w:rPr>
                <w:color w:val="000000"/>
                <w:sz w:val="18"/>
                <w:szCs w:val="18"/>
              </w:rPr>
              <w:t>[4 Hrs.]</w:t>
            </w:r>
            <w:r>
              <w:rPr>
                <w:color w:val="000000"/>
                <w:sz w:val="18"/>
                <w:szCs w:val="18"/>
              </w:rPr>
              <w:fldChar w:fldCharType="end"/>
            </w:r>
          </w:p>
          <w:p>
            <w:pPr>
              <w:pStyle w:val="Normal"/>
              <w:snapToGrid w:val="false"/>
              <w:rPr>
                <w:color w:val="000000"/>
                <w:sz w:val="18"/>
                <w:szCs w:val="18"/>
              </w:rPr>
            </w:pPr>
            <w:r>
              <w:rPr>
                <w:color w:val="000000"/>
                <w:sz w:val="18"/>
                <w:szCs w:val="18"/>
              </w:rPr>
            </w:r>
          </w:p>
          <w:p>
            <w:pPr>
              <w:pStyle w:val="Normal"/>
              <w:snapToGrid w:val="false"/>
              <w:rPr/>
            </w:pPr>
            <w:r>
              <w:rPr/>
              <w:t>LATENCY MATRIX – Standard SLA Customers</w:t>
            </w:r>
          </w:p>
          <w:tbl>
            <w:tblPr>
              <w:tblW w:w="7977" w:type="dxa"/>
              <w:jc w:val="start"/>
              <w:tblInd w:w="1" w:type="dxa"/>
              <w:tblLayout w:type="fixed"/>
              <w:tblCellMar>
                <w:top w:w="0" w:type="dxa"/>
                <w:start w:w="108" w:type="dxa"/>
                <w:bottom w:w="0" w:type="dxa"/>
                <w:end w:w="108" w:type="dxa"/>
              </w:tblCellMar>
            </w:tblPr>
            <w:tblGrid>
              <w:gridCol w:w="2795"/>
              <w:gridCol w:w="3016"/>
              <w:gridCol w:w="2166"/>
            </w:tblGrid>
            <w:tr>
              <w:trPr>
                <w:trHeight w:val="221" w:hRule="atLeast"/>
              </w:trPr>
              <w:tc>
                <w:tcPr>
                  <w:tcW w:w="2795" w:type="dxa"/>
                  <w:tcBorders>
                    <w:top w:val="single" w:sz="4" w:space="0" w:color="000000"/>
                    <w:start w:val="single" w:sz="4" w:space="0" w:color="000000"/>
                    <w:bottom w:val="single" w:sz="4" w:space="0" w:color="000000"/>
                  </w:tcBorders>
                  <w:vAlign w:val="center"/>
                </w:tcPr>
                <w:p>
                  <w:pPr>
                    <w:pStyle w:val="Heading6"/>
                    <w:keepNext w:val="true"/>
                    <w:numPr>
                      <w:ilvl w:val="5"/>
                      <w:numId w:val="2"/>
                    </w:numPr>
                    <w:tabs>
                      <w:tab w:val="clear" w:pos="720"/>
                      <w:tab w:val="left" w:pos="7020" w:leader="none"/>
                    </w:tabs>
                    <w:suppressAutoHyphens w:val="true"/>
                    <w:snapToGrid w:val="false"/>
                    <w:spacing w:before="0" w:after="0"/>
                    <w:jc w:val="center"/>
                    <w:rPr>
                      <w:sz w:val="18"/>
                      <w:szCs w:val="18"/>
                    </w:rPr>
                  </w:pPr>
                  <w:r>
                    <w:rPr>
                      <w:sz w:val="18"/>
                      <w:szCs w:val="18"/>
                    </w:rPr>
                    <w:t>IP POP Locations</w:t>
                  </w:r>
                </w:p>
              </w:tc>
              <w:tc>
                <w:tcPr>
                  <w:tcW w:w="3016" w:type="dxa"/>
                  <w:tcBorders>
                    <w:top w:val="single" w:sz="4" w:space="0" w:color="000000"/>
                    <w:start w:val="single" w:sz="4" w:space="0" w:color="000000"/>
                    <w:bottom w:val="single" w:sz="4" w:space="0" w:color="000000"/>
                  </w:tcBorders>
                  <w:vAlign w:val="center"/>
                </w:tcPr>
                <w:p>
                  <w:pPr>
                    <w:pStyle w:val="Normal"/>
                    <w:snapToGrid w:val="false"/>
                    <w:jc w:val="center"/>
                    <w:rPr>
                      <w:b/>
                      <w:bCs/>
                      <w:sz w:val="18"/>
                      <w:szCs w:val="18"/>
                    </w:rPr>
                  </w:pPr>
                  <w:r>
                    <w:rPr>
                      <w:b/>
                      <w:bCs/>
                      <w:sz w:val="18"/>
                      <w:szCs w:val="18"/>
                    </w:rPr>
                    <w:t>Tier ‘A’ Cities</w:t>
                  </w:r>
                </w:p>
              </w:tc>
              <w:tc>
                <w:tcPr>
                  <w:tcW w:w="21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18"/>
                      <w:szCs w:val="18"/>
                    </w:rPr>
                  </w:pPr>
                  <w:r>
                    <w:rPr>
                      <w:b/>
                      <w:bCs/>
                      <w:sz w:val="18"/>
                      <w:szCs w:val="18"/>
                    </w:rPr>
                    <w:t>For Rest Of India.</w:t>
                  </w:r>
                </w:p>
              </w:tc>
            </w:tr>
            <w:tr>
              <w:trPr>
                <w:trHeight w:val="221" w:hRule="atLeast"/>
              </w:trPr>
              <w:tc>
                <w:tcPr>
                  <w:tcW w:w="2795" w:type="dxa"/>
                  <w:tcBorders>
                    <w:top w:val="single" w:sz="4" w:space="0" w:color="000000"/>
                    <w:start w:val="single" w:sz="4" w:space="0" w:color="000000"/>
                    <w:bottom w:val="single" w:sz="4" w:space="0" w:color="000000"/>
                  </w:tcBorders>
                  <w:shd w:fill="FFFF99" w:val="clear"/>
                </w:tcPr>
                <w:p>
                  <w:pPr>
                    <w:pStyle w:val="Normal"/>
                    <w:snapToGrid w:val="false"/>
                    <w:rPr>
                      <w:sz w:val="18"/>
                      <w:szCs w:val="18"/>
                    </w:rPr>
                  </w:pPr>
                  <w:r>
                    <w:rPr>
                      <w:sz w:val="18"/>
                      <w:szCs w:val="18"/>
                    </w:rPr>
                    <w:t xml:space="preserve">a. Domestic Locations </w:t>
                  </w:r>
                </w:p>
              </w:tc>
              <w:tc>
                <w:tcPr>
                  <w:tcW w:w="3016" w:type="dxa"/>
                  <w:tcBorders>
                    <w:top w:val="single" w:sz="4" w:space="0" w:color="000000"/>
                    <w:start w:val="single" w:sz="4" w:space="0" w:color="000000"/>
                    <w:bottom w:val="single" w:sz="4" w:space="0" w:color="000000"/>
                  </w:tcBorders>
                </w:tcPr>
                <w:p>
                  <w:pPr>
                    <w:pStyle w:val="Normal"/>
                    <w:snapToGrid w:val="false"/>
                    <w:jc w:val="center"/>
                    <w:rPr>
                      <w:sz w:val="18"/>
                      <w:szCs w:val="18"/>
                    </w:rPr>
                  </w:pPr>
                  <w:r>
                    <w:rPr>
                      <w:sz w:val="18"/>
                      <w:szCs w:val="18"/>
                    </w:rPr>
                    <w:t>80 ms</w:t>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18"/>
                      <w:szCs w:val="18"/>
                    </w:rPr>
                  </w:pPr>
                  <w:r>
                    <w:rPr>
                      <w:sz w:val="18"/>
                      <w:szCs w:val="18"/>
                    </w:rPr>
                    <w:t>80 ms</w:t>
                  </w:r>
                </w:p>
              </w:tc>
            </w:tr>
            <w:tr>
              <w:trPr>
                <w:trHeight w:val="205" w:hRule="atLeast"/>
              </w:trPr>
              <w:tc>
                <w:tcPr>
                  <w:tcW w:w="2795" w:type="dxa"/>
                  <w:tcBorders>
                    <w:top w:val="single" w:sz="4" w:space="0" w:color="000000"/>
                    <w:start w:val="single" w:sz="4" w:space="0" w:color="000000"/>
                    <w:bottom w:val="single" w:sz="4" w:space="0" w:color="000000"/>
                  </w:tcBorders>
                  <w:shd w:fill="FFFF99" w:val="clear"/>
                </w:tcPr>
                <w:p>
                  <w:pPr>
                    <w:pStyle w:val="Normal"/>
                    <w:snapToGrid w:val="false"/>
                    <w:rPr>
                      <w:sz w:val="18"/>
                      <w:szCs w:val="18"/>
                    </w:rPr>
                  </w:pPr>
                  <w:r>
                    <w:rPr>
                      <w:sz w:val="18"/>
                      <w:szCs w:val="18"/>
                    </w:rPr>
                    <w:t>b. International Locations</w:t>
                  </w:r>
                </w:p>
              </w:tc>
              <w:tc>
                <w:tcPr>
                  <w:tcW w:w="3016" w:type="dxa"/>
                  <w:tcBorders>
                    <w:top w:val="single" w:sz="4" w:space="0" w:color="000000"/>
                    <w:start w:val="single" w:sz="4" w:space="0" w:color="000000"/>
                    <w:bottom w:val="single" w:sz="4" w:space="0" w:color="000000"/>
                  </w:tcBorders>
                </w:tcPr>
                <w:p>
                  <w:pPr>
                    <w:pStyle w:val="Normal"/>
                    <w:snapToGrid w:val="false"/>
                    <w:jc w:val="center"/>
                    <w:rPr>
                      <w:b/>
                      <w:bCs/>
                      <w:sz w:val="18"/>
                      <w:szCs w:val="18"/>
                    </w:rPr>
                  </w:pPr>
                  <w:r>
                    <w:rPr>
                      <w:b/>
                      <w:bCs/>
                      <w:sz w:val="18"/>
                      <w:szCs w:val="18"/>
                    </w:rPr>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bCs/>
                      <w:sz w:val="18"/>
                      <w:szCs w:val="18"/>
                    </w:rPr>
                  </w:pPr>
                  <w:r>
                    <w:rPr>
                      <w:b/>
                      <w:bCs/>
                      <w:sz w:val="18"/>
                      <w:szCs w:val="18"/>
                    </w:rPr>
                  </w:r>
                </w:p>
              </w:tc>
            </w:tr>
            <w:tr>
              <w:trPr>
                <w:trHeight w:val="221" w:hRule="atLeast"/>
              </w:trPr>
              <w:tc>
                <w:tcPr>
                  <w:tcW w:w="2795" w:type="dxa"/>
                  <w:tcBorders>
                    <w:top w:val="single" w:sz="4" w:space="0" w:color="000000"/>
                    <w:start w:val="single" w:sz="4" w:space="0" w:color="000000"/>
                    <w:bottom w:val="single" w:sz="4" w:space="0" w:color="000000"/>
                  </w:tcBorders>
                </w:tcPr>
                <w:p>
                  <w:pPr>
                    <w:pStyle w:val="Normal"/>
                    <w:snapToGrid w:val="false"/>
                    <w:rPr/>
                  </w:pPr>
                  <w:r>
                    <w:rPr>
                      <w:b/>
                      <w:bCs/>
                      <w:sz w:val="18"/>
                      <w:szCs w:val="18"/>
                    </w:rPr>
                    <w:t xml:space="preserve">  </w:t>
                  </w:r>
                  <w:r>
                    <w:rPr>
                      <w:sz w:val="18"/>
                      <w:szCs w:val="18"/>
                    </w:rPr>
                    <w:t>New York - USA</w:t>
                  </w:r>
                </w:p>
              </w:tc>
              <w:tc>
                <w:tcPr>
                  <w:tcW w:w="3016" w:type="dxa"/>
                  <w:tcBorders>
                    <w:top w:val="single" w:sz="4" w:space="0" w:color="000000"/>
                    <w:start w:val="single" w:sz="4" w:space="0" w:color="000000"/>
                    <w:bottom w:val="single" w:sz="4" w:space="0" w:color="000000"/>
                  </w:tcBorders>
                </w:tcPr>
                <w:p>
                  <w:pPr>
                    <w:pStyle w:val="Normal"/>
                    <w:snapToGrid w:val="false"/>
                    <w:jc w:val="center"/>
                    <w:rPr>
                      <w:sz w:val="18"/>
                      <w:szCs w:val="18"/>
                    </w:rPr>
                  </w:pPr>
                  <w:r>
                    <w:rPr>
                      <w:sz w:val="18"/>
                      <w:szCs w:val="18"/>
                    </w:rPr>
                    <w:t>270 ms</w:t>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18"/>
                      <w:szCs w:val="18"/>
                    </w:rPr>
                  </w:pPr>
                  <w:r>
                    <w:rPr>
                      <w:sz w:val="18"/>
                      <w:szCs w:val="18"/>
                    </w:rPr>
                    <w:t>300 ms</w:t>
                  </w:r>
                </w:p>
              </w:tc>
            </w:tr>
            <w:tr>
              <w:trPr>
                <w:trHeight w:val="205" w:hRule="atLeast"/>
              </w:trPr>
              <w:tc>
                <w:tcPr>
                  <w:tcW w:w="2795" w:type="dxa"/>
                  <w:tcBorders>
                    <w:top w:val="single" w:sz="4" w:space="0" w:color="000000"/>
                    <w:start w:val="single" w:sz="4" w:space="0" w:color="000000"/>
                    <w:bottom w:val="single" w:sz="4" w:space="0" w:color="000000"/>
                  </w:tcBorders>
                </w:tcPr>
                <w:p>
                  <w:pPr>
                    <w:pStyle w:val="Normal"/>
                    <w:snapToGrid w:val="false"/>
                    <w:rPr>
                      <w:sz w:val="18"/>
                      <w:szCs w:val="18"/>
                    </w:rPr>
                  </w:pPr>
                  <w:r>
                    <w:rPr>
                      <w:sz w:val="18"/>
                      <w:szCs w:val="18"/>
                    </w:rPr>
                    <w:t xml:space="preserve">  </w:t>
                  </w:r>
                  <w:r>
                    <w:rPr>
                      <w:sz w:val="18"/>
                      <w:szCs w:val="18"/>
                    </w:rPr>
                    <w:t>Los Angeles - USA</w:t>
                  </w:r>
                </w:p>
              </w:tc>
              <w:tc>
                <w:tcPr>
                  <w:tcW w:w="3016" w:type="dxa"/>
                  <w:tcBorders>
                    <w:top w:val="single" w:sz="4" w:space="0" w:color="000000"/>
                    <w:start w:val="single" w:sz="4" w:space="0" w:color="000000"/>
                    <w:bottom w:val="single" w:sz="4" w:space="0" w:color="000000"/>
                  </w:tcBorders>
                </w:tcPr>
                <w:p>
                  <w:pPr>
                    <w:pStyle w:val="Normal"/>
                    <w:snapToGrid w:val="false"/>
                    <w:jc w:val="center"/>
                    <w:rPr>
                      <w:sz w:val="18"/>
                      <w:szCs w:val="18"/>
                    </w:rPr>
                  </w:pPr>
                  <w:r>
                    <w:rPr>
                      <w:sz w:val="18"/>
                      <w:szCs w:val="18"/>
                    </w:rPr>
                    <w:t>320 ms</w:t>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18"/>
                      <w:szCs w:val="18"/>
                    </w:rPr>
                  </w:pPr>
                  <w:r>
                    <w:rPr>
                      <w:sz w:val="18"/>
                      <w:szCs w:val="18"/>
                    </w:rPr>
                    <w:t>330 ms</w:t>
                  </w:r>
                </w:p>
              </w:tc>
            </w:tr>
            <w:tr>
              <w:trPr>
                <w:trHeight w:val="221" w:hRule="atLeast"/>
              </w:trPr>
              <w:tc>
                <w:tcPr>
                  <w:tcW w:w="2795" w:type="dxa"/>
                  <w:tcBorders>
                    <w:top w:val="single" w:sz="4" w:space="0" w:color="000000"/>
                    <w:start w:val="single" w:sz="4" w:space="0" w:color="000000"/>
                    <w:bottom w:val="single" w:sz="4" w:space="0" w:color="000000"/>
                  </w:tcBorders>
                </w:tcPr>
                <w:p>
                  <w:pPr>
                    <w:pStyle w:val="Normal"/>
                    <w:snapToGrid w:val="false"/>
                    <w:rPr/>
                  </w:pPr>
                  <w:r>
                    <w:rPr>
                      <w:b/>
                      <w:bCs/>
                      <w:sz w:val="18"/>
                      <w:szCs w:val="18"/>
                    </w:rPr>
                    <w:t xml:space="preserve">  </w:t>
                  </w:r>
                  <w:r>
                    <w:rPr>
                      <w:sz w:val="18"/>
                      <w:szCs w:val="18"/>
                    </w:rPr>
                    <w:t>London – UK</w:t>
                  </w:r>
                </w:p>
              </w:tc>
              <w:tc>
                <w:tcPr>
                  <w:tcW w:w="3016" w:type="dxa"/>
                  <w:tcBorders>
                    <w:top w:val="single" w:sz="4" w:space="0" w:color="000000"/>
                    <w:start w:val="single" w:sz="4" w:space="0" w:color="000000"/>
                    <w:bottom w:val="single" w:sz="4" w:space="0" w:color="000000"/>
                  </w:tcBorders>
                </w:tcPr>
                <w:p>
                  <w:pPr>
                    <w:pStyle w:val="Normal"/>
                    <w:snapToGrid w:val="false"/>
                    <w:jc w:val="center"/>
                    <w:rPr>
                      <w:sz w:val="18"/>
                      <w:szCs w:val="18"/>
                    </w:rPr>
                  </w:pPr>
                  <w:r>
                    <w:rPr>
                      <w:sz w:val="18"/>
                      <w:szCs w:val="18"/>
                    </w:rPr>
                    <w:t>240 ms</w:t>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18"/>
                      <w:szCs w:val="18"/>
                    </w:rPr>
                  </w:pPr>
                  <w:r>
                    <w:rPr>
                      <w:sz w:val="18"/>
                      <w:szCs w:val="18"/>
                    </w:rPr>
                    <w:t>250 ms</w:t>
                  </w:r>
                </w:p>
              </w:tc>
            </w:tr>
            <w:tr>
              <w:trPr>
                <w:trHeight w:val="205" w:hRule="atLeast"/>
              </w:trPr>
              <w:tc>
                <w:tcPr>
                  <w:tcW w:w="2795" w:type="dxa"/>
                  <w:tcBorders>
                    <w:top w:val="single" w:sz="4" w:space="0" w:color="000000"/>
                    <w:start w:val="single" w:sz="4" w:space="0" w:color="000000"/>
                    <w:bottom w:val="single" w:sz="4" w:space="0" w:color="000000"/>
                  </w:tcBorders>
                </w:tcPr>
                <w:p>
                  <w:pPr>
                    <w:pStyle w:val="Normal"/>
                    <w:snapToGrid w:val="false"/>
                    <w:rPr/>
                  </w:pPr>
                  <w:r>
                    <w:rPr>
                      <w:b/>
                      <w:bCs/>
                      <w:sz w:val="18"/>
                      <w:szCs w:val="18"/>
                    </w:rPr>
                    <w:t xml:space="preserve">  </w:t>
                  </w:r>
                  <w:r>
                    <w:rPr>
                      <w:sz w:val="18"/>
                      <w:szCs w:val="18"/>
                    </w:rPr>
                    <w:t>Hong Kong</w:t>
                  </w:r>
                </w:p>
              </w:tc>
              <w:tc>
                <w:tcPr>
                  <w:tcW w:w="3016" w:type="dxa"/>
                  <w:tcBorders>
                    <w:top w:val="single" w:sz="4" w:space="0" w:color="000000"/>
                    <w:start w:val="single" w:sz="4" w:space="0" w:color="000000"/>
                    <w:bottom w:val="single" w:sz="4" w:space="0" w:color="000000"/>
                  </w:tcBorders>
                </w:tcPr>
                <w:p>
                  <w:pPr>
                    <w:pStyle w:val="Normal"/>
                    <w:snapToGrid w:val="false"/>
                    <w:jc w:val="center"/>
                    <w:rPr>
                      <w:sz w:val="18"/>
                      <w:szCs w:val="18"/>
                    </w:rPr>
                  </w:pPr>
                  <w:r>
                    <w:rPr>
                      <w:sz w:val="18"/>
                      <w:szCs w:val="18"/>
                    </w:rPr>
                    <w:t>150 ms</w:t>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18"/>
                      <w:szCs w:val="18"/>
                    </w:rPr>
                  </w:pPr>
                  <w:r>
                    <w:rPr>
                      <w:sz w:val="18"/>
                      <w:szCs w:val="18"/>
                    </w:rPr>
                    <w:t>160 ms</w:t>
                  </w:r>
                </w:p>
              </w:tc>
            </w:tr>
            <w:tr>
              <w:trPr>
                <w:trHeight w:val="205" w:hRule="atLeast"/>
              </w:trPr>
              <w:tc>
                <w:tcPr>
                  <w:tcW w:w="2795" w:type="dxa"/>
                  <w:tcBorders>
                    <w:top w:val="single" w:sz="4" w:space="0" w:color="000000"/>
                    <w:start w:val="single" w:sz="4" w:space="0" w:color="000000"/>
                    <w:bottom w:val="single" w:sz="4" w:space="0" w:color="000000"/>
                  </w:tcBorders>
                </w:tcPr>
                <w:p>
                  <w:pPr>
                    <w:pStyle w:val="Normal"/>
                    <w:snapToGrid w:val="false"/>
                    <w:rPr/>
                  </w:pPr>
                  <w:r>
                    <w:rPr>
                      <w:b/>
                      <w:bCs/>
                      <w:sz w:val="18"/>
                      <w:szCs w:val="18"/>
                    </w:rPr>
                    <w:t xml:space="preserve">  </w:t>
                  </w:r>
                  <w:r>
                    <w:rPr>
                      <w:sz w:val="18"/>
                      <w:szCs w:val="18"/>
                    </w:rPr>
                    <w:t>Singapore</w:t>
                  </w:r>
                </w:p>
              </w:tc>
              <w:tc>
                <w:tcPr>
                  <w:tcW w:w="3016" w:type="dxa"/>
                  <w:tcBorders>
                    <w:top w:val="single" w:sz="4" w:space="0" w:color="000000"/>
                    <w:start w:val="single" w:sz="4" w:space="0" w:color="000000"/>
                    <w:bottom w:val="single" w:sz="4" w:space="0" w:color="000000"/>
                  </w:tcBorders>
                </w:tcPr>
                <w:p>
                  <w:pPr>
                    <w:pStyle w:val="Normal"/>
                    <w:snapToGrid w:val="false"/>
                    <w:jc w:val="center"/>
                    <w:rPr>
                      <w:sz w:val="18"/>
                      <w:szCs w:val="18"/>
                    </w:rPr>
                  </w:pPr>
                  <w:r>
                    <w:rPr>
                      <w:sz w:val="18"/>
                      <w:szCs w:val="18"/>
                    </w:rPr>
                    <w:t>120 ms</w:t>
                  </w:r>
                </w:p>
              </w:tc>
              <w:tc>
                <w:tcPr>
                  <w:tcW w:w="216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18"/>
                      <w:szCs w:val="18"/>
                    </w:rPr>
                  </w:pPr>
                  <w:r>
                    <w:rPr>
                      <w:sz w:val="18"/>
                      <w:szCs w:val="18"/>
                    </w:rPr>
                    <w:t>130 ms</w:t>
                  </w:r>
                </w:p>
              </w:tc>
            </w:tr>
          </w:tbl>
          <w:p>
            <w:pPr>
              <w:pStyle w:val="Normal"/>
              <w:snapToGrid w:val="false"/>
              <w:rPr>
                <w:color w:val="000000"/>
                <w:sz w:val="18"/>
                <w:szCs w:val="18"/>
              </w:rPr>
            </w:pPr>
            <w:r>
              <w:rPr>
                <w:color w:val="000000"/>
                <w:sz w:val="18"/>
                <w:szCs w:val="18"/>
              </w:rPr>
            </w:r>
          </w:p>
          <w:tbl>
            <w:tblPr>
              <w:tblW w:w="7938" w:type="dxa"/>
              <w:jc w:val="start"/>
              <w:tblInd w:w="23" w:type="dxa"/>
              <w:tblLayout w:type="fixed"/>
              <w:tblCellMar>
                <w:top w:w="0" w:type="dxa"/>
                <w:start w:w="108" w:type="dxa"/>
                <w:bottom w:w="0" w:type="dxa"/>
                <w:end w:w="108" w:type="dxa"/>
              </w:tblCellMar>
            </w:tblPr>
            <w:tblGrid>
              <w:gridCol w:w="3327"/>
              <w:gridCol w:w="4611"/>
            </w:tblGrid>
            <w:tr>
              <w:trPr>
                <w:trHeight w:val="332" w:hRule="atLeast"/>
              </w:trPr>
              <w:tc>
                <w:tcPr>
                  <w:tcW w:w="3327" w:type="dxa"/>
                  <w:tcBorders>
                    <w:top w:val="single" w:sz="8" w:space="0" w:color="000000"/>
                    <w:start w:val="single" w:sz="8" w:space="0" w:color="000000"/>
                    <w:bottom w:val="single" w:sz="8" w:space="0" w:color="000000"/>
                  </w:tcBorders>
                  <w:vAlign w:val="center"/>
                </w:tcPr>
                <w:p>
                  <w:pPr>
                    <w:pStyle w:val="Normal"/>
                    <w:ind w:firstLineChars="800" w:startChars="0" w:start="0" w:endChars="0" w:end="0"/>
                    <w:rPr>
                      <w:rFonts w:ascii="Calibri" w:hAnsi="Calibri" w:cs="Calibri"/>
                      <w:b/>
                      <w:bCs/>
                      <w:color w:val="000000"/>
                      <w:sz w:val="18"/>
                      <w:szCs w:val="18"/>
                    </w:rPr>
                  </w:pPr>
                  <w:r>
                    <w:rPr>
                      <w:rFonts w:cs="Calibri" w:ascii="Calibri" w:hAnsi="Calibri"/>
                      <w:b/>
                      <w:bCs/>
                      <w:color w:val="000000"/>
                      <w:sz w:val="18"/>
                      <w:szCs w:val="18"/>
                    </w:rPr>
                    <w:t> </w:t>
                  </w:r>
                </w:p>
              </w:tc>
              <w:tc>
                <w:tcPr>
                  <w:tcW w:w="4611" w:type="dxa"/>
                  <w:tcBorders>
                    <w:top w:val="single" w:sz="8" w:space="0" w:color="000000"/>
                    <w:start w:val="single" w:sz="8" w:space="0" w:color="000000"/>
                    <w:bottom w:val="single" w:sz="8" w:space="0" w:color="000000"/>
                    <w:end w:val="single" w:sz="8" w:space="0" w:color="000000"/>
                  </w:tcBorders>
                  <w:vAlign w:val="center"/>
                </w:tcPr>
                <w:p>
                  <w:pPr>
                    <w:pStyle w:val="Normal"/>
                    <w:jc w:val="center"/>
                    <w:rPr>
                      <w:b/>
                      <w:bCs/>
                      <w:color w:val="000000"/>
                      <w:sz w:val="18"/>
                      <w:szCs w:val="18"/>
                    </w:rPr>
                  </w:pPr>
                  <w:r>
                    <w:rPr>
                      <w:b/>
                      <w:bCs/>
                      <w:color w:val="000000"/>
                      <w:sz w:val="18"/>
                      <w:szCs w:val="18"/>
                    </w:rPr>
                    <w:t>Standard</w:t>
                  </w:r>
                </w:p>
              </w:tc>
            </w:tr>
            <w:tr>
              <w:trPr>
                <w:trHeight w:val="332" w:hRule="atLeast"/>
              </w:trPr>
              <w:tc>
                <w:tcPr>
                  <w:tcW w:w="3327" w:type="dxa"/>
                  <w:tcBorders>
                    <w:start w:val="single" w:sz="8" w:space="0" w:color="000000"/>
                    <w:bottom w:val="single" w:sz="8" w:space="0" w:color="000000"/>
                  </w:tcBorders>
                  <w:shd w:fill="FFFF99" w:val="clear"/>
                  <w:vAlign w:val="center"/>
                </w:tcPr>
                <w:p>
                  <w:pPr>
                    <w:pStyle w:val="Normal"/>
                    <w:rPr>
                      <w:b/>
                      <w:bCs/>
                      <w:color w:val="000000"/>
                      <w:sz w:val="18"/>
                      <w:szCs w:val="18"/>
                    </w:rPr>
                  </w:pPr>
                  <w:r>
                    <w:rPr>
                      <w:b/>
                      <w:bCs/>
                      <w:color w:val="000000"/>
                      <w:sz w:val="18"/>
                      <w:szCs w:val="18"/>
                    </w:rPr>
                    <w:t>Service Availability</w:t>
                  </w:r>
                </w:p>
              </w:tc>
              <w:tc>
                <w:tcPr>
                  <w:tcW w:w="4611" w:type="dxa"/>
                  <w:tcBorders>
                    <w:top w:val="single" w:sz="8" w:space="0" w:color="000000"/>
                    <w:start w:val="single" w:sz="8" w:space="0" w:color="000000"/>
                    <w:bottom w:val="single" w:sz="8" w:space="0" w:color="000000"/>
                    <w:end w:val="single" w:sz="8" w:space="0" w:color="000000"/>
                  </w:tcBorders>
                  <w:vAlign w:val="center"/>
                </w:tcPr>
                <w:p>
                  <w:pPr>
                    <w:pStyle w:val="Normal"/>
                    <w:jc w:val="center"/>
                    <w:rPr/>
                  </w:pPr>
                  <w:r>
                    <w:rPr>
                      <w:color w:val="000000"/>
                      <w:sz w:val="18"/>
                      <w:szCs w:val="18"/>
                    </w:rPr>
                    <w:t>99.50%</w:t>
                  </w:r>
                </w:p>
              </w:tc>
            </w:tr>
          </w:tbl>
          <w:p>
            <w:pPr>
              <w:pStyle w:val="Normal"/>
              <w:snapToGrid w:val="false"/>
              <w:rPr>
                <w:color w:val="000000"/>
                <w:sz w:val="18"/>
                <w:szCs w:val="18"/>
              </w:rPr>
            </w:pPr>
            <w:r>
              <w:rPr>
                <w:color w:val="000000"/>
                <w:sz w:val="18"/>
                <w:szCs w:val="18"/>
              </w:rPr>
            </w:r>
          </w:p>
          <w:p>
            <w:pPr>
              <w:pStyle w:val="Normal"/>
              <w:snapToGrid w:val="false"/>
              <w:rPr>
                <w:color w:val="000000"/>
                <w:sz w:val="18"/>
                <w:szCs w:val="18"/>
              </w:rPr>
            </w:pPr>
            <w:r>
              <w:rPr>
                <w:color w:val="000000"/>
                <w:sz w:val="18"/>
                <w:szCs w:val="18"/>
              </w:rPr>
              <w:t>Tier ‘A’ Cities: Mumbai, Pune.</w:t>
            </w:r>
          </w:p>
          <w:p>
            <w:pPr>
              <w:pStyle w:val="Normal"/>
              <w:snapToGrid w:val="false"/>
              <w:rPr>
                <w:color w:val="000000"/>
                <w:sz w:val="18"/>
                <w:szCs w:val="18"/>
              </w:rPr>
            </w:pPr>
            <w:r>
              <w:rPr>
                <w:color w:val="000000"/>
                <w:sz w:val="18"/>
                <w:szCs w:val="18"/>
              </w:rPr>
            </w:r>
          </w:p>
          <w:p>
            <w:pPr>
              <w:pStyle w:val="Normal"/>
              <w:snapToGrid w:val="false"/>
              <w:rPr/>
            </w:pPr>
            <w:r>
              <w:rPr>
                <w:b/>
                <w:color w:val="000000"/>
                <w:sz w:val="18"/>
                <w:szCs w:val="18"/>
              </w:rPr>
              <w:t>Packet Loss                                                                  &lt; or = 1 %</w:t>
            </w:r>
          </w:p>
          <w:p>
            <w:pPr>
              <w:pStyle w:val="Normal"/>
              <w:snapToGrid w:val="false"/>
              <w:rPr>
                <w:b/>
                <w:color w:val="000000"/>
                <w:sz w:val="18"/>
                <w:szCs w:val="18"/>
              </w:rPr>
            </w:pPr>
            <w:r>
              <w:rPr>
                <w:b/>
                <w:color w:val="000000"/>
                <w:sz w:val="18"/>
                <w:szCs w:val="18"/>
              </w:rPr>
            </w:r>
          </w:p>
          <w:p>
            <w:pPr>
              <w:pStyle w:val="Normal"/>
              <w:snapToGrid w:val="false"/>
              <w:rPr>
                <w:color w:val="000000"/>
                <w:sz w:val="18"/>
                <w:szCs w:val="18"/>
              </w:rPr>
            </w:pPr>
            <w:r>
              <w:rPr>
                <w:color w:val="000000"/>
                <w:sz w:val="18"/>
                <w:szCs w:val="18"/>
              </w:rPr>
              <w:t xml:space="preserve">Office Address: {Office Address}</w:t>
            </w:r>
          </w:p>
        </w:tc>
      </w:tr>
    </w:tbl>
    <w:p>
      <w:pPr>
        <w:pStyle w:val="Normal"/>
        <w:rPr>
          <w:b/>
          <w:i/>
          <w:sz w:val="20"/>
        </w:rPr>
      </w:pPr>
      <w:r>
        <w:rPr>
          <w:b/>
          <w:i/>
          <w:sz w:val="20"/>
        </w:rPr>
      </w:r>
    </w:p>
    <w:p>
      <w:pPr>
        <w:pStyle w:val="Normal"/>
        <w:rPr>
          <w:rFonts w:ascii="Calibri" w:hAnsi="Calibri" w:cs="Calibri"/>
          <w:b/>
          <w:bCs/>
          <w:i/>
          <w:vanish/>
          <w:sz w:val="22"/>
          <w:szCs w:val="22"/>
        </w:rPr>
      </w:pPr>
      <w:r>
        <w:rPr>
          <w:rFonts w:cs="Calibri" w:ascii="Calibri" w:hAnsi="Calibri"/>
          <w:b/>
          <w:bCs/>
          <w:i/>
          <w:vanish/>
          <w:sz w:val="22"/>
          <w:szCs w:val="22"/>
        </w:rPr>
      </w:r>
    </w:p>
    <w:p>
      <w:pPr>
        <w:pStyle w:val="Normal"/>
        <w:rPr>
          <w:rFonts w:ascii="Calibri" w:hAnsi="Calibri" w:cs="Calibri"/>
          <w:b/>
          <w:bCs/>
          <w:i/>
          <w:vanish/>
          <w:sz w:val="20"/>
          <w:szCs w:val="22"/>
        </w:rPr>
      </w:pPr>
      <w:r>
        <w:rPr>
          <w:rFonts w:cs="Calibri" w:ascii="Calibri" w:hAnsi="Calibri"/>
          <w:b/>
          <w:bCs/>
          <w:i/>
          <w:vanish/>
          <w:sz w:val="20"/>
          <w:szCs w:val="22"/>
        </w:rPr>
      </w:r>
    </w:p>
    <w:p>
      <w:pPr>
        <w:pStyle w:val="NormalWeb"/>
        <w:rPr>
          <w:sz w:val="20"/>
          <w:u w:val="single"/>
        </w:rPr>
      </w:pPr>
      <w:r>
        <w:rPr>
          <w:b/>
          <w:sz w:val="20"/>
        </w:rPr>
        <w:t xml:space="preserve">1. </w:t>
      </w:r>
      <w:r>
        <w:rPr>
          <w:b/>
          <w:sz w:val="20"/>
          <w:u w:val="single"/>
        </w:rPr>
        <w:t>Introduction</w:t>
      </w:r>
    </w:p>
    <w:p>
      <w:pPr>
        <w:pStyle w:val="NormalWeb"/>
        <w:jc w:val="both"/>
        <w:rPr/>
      </w:pPr>
      <w:r>
        <w:rPr>
          <w:sz w:val="20"/>
        </w:rPr>
        <w:t>Understanding that in the IP arena, more than any other factor, the quality counts, Gazon Communications India Ltd. has made “Quality” as its Internet design philosophy to ensure that the core network shall be the source of no congestion, thereby delivering high availability and throughput at all times, that our clients demand. Gazon Communications India Ltd. effectively manages the network bandwidth, resulting in the low network packet delivery times.</w:t>
      </w:r>
    </w:p>
    <w:p>
      <w:pPr>
        <w:pStyle w:val="NormalWeb"/>
        <w:jc w:val="both"/>
        <w:rPr/>
      </w:pPr>
      <w:r>
        <w:rPr>
          <w:sz w:val="20"/>
        </w:rPr>
        <w:t xml:space="preserve">The network provides for diverse routing of all circuits and is connected to the designated NAPs as well as other significant inter-exchange points. This provides the added benefit of increasing the speed of packets to their destination by avoiding congestion bottlenecks at the NAPs. </w:t>
      </w:r>
    </w:p>
    <w:p>
      <w:pPr>
        <w:pStyle w:val="NormalWeb"/>
        <w:jc w:val="both"/>
        <w:rPr>
          <w:sz w:val="20"/>
        </w:rPr>
      </w:pPr>
      <w:r>
        <w:rPr>
          <w:sz w:val="20"/>
        </w:rPr>
        <w:t xml:space="preserve">The Gazon Communications India Ltd. Internet backbone has built in redundancy and has a high level of availability. Gazon Communications India Ltd. will work to achieve an availability rate of 99%. </w:t>
      </w:r>
    </w:p>
    <w:p>
      <w:pPr>
        <w:pStyle w:val="NormalWeb"/>
        <w:jc w:val="both"/>
        <w:rPr>
          <w:b/>
          <w:sz w:val="20"/>
        </w:rPr>
      </w:pPr>
      <w:r>
        <w:rPr>
          <w:b/>
          <w:sz w:val="20"/>
        </w:rPr>
      </w:r>
    </w:p>
    <w:p>
      <w:pPr>
        <w:pStyle w:val="NormalWeb"/>
        <w:jc w:val="both"/>
        <w:rPr/>
      </w:pPr>
      <w:r>
        <w:rPr>
          <w:b/>
          <w:sz w:val="20"/>
        </w:rPr>
        <w:t xml:space="preserve">2.  </w:t>
      </w:r>
      <w:r>
        <w:rPr>
          <w:b/>
          <w:sz w:val="20"/>
          <w:u w:val="single"/>
        </w:rPr>
        <w:t>Definition</w:t>
      </w:r>
    </w:p>
    <w:p>
      <w:pPr>
        <w:pStyle w:val="NormalWeb"/>
        <w:jc w:val="both"/>
        <w:rPr>
          <w:sz w:val="20"/>
        </w:rPr>
      </w:pPr>
      <w:r>
        <w:rPr>
          <w:sz w:val="20"/>
        </w:rPr>
        <w:t>2.1</w:t>
      </w:r>
      <w:r>
        <w:rPr>
          <w:b/>
          <w:sz w:val="20"/>
        </w:rPr>
        <w:t xml:space="preserve"> “Internet Protocol Point of Presence (IP POP)” </w:t>
      </w:r>
      <w:r>
        <w:rPr>
          <w:sz w:val="20"/>
        </w:rPr>
        <w:t>shall mean and include all the company’s IP enabled POPs within the company’s network.</w:t>
      </w:r>
    </w:p>
    <w:p>
      <w:pPr>
        <w:pStyle w:val="Normal"/>
        <w:rPr/>
      </w:pPr>
      <w:r>
        <w:rPr>
          <w:sz w:val="20"/>
        </w:rPr>
        <w:t>2.2 “</w:t>
      </w:r>
      <w:r>
        <w:rPr>
          <w:b/>
          <w:sz w:val="20"/>
        </w:rPr>
        <w:t>Trouble Ticket”</w:t>
      </w:r>
      <w:r>
        <w:rPr>
          <w:sz w:val="20"/>
        </w:rPr>
        <w:t xml:space="preserve"> shall mean logging in the customer complaint in relation to a service disruption the reporting of the complaint shall be made to the customer service center (“CSC”) Detail of CSC facilities will be intimated from time to time by the company will ensure availability of CSC facilities on a 24x7 (twenty-four by seven) basic. </w:t>
      </w:r>
    </w:p>
    <w:p>
      <w:pPr>
        <w:pStyle w:val="Normal"/>
        <w:rPr>
          <w:sz w:val="20"/>
        </w:rPr>
      </w:pPr>
      <w:r>
        <w:rPr>
          <w:sz w:val="20"/>
        </w:rPr>
      </w:r>
    </w:p>
    <w:p>
      <w:pPr>
        <w:pStyle w:val="Normal"/>
        <w:rPr>
          <w:sz w:val="20"/>
        </w:rPr>
      </w:pPr>
      <w:r>
        <w:rPr>
          <w:sz w:val="20"/>
        </w:rPr>
        <w:t xml:space="preserve">2.3 </w:t>
      </w:r>
      <w:r>
        <w:rPr>
          <w:b/>
          <w:sz w:val="20"/>
        </w:rPr>
        <w:t>“Mean Time to Repair” or (“MTTR”)</w:t>
      </w:r>
      <w:r>
        <w:rPr>
          <w:sz w:val="20"/>
        </w:rPr>
        <w:t xml:space="preserve"> shall mean the average time taken to restore the service by company within the SLA measurements period. It is calculated by dividing total downtime by the number of service outages, within the SLA measurement period.</w:t>
      </w:r>
    </w:p>
    <w:p>
      <w:pPr>
        <w:pStyle w:val="Normal"/>
        <w:rPr>
          <w:sz w:val="20"/>
        </w:rPr>
      </w:pPr>
      <w:r>
        <w:rPr>
          <w:sz w:val="20"/>
        </w:rPr>
      </w:r>
    </w:p>
    <w:p>
      <w:pPr>
        <w:pStyle w:val="Normal"/>
        <w:rPr>
          <w:sz w:val="20"/>
        </w:rPr>
      </w:pPr>
      <w:r>
        <w:rPr>
          <w:sz w:val="20"/>
        </w:rPr>
        <w:t xml:space="preserve">2.4 </w:t>
      </w:r>
      <w:r>
        <w:rPr>
          <w:b/>
          <w:sz w:val="20"/>
        </w:rPr>
        <w:t>“Latency”</w:t>
      </w:r>
      <w:r>
        <w:rPr>
          <w:sz w:val="20"/>
        </w:rPr>
        <w:t xml:space="preserve"> shall mean the round-trip delay in time takes by 64 bytes packet between the IP POP’s with-in company network. This is calculated by taking an average of the Latency figures for the SLA Measurement Period for the purpose of latency measurement the demarcation point shall be the company’s IP POP’s</w:t>
      </w:r>
    </w:p>
    <w:p>
      <w:pPr>
        <w:pStyle w:val="Normal"/>
        <w:rPr>
          <w:sz w:val="20"/>
        </w:rPr>
      </w:pPr>
      <w:r>
        <w:rPr>
          <w:sz w:val="20"/>
        </w:rPr>
      </w:r>
    </w:p>
    <w:p>
      <w:pPr>
        <w:pStyle w:val="Normal"/>
        <w:rPr>
          <w:sz w:val="20"/>
        </w:rPr>
      </w:pPr>
      <w:r>
        <w:rPr>
          <w:sz w:val="20"/>
        </w:rPr>
        <w:t xml:space="preserve">2.5 </w:t>
      </w:r>
      <w:r>
        <w:rPr>
          <w:b/>
          <w:sz w:val="20"/>
        </w:rPr>
        <w:t>“Packet loss”</w:t>
      </w:r>
      <w:r>
        <w:rPr>
          <w:sz w:val="20"/>
        </w:rPr>
        <w:t xml:space="preserve"> is defined as the percentage ratio of the total no of data packets lost to the total number of data packets transmitted. It is calculated by averaging over SLA Measurement period, the packet loss between IP POPs to which customer is connected up to Company’s internet gateway.</w:t>
      </w:r>
    </w:p>
    <w:p>
      <w:pPr>
        <w:pStyle w:val="NormalWeb"/>
        <w:rPr/>
      </w:pPr>
      <w:r>
        <w:rPr>
          <w:b/>
          <w:sz w:val="20"/>
        </w:rPr>
        <w:t xml:space="preserve">3.   </w:t>
      </w:r>
      <w:r>
        <w:rPr>
          <w:b/>
          <w:sz w:val="20"/>
          <w:u w:val="single"/>
        </w:rPr>
        <w:t xml:space="preserve"> Packet Success Service Level Guarantee</w:t>
      </w:r>
      <w:r>
        <w:rPr>
          <w:sz w:val="20"/>
          <w:u w:val="single"/>
        </w:rPr>
        <w:t xml:space="preserve"> </w:t>
      </w:r>
    </w:p>
    <w:p>
      <w:pPr>
        <w:pStyle w:val="NormalWeb"/>
        <w:rPr>
          <w:sz w:val="20"/>
        </w:rPr>
      </w:pPr>
      <w:r>
        <w:rPr>
          <w:sz w:val="20"/>
        </w:rPr>
        <w:t xml:space="preserve">3.1 Gazon Communications India Ltd. packet success goal is based on the successful delivery of packets through the Gazon Communications India Ltd. IP backbone in the regions listed below. Unsuccessful packets are deemed to be those dropped due to transmission errors or router overload before exiting the Gazon Communications India Ltd. regional IP backbone. </w:t>
      </w:r>
    </w:p>
    <w:p>
      <w:pPr>
        <w:pStyle w:val="NormalWeb"/>
        <w:jc w:val="center"/>
        <w:rPr>
          <w:sz w:val="20"/>
        </w:rPr>
      </w:pPr>
      <w:r>
        <w:rPr>
          <w:sz w:val="20"/>
        </w:rPr>
        <w:t>PACKET LOSS   &lt;OR =1%</w:t>
      </w:r>
    </w:p>
    <w:p>
      <w:pPr>
        <w:pStyle w:val="NormalWeb"/>
        <w:rPr/>
      </w:pPr>
      <w:r>
        <w:rPr>
          <w:sz w:val="20"/>
        </w:rPr>
        <w:t xml:space="preserve">3.2 Gazon Communications India Ltd. packet success Service Level Guarantee ("Guarantee") is successful delivery of packets will meet or exceed 99% between Gazon Communications India Ltd. -designated IP backbone paths for the Gazon Communications India Ltd. services provided. </w:t>
      </w:r>
    </w:p>
    <w:p>
      <w:pPr>
        <w:pStyle w:val="NormalWeb"/>
        <w:jc w:val="both"/>
        <w:rPr/>
      </w:pPr>
      <w:r>
        <w:rPr>
          <w:sz w:val="20"/>
        </w:rPr>
        <w:t xml:space="preserve">3.3 The packet delivery success / loss shall be measured by sending Pings of 32/ 64 bits each at interval of 60 minutes which will be averaged over 24 hours period.  In case the performance is below 99% success for more than four consecutive hours, it will be treated as service outage, to be accounted to decide the entitlement of credits under the SLA. The Packet loss specifically excludes any loss on the last mile connectivity provided through the third-party access networks. </w:t>
      </w:r>
    </w:p>
    <w:p>
      <w:pPr>
        <w:pStyle w:val="NormalWeb"/>
        <w:jc w:val="both"/>
        <w:rPr/>
      </w:pPr>
      <w:r>
        <w:rPr>
          <w:sz w:val="20"/>
        </w:rPr>
        <w:t xml:space="preserve">3.4 Each month's packet success performance statistics can be obtained from on the Gazon Communications India Ltd. Customer Support centre. </w:t>
      </w:r>
    </w:p>
    <w:p>
      <w:pPr>
        <w:pStyle w:val="NormalWeb"/>
        <w:jc w:val="both"/>
        <w:rPr>
          <w:sz w:val="20"/>
        </w:rPr>
      </w:pPr>
      <w:r>
        <w:rPr>
          <w:sz w:val="20"/>
        </w:rPr>
        <w:t>3.5 To receive the credit if this Guarantee has not been met, Customer must contact Gazon Communications India Ltd. customer service group within 30 days of the end of the month for which credit is requested.</w:t>
      </w:r>
    </w:p>
    <w:p>
      <w:pPr>
        <w:pStyle w:val="NormalWeb"/>
        <w:jc w:val="both"/>
        <w:rPr/>
      </w:pPr>
      <w:r>
        <w:rPr>
          <w:b/>
          <w:sz w:val="20"/>
        </w:rPr>
        <w:t xml:space="preserve">4.    </w:t>
      </w:r>
      <w:r>
        <w:rPr>
          <w:b/>
          <w:sz w:val="20"/>
          <w:u w:val="single"/>
        </w:rPr>
        <w:t xml:space="preserve">Network Availability Service Level Guarantee </w:t>
      </w:r>
    </w:p>
    <w:p>
      <w:pPr>
        <w:pStyle w:val="NormalWeb"/>
        <w:jc w:val="both"/>
        <w:rPr/>
      </w:pPr>
      <w:r>
        <w:rPr>
          <w:sz w:val="20"/>
        </w:rPr>
        <w:t xml:space="preserve">4.1 Gazon Communications India Ltd. Network Availability Service Level Guarantee ("Guarantee") is that the Gazon Communications India Ltd. Network will be available 99.5% of the time. The Gazon Communications India Ltd. Network is the combination of Gazon Communications India Ltd. -operated equipment, servers, circuits, and other data transmission facilities comprising Gazon Communications India Ltd. TCP/IP wide-area network. Gazon Communications India Ltd. Network Guarantee will be measured based on the number of minutes that the Gazon Communications India Ltd. Network was not available as determined by Gazon Communications India Ltd. based on the following conditions ("Unavailability"). </w:t>
      </w:r>
    </w:p>
    <w:p>
      <w:pPr>
        <w:pStyle w:val="NormalWeb"/>
        <w:jc w:val="both"/>
        <w:rPr/>
      </w:pPr>
      <w:r>
        <w:rPr>
          <w:sz w:val="20"/>
        </w:rPr>
        <w:t>4.2</w:t>
      </w:r>
      <w:r>
        <w:rPr>
          <w:sz w:val="20"/>
          <w:u w:val="single"/>
        </w:rPr>
        <w:t xml:space="preserve"> Unavailability will not include</w:t>
      </w:r>
      <w:r>
        <w:rPr>
          <w:sz w:val="20"/>
        </w:rPr>
        <w:t xml:space="preserve"> Network unavailability of an hour or less, or any unavailability resulting from:</w:t>
      </w:r>
    </w:p>
    <w:p>
      <w:pPr>
        <w:pStyle w:val="NormalWeb"/>
        <w:numPr>
          <w:ilvl w:val="0"/>
          <w:numId w:val="3"/>
        </w:numPr>
        <w:spacing w:lineRule="atLeast" w:line="240" w:before="0" w:after="0"/>
        <w:jc w:val="both"/>
        <w:rPr>
          <w:sz w:val="20"/>
        </w:rPr>
      </w:pPr>
      <w:r>
        <w:rPr>
          <w:sz w:val="20"/>
        </w:rPr>
        <w:t xml:space="preserve">Pre-informed Planned Network Maintenance, </w:t>
      </w:r>
    </w:p>
    <w:p>
      <w:pPr>
        <w:pStyle w:val="NormalWeb"/>
        <w:numPr>
          <w:ilvl w:val="0"/>
          <w:numId w:val="3"/>
        </w:numPr>
        <w:spacing w:lineRule="atLeast" w:line="240" w:before="0" w:after="0"/>
        <w:jc w:val="both"/>
        <w:rPr>
          <w:sz w:val="20"/>
        </w:rPr>
      </w:pPr>
      <w:r>
        <w:rPr>
          <w:sz w:val="20"/>
        </w:rPr>
        <w:t xml:space="preserve">circuits provided by Telco or other common carriers, </w:t>
      </w:r>
    </w:p>
    <w:p>
      <w:pPr>
        <w:pStyle w:val="NormalWeb"/>
        <w:numPr>
          <w:ilvl w:val="0"/>
          <w:numId w:val="3"/>
        </w:numPr>
        <w:spacing w:lineRule="atLeast" w:line="240" w:before="0" w:after="0"/>
        <w:jc w:val="both"/>
        <w:rPr>
          <w:sz w:val="20"/>
        </w:rPr>
      </w:pPr>
      <w:r>
        <w:rPr>
          <w:sz w:val="20"/>
        </w:rPr>
        <w:t xml:space="preserve">an external Internet Service Provider or an Internet exchange point, </w:t>
      </w:r>
    </w:p>
    <w:p>
      <w:pPr>
        <w:pStyle w:val="NormalWeb"/>
        <w:numPr>
          <w:ilvl w:val="0"/>
          <w:numId w:val="3"/>
        </w:numPr>
        <w:spacing w:lineRule="atLeast" w:line="240" w:before="0" w:after="0"/>
        <w:jc w:val="both"/>
        <w:rPr>
          <w:sz w:val="20"/>
        </w:rPr>
      </w:pPr>
      <w:r>
        <w:rPr>
          <w:sz w:val="20"/>
        </w:rPr>
        <w:t xml:space="preserve">acts or omissions of Customer or an authorized user, </w:t>
      </w:r>
    </w:p>
    <w:p>
      <w:pPr>
        <w:pStyle w:val="NormalWeb"/>
        <w:numPr>
          <w:ilvl w:val="0"/>
          <w:numId w:val="3"/>
        </w:numPr>
        <w:spacing w:lineRule="atLeast" w:line="240" w:before="0" w:after="0"/>
        <w:jc w:val="both"/>
        <w:rPr>
          <w:sz w:val="20"/>
        </w:rPr>
      </w:pPr>
      <w:r>
        <w:rPr>
          <w:sz w:val="20"/>
        </w:rPr>
        <w:t xml:space="preserve">behavior of Customer equipment, facilities or applications, or </w:t>
      </w:r>
    </w:p>
    <w:p>
      <w:pPr>
        <w:pStyle w:val="NormalWeb"/>
        <w:numPr>
          <w:ilvl w:val="0"/>
          <w:numId w:val="3"/>
        </w:numPr>
        <w:spacing w:lineRule="atLeast" w:line="240" w:before="0" w:after="0"/>
        <w:jc w:val="both"/>
        <w:rPr>
          <w:sz w:val="20"/>
        </w:rPr>
      </w:pPr>
      <w:r>
        <w:rPr>
          <w:sz w:val="20"/>
        </w:rPr>
        <w:t>Acts of God, civil disorder, natural catastrophes or other occurrences beyond the reasonable control of Gazon Communications India Ltd.</w:t>
      </w:r>
    </w:p>
    <w:p>
      <w:pPr>
        <w:pStyle w:val="NormalWeb"/>
        <w:jc w:val="both"/>
        <w:rPr/>
      </w:pPr>
      <w:r>
        <w:rPr>
          <w:sz w:val="20"/>
        </w:rPr>
        <w:t>4.3 Each month's network performance statistics relating to the Guarantee will be available with the Gazon Communications India Ltd. Customer Support Centre.</w:t>
      </w:r>
    </w:p>
    <w:p>
      <w:pPr>
        <w:pStyle w:val="NormalWeb"/>
        <w:jc w:val="both"/>
        <w:rPr/>
      </w:pPr>
      <w:r>
        <w:rPr>
          <w:sz w:val="20"/>
        </w:rPr>
        <w:t xml:space="preserve">4.4 If Gazon Communications India Ltd. determines that the Network is Unavailable beyond 12 hours for one (1) or more consecutive hours during any calendar quarter, Gazon Communications India Ltd., upon the customer's request, will credit the customer's monthly invoice the prorated charges of one (1) day of the Gazon Communications India Ltd. service fee for each consecutive hour, up to a maximum of fifteen (15) days per Quarter. </w:t>
      </w:r>
    </w:p>
    <w:p>
      <w:pPr>
        <w:pStyle w:val="NormalWeb"/>
        <w:jc w:val="both"/>
        <w:rPr/>
      </w:pPr>
      <w:r>
        <w:rPr>
          <w:sz w:val="20"/>
        </w:rPr>
        <w:t xml:space="preserve">4.5 To receive the credit if this Guarantee has not been met, Customer must contact Gazon Communications India Ltd. customer service group within 30 days of the end of the month for which credit is requested. </w:t>
      </w:r>
    </w:p>
    <w:p>
      <w:pPr>
        <w:pStyle w:val="NormalWeb"/>
        <w:jc w:val="both"/>
        <w:rPr>
          <w:sz w:val="20"/>
        </w:rPr>
      </w:pPr>
      <w:r>
        <w:rPr>
          <w:sz w:val="20"/>
        </w:rPr>
        <w:t xml:space="preserve">4.6 Gazon Communications India Ltd. will not extend a credit if failure to meet the Guarantee is attributable to CPE non functioning, acts of God, civil disorder, natural cataclysm or other occurrences beyond the reasonable control of Gazon Communications India Ltd. </w:t>
      </w:r>
    </w:p>
    <w:p>
      <w:pPr>
        <w:pStyle w:val="NormalWeb"/>
        <w:jc w:val="both"/>
        <w:rPr>
          <w:b/>
          <w:sz w:val="20"/>
          <w:u w:val="single"/>
        </w:rPr>
      </w:pPr>
      <w:r>
        <w:rPr>
          <w:b/>
          <w:sz w:val="20"/>
        </w:rPr>
        <w:t xml:space="preserve">5. </w:t>
      </w:r>
      <w:r>
        <w:rPr>
          <w:b/>
          <w:sz w:val="20"/>
          <w:u w:val="single"/>
        </w:rPr>
        <w:t>Exclusions</w:t>
      </w:r>
    </w:p>
    <w:p>
      <w:pPr>
        <w:pStyle w:val="NormalWeb"/>
        <w:jc w:val="both"/>
        <w:rPr/>
      </w:pPr>
      <w:r>
        <w:rPr>
          <w:sz w:val="20"/>
        </w:rPr>
        <w:t>Service availability, Packet loss, Latency &amp; MTTR Measurements do not include down time or non-conformance to committed SLA’s resulting in whole or in part from one or more of the following causes.</w:t>
      </w:r>
    </w:p>
    <w:p>
      <w:pPr>
        <w:pStyle w:val="NormalWeb"/>
        <w:jc w:val="both"/>
        <w:rPr>
          <w:sz w:val="20"/>
        </w:rPr>
      </w:pPr>
      <w:r>
        <w:rPr>
          <w:sz w:val="20"/>
        </w:rPr>
        <w:t>5.1 Any Act or omission on the part of the customer including but not limited to failure to notify the CSC (As define hereinabove) of the services disruption.</w:t>
      </w:r>
    </w:p>
    <w:p>
      <w:pPr>
        <w:pStyle w:val="NormalWeb"/>
        <w:jc w:val="both"/>
        <w:rPr/>
      </w:pPr>
      <w:r>
        <w:rPr>
          <w:sz w:val="20"/>
        </w:rPr>
        <w:t>5.2 The failure of customer’s CPE applications, Equipment or facilities including any third-party equipment.</w:t>
      </w:r>
    </w:p>
    <w:p>
      <w:pPr>
        <w:pStyle w:val="NormalWeb"/>
        <w:jc w:val="both"/>
        <w:rPr>
          <w:sz w:val="20"/>
        </w:rPr>
      </w:pPr>
      <w:r>
        <w:rPr>
          <w:sz w:val="20"/>
        </w:rPr>
        <w:t>5.3 Failure in providing stable power and the other infrastructure required for service equipment and / or CPL.</w:t>
      </w:r>
    </w:p>
    <w:p>
      <w:pPr>
        <w:pStyle w:val="NormalWeb"/>
        <w:jc w:val="both"/>
        <w:rPr/>
      </w:pPr>
      <w:r>
        <w:rPr>
          <w:sz w:val="20"/>
        </w:rPr>
        <w:t xml:space="preserve">5.4 Events or occurrences that result in “no fault found” trouble ticket. Force Majeure events and other causes beyond the reasonable control of the company. </w:t>
      </w:r>
    </w:p>
    <w:p>
      <w:pPr>
        <w:pStyle w:val="NormalWeb"/>
        <w:jc w:val="both"/>
        <w:rPr>
          <w:sz w:val="20"/>
        </w:rPr>
      </w:pPr>
      <w:r>
        <w:rPr>
          <w:sz w:val="20"/>
        </w:rPr>
        <w:t>5.5 Trouble Ticket associated with new installations or upgrades.</w:t>
      </w:r>
    </w:p>
    <w:p>
      <w:pPr>
        <w:pStyle w:val="NormalWeb"/>
        <w:jc w:val="both"/>
        <w:rPr>
          <w:sz w:val="20"/>
        </w:rPr>
      </w:pPr>
      <w:r>
        <w:rPr>
          <w:sz w:val="20"/>
        </w:rPr>
        <w:t>5.6 An interruption where the customer elects not to release the service for testing and repair and continues to use it on an Impaired bases.</w:t>
      </w:r>
    </w:p>
    <w:p>
      <w:pPr>
        <w:pStyle w:val="NormalWeb"/>
        <w:jc w:val="both"/>
        <w:rPr/>
      </w:pPr>
      <w:r>
        <w:rPr>
          <w:sz w:val="20"/>
        </w:rPr>
        <w:t>5.7 Interruptions during any period where company or its agents are not allowed access to the customer premises where the access line are Terminated.</w:t>
      </w:r>
    </w:p>
    <w:p>
      <w:pPr>
        <w:pStyle w:val="NormalWeb"/>
        <w:jc w:val="both"/>
        <w:rPr/>
      </w:pPr>
      <w:r>
        <w:rPr>
          <w:sz w:val="20"/>
        </w:rPr>
        <w:t>5.8 Customer scheduled maintenance.</w:t>
      </w:r>
    </w:p>
    <w:p>
      <w:pPr>
        <w:pStyle w:val="NormalWeb"/>
        <w:jc w:val="both"/>
        <w:rPr>
          <w:sz w:val="20"/>
        </w:rPr>
      </w:pPr>
      <w:r>
        <w:rPr>
          <w:sz w:val="20"/>
        </w:rPr>
        <w:t>5.9 Any service degradations or outage paused by third party last mile connectivity.</w:t>
      </w:r>
    </w:p>
    <w:p>
      <w:pPr>
        <w:pStyle w:val="Normal"/>
        <w:rPr>
          <w:sz w:val="20"/>
        </w:rPr>
      </w:pPr>
      <w:r>
        <w:rPr>
          <w:sz w:val="20"/>
        </w:rPr>
        <w:t>5.10 Connectivity has to be used only for legal business purpose. No DOT rules violation will be allowed in any circumstances.</w:t>
      </w:r>
    </w:p>
    <w:p>
      <w:pPr>
        <w:pStyle w:val="NormalWeb"/>
        <w:jc w:val="both"/>
        <w:rPr>
          <w:sz w:val="20"/>
        </w:rPr>
      </w:pPr>
      <w:r>
        <w:rPr>
          <w:sz w:val="20"/>
        </w:rPr>
        <w:t>5.11 ILL customers have to maintain the usage of IP addresses/Network Address Translation (NAT) syslog, in case of multiple users on the same ILL, for a minimum period of two year as per DOT directions.</w:t>
      </w:r>
    </w:p>
    <w:p>
      <w:pPr>
        <w:pStyle w:val="NormalWeb"/>
        <w:jc w:val="both"/>
        <w:rPr>
          <w:sz w:val="20"/>
        </w:rPr>
      </w:pPr>
      <w:r>
        <w:rPr>
          <w:sz w:val="20"/>
        </w:rPr>
      </w:r>
    </w:p>
    <w:p>
      <w:pPr>
        <w:pStyle w:val="NormalWeb"/>
        <w:jc w:val="both"/>
        <w:rPr/>
      </w:pPr>
      <w:r>
        <w:rPr>
          <w:b/>
          <w:sz w:val="20"/>
        </w:rPr>
        <w:t xml:space="preserve">6. </w:t>
      </w:r>
      <w:r>
        <w:rPr>
          <w:b/>
          <w:sz w:val="20"/>
          <w:u w:val="single"/>
        </w:rPr>
        <w:t>Gazon Communications India Ltd.</w:t>
      </w:r>
      <w:r>
        <w:rPr>
          <w:sz w:val="20"/>
          <w:u w:val="single"/>
        </w:rPr>
        <w:t xml:space="preserve"> </w:t>
      </w:r>
      <w:r>
        <w:rPr>
          <w:b/>
          <w:sz w:val="20"/>
          <w:u w:val="single"/>
        </w:rPr>
        <w:t>Customer Care Quality</w:t>
      </w:r>
    </w:p>
    <w:p>
      <w:pPr>
        <w:pStyle w:val="Heading2"/>
        <w:ind w:hanging="0" w:start="0"/>
        <w:rPr/>
      </w:pPr>
      <w:r>
        <w:rPr>
          <w:rFonts w:cs="Times New Roman" w:ascii="Times New Roman" w:hAnsi="Times New Roman"/>
          <w:b w:val="false"/>
          <w:color w:val="000000"/>
          <w:sz w:val="20"/>
        </w:rPr>
        <w:t>6.1</w:t>
      </w:r>
      <w:r>
        <w:rPr>
          <w:rFonts w:cs="Times New Roman" w:ascii="Times New Roman" w:hAnsi="Times New Roman"/>
          <w:color w:val="000000"/>
          <w:sz w:val="20"/>
        </w:rPr>
        <w:t xml:space="preserve"> Outage Reporting Guarantee</w:t>
      </w:r>
    </w:p>
    <w:p>
      <w:pPr>
        <w:pStyle w:val="NormalWeb"/>
        <w:jc w:val="both"/>
        <w:rPr/>
      </w:pPr>
      <w:r>
        <w:rPr>
          <w:sz w:val="20"/>
        </w:rPr>
        <w:t xml:space="preserve">Gazon Communications India Ltd. Outage Reporting Guarantee is to notify Customer within 15 minutes after Gazon Communications India Ltd. determination that Customer's service is unavailable. Gazon Communications India Ltd. standard procedure is to ping Customer's router every five minutes. If Customer's router does not respond after two consecutive five-minute ping cycles, Gazon Communications India Ltd. will deem the service unavailable and will contact Customer's designated point of contact by a method elected by Gazon Communications India Ltd. (telephone, email, fax or pager). </w:t>
      </w:r>
    </w:p>
    <w:p>
      <w:pPr>
        <w:pStyle w:val="NormalWeb"/>
        <w:rPr>
          <w:sz w:val="20"/>
        </w:rPr>
      </w:pPr>
      <w:r>
        <w:rPr>
          <w:color w:val="000000"/>
          <w:sz w:val="20"/>
        </w:rPr>
        <w:t xml:space="preserve">6.2 </w:t>
      </w:r>
      <w:r>
        <w:rPr>
          <w:b/>
          <w:color w:val="000000"/>
          <w:sz w:val="20"/>
        </w:rPr>
        <w:t>Outage Reporting Guarantee Process</w:t>
      </w:r>
    </w:p>
    <w:p>
      <w:pPr>
        <w:pStyle w:val="NormalWeb"/>
        <w:jc w:val="both"/>
        <w:rPr>
          <w:sz w:val="20"/>
        </w:rPr>
      </w:pPr>
      <w:r>
        <w:rPr>
          <w:sz w:val="20"/>
        </w:rPr>
        <w:t xml:space="preserve">The Outage Reporting Guarantee is applicable only to service provided within India and is applicable only if Customer completes Gazon Communications India Ltd. Customer Information Form in its entirety. Customer is solely responsible for providing Gazon Communications India Ltd. accurate and current contact information for Customer's designated points of contact. Gazon Communications India Ltd. will be relieved of its obligations under this Outage Reporting Guarantee if Gazon Communications India Ltd. contact information for Customer is out of date or inaccurate due to Customer's action or omission. </w:t>
      </w:r>
    </w:p>
    <w:p>
      <w:pPr>
        <w:pStyle w:val="NormalWeb"/>
        <w:jc w:val="both"/>
        <w:rPr/>
      </w:pPr>
      <w:r>
        <w:rPr>
          <w:color w:val="000000"/>
          <w:sz w:val="20"/>
        </w:rPr>
        <w:t xml:space="preserve">6.3 </w:t>
      </w:r>
      <w:r>
        <w:rPr>
          <w:b/>
          <w:color w:val="000000"/>
          <w:sz w:val="20"/>
        </w:rPr>
        <w:t>Outage Reporting Guarantee Remedy</w:t>
      </w:r>
    </w:p>
    <w:p>
      <w:pPr>
        <w:pStyle w:val="NormalWeb"/>
        <w:jc w:val="both"/>
        <w:rPr/>
      </w:pPr>
      <w:r>
        <w:rPr>
          <w:sz w:val="20"/>
        </w:rPr>
        <w:t xml:space="preserve">If Gazon Communications India Ltd. fails to meet the Outage Reporting Guarantee, at Customer's request Customer's account shall be credited the pro-rated charges for one day of the Gazon Communications India Ltd. Monthly Fee for the service with respect to which this Guarantee has not been met; provided, that Customer may obtain no more than one credit per day, irrespective of how often in that day Gazon Communications India Ltd. ailed to meet the Outage Reporting Guarantee. </w:t>
      </w:r>
    </w:p>
    <w:p>
      <w:pPr>
        <w:pStyle w:val="NormalWeb"/>
        <w:jc w:val="both"/>
        <w:rPr>
          <w:sz w:val="20"/>
        </w:rPr>
      </w:pPr>
      <w:r>
        <w:rPr>
          <w:sz w:val="20"/>
        </w:rPr>
        <w:t>Gazon Communications India Ltd. will not extend a credit if failure to meet the Guarantee is attributable to CPE non-functioning, acts of God, civil disorder, natural cataclysm or other occurrences beyond the reasonable control of Gazon Communications India Ltd.</w:t>
      </w:r>
    </w:p>
    <w:tbl>
      <w:tblPr>
        <w:tblW w:w="9558" w:type="dxa"/>
        <w:jc w:val="start"/>
        <w:tblInd w:w="108" w:type="dxa"/>
        <w:tblLayout w:type="fixed"/>
        <w:tblCellMar>
          <w:top w:w="0" w:type="dxa"/>
          <w:start w:w="108" w:type="dxa"/>
          <w:bottom w:w="0" w:type="dxa"/>
          <w:end w:w="108" w:type="dxa"/>
        </w:tblCellMar>
      </w:tblPr>
      <w:tblGrid>
        <w:gridCol w:w="9558"/>
      </w:tblGrid>
      <w:tr>
        <w:trPr/>
        <w:tc>
          <w:tcPr>
            <w:tcW w:w="9558" w:type="dxa"/>
            <w:tcBorders/>
          </w:tcPr>
          <w:p>
            <w:pPr>
              <w:pStyle w:val="Normal"/>
              <w:snapToGrid w:val="false"/>
              <w:jc w:val="both"/>
              <w:rPr>
                <w:color w:val="000000"/>
                <w:sz w:val="16"/>
                <w:szCs w:val="16"/>
              </w:rPr>
            </w:pPr>
            <w:r>
              <w:rPr>
                <w:color w:val="000000"/>
                <w:sz w:val="16"/>
                <w:szCs w:val="16"/>
              </w:rPr>
            </w:r>
          </w:p>
          <w:p>
            <w:pPr>
              <w:pStyle w:val="Normal"/>
              <w:jc w:val="both"/>
              <w:rPr/>
            </w:pPr>
            <w:r>
              <w:rPr>
                <w:sz w:val="16"/>
                <w:szCs w:val="16"/>
              </w:rPr>
              <w:t xml:space="preserve">This SLA is entered into as of the Effective Date at the Office Address as mentioned above, by and between the </w:t>
            </w:r>
            <w:r>
              <w:rPr>
                <w:b/>
                <w:bCs/>
                <w:sz w:val="16"/>
                <w:szCs w:val="16"/>
              </w:rPr>
              <w:t xml:space="preserve">Company </w:t>
            </w:r>
            <w:r>
              <w:rPr>
                <w:sz w:val="16"/>
                <w:szCs w:val="16"/>
              </w:rPr>
              <w:t xml:space="preserve">and the party identified above as the </w:t>
            </w:r>
            <w:r>
              <w:rPr>
                <w:b/>
                <w:bCs/>
                <w:sz w:val="16"/>
                <w:szCs w:val="16"/>
              </w:rPr>
              <w:t>Customer</w:t>
            </w:r>
            <w:r>
              <w:rPr>
                <w:sz w:val="16"/>
                <w:szCs w:val="16"/>
              </w:rPr>
              <w:t xml:space="preserve">.  </w:t>
            </w:r>
          </w:p>
          <w:p>
            <w:pPr>
              <w:pStyle w:val="Normal"/>
              <w:jc w:val="both"/>
              <w:rPr>
                <w:sz w:val="16"/>
                <w:szCs w:val="16"/>
              </w:rPr>
            </w:pPr>
            <w:r>
              <w:rPr>
                <w:sz w:val="16"/>
                <w:szCs w:val="16"/>
              </w:rPr>
            </w:r>
          </w:p>
        </w:tc>
      </w:tr>
      <w:tr>
        <w:trPr>
          <w:trHeight w:val="600" w:hRule="atLeast"/>
        </w:trPr>
        <w:tc>
          <w:tcPr>
            <w:tcW w:w="9558" w:type="dxa"/>
            <w:tcBorders/>
          </w:tcPr>
          <w:p>
            <w:pPr>
              <w:pStyle w:val="Normal"/>
              <w:snapToGrid w:val="false"/>
              <w:jc w:val="both"/>
              <w:rPr>
                <w:smallCaps/>
                <w:sz w:val="16"/>
                <w:szCs w:val="16"/>
                <w:lang w:val="en-GB"/>
              </w:rPr>
            </w:pPr>
            <w:r>
              <w:rPr>
                <w:smallCaps/>
                <w:sz w:val="16"/>
                <w:szCs w:val="16"/>
                <w:lang w:val="en-GB"/>
              </w:rPr>
            </w:r>
          </w:p>
          <w:p>
            <w:pPr>
              <w:pStyle w:val="Normal"/>
              <w:jc w:val="both"/>
              <w:rPr>
                <w:smallCaps/>
                <w:sz w:val="16"/>
                <w:szCs w:val="16"/>
                <w:lang w:val="en-GB"/>
              </w:rPr>
            </w:pPr>
            <w:r>
              <w:rPr>
                <w:smallCaps/>
                <w:sz w:val="16"/>
                <w:szCs w:val="16"/>
                <w:lang w:val="en-GB"/>
              </w:rPr>
            </w:r>
          </w:p>
          <w:p>
            <w:pPr>
              <w:pStyle w:val="Normal"/>
              <w:jc w:val="both"/>
              <w:rPr>
                <w:smallCaps/>
                <w:sz w:val="16"/>
                <w:szCs w:val="16"/>
                <w:lang w:val="en-GB"/>
              </w:rPr>
            </w:pPr>
            <w:r>
              <w:rPr>
                <w:smallCaps/>
                <w:sz w:val="16"/>
                <w:szCs w:val="16"/>
                <w:lang w:val="en-GB"/>
              </w:rPr>
            </w:r>
          </w:p>
          <w:p>
            <w:pPr>
              <w:pStyle w:val="Normal"/>
              <w:jc w:val="both"/>
              <w:rPr>
                <w:smallCaps/>
                <w:sz w:val="16"/>
                <w:szCs w:val="16"/>
                <w:lang w:val="en-GB"/>
              </w:rPr>
            </w:pPr>
            <w:r>
              <w:rPr>
                <w:smallCaps/>
                <w:sz w:val="16"/>
                <w:szCs w:val="16"/>
                <w:lang w:val="en-GB"/>
              </w:rPr>
            </w:r>
          </w:p>
          <w:p>
            <w:pPr>
              <w:pStyle w:val="Normal"/>
              <w:jc w:val="both"/>
              <w:rPr>
                <w:smallCaps/>
                <w:sz w:val="16"/>
                <w:szCs w:val="16"/>
                <w:lang w:val="en-GB"/>
              </w:rPr>
            </w:pPr>
            <w:r>
              <w:rPr>
                <w:smallCaps/>
                <w:sz w:val="16"/>
                <w:szCs w:val="16"/>
                <w:lang w:val="en-GB"/>
              </w:rPr>
              <w:t xml:space="preserve">----------------------------------                                                                                                                  -------------------------------------     </w:t>
            </w:r>
          </w:p>
          <w:p>
            <w:pPr>
              <w:pStyle w:val="Normal"/>
              <w:jc w:val="both"/>
              <w:rPr>
                <w:sz w:val="16"/>
                <w:szCs w:val="16"/>
                <w:lang w:val="en-GB"/>
              </w:rPr>
            </w:pPr>
            <w:r>
              <w:rPr>
                <w:sz w:val="16"/>
                <w:szCs w:val="16"/>
                <w:lang w:val="en-GB"/>
              </w:rPr>
              <w:t>Signature of Customer/ Authorised Person                                                                                      Company Authorised signatory</w:t>
            </w:r>
          </w:p>
          <w:p>
            <w:pPr>
              <w:pStyle w:val="Normal"/>
              <w:jc w:val="both"/>
              <w:rPr>
                <w:sz w:val="16"/>
                <w:szCs w:val="16"/>
                <w:lang w:val="en-GB"/>
              </w:rPr>
            </w:pPr>
            <w:r>
              <w:rPr>
                <w:sz w:val="16"/>
                <w:szCs w:val="16"/>
                <w:lang w:val="en-GB"/>
              </w:rPr>
            </w:r>
          </w:p>
          <w:p>
            <w:pPr>
              <w:pStyle w:val="Normal"/>
              <w:jc w:val="both"/>
              <w:rPr/>
            </w:pPr>
            <w:r>
              <w:rPr>
                <w:sz w:val="16"/>
                <w:szCs w:val="16"/>
                <w:lang w:val="en-GB"/>
              </w:rPr>
              <w:t>Name of Authorised Person                                                                                                             Name of Authorised Person</w:t>
            </w:r>
          </w:p>
          <w:p>
            <w:pPr>
              <w:pStyle w:val="Normal"/>
              <w:jc w:val="both"/>
              <w:rPr>
                <w:sz w:val="16"/>
                <w:szCs w:val="16"/>
                <w:lang w:val="en-GB"/>
              </w:rPr>
            </w:pPr>
            <w:r>
              <w:rPr>
                <w:sz w:val="16"/>
                <w:szCs w:val="16"/>
                <w:lang w:val="en-GB"/>
              </w:rPr>
            </w:r>
          </w:p>
          <w:p>
            <w:pPr>
              <w:pStyle w:val="Normal"/>
              <w:jc w:val="both"/>
              <w:rPr>
                <w:sz w:val="16"/>
                <w:szCs w:val="16"/>
              </w:rPr>
            </w:pPr>
            <w:r>
              <w:rPr>
                <w:sz w:val="16"/>
                <w:szCs w:val="16"/>
              </w:rPr>
            </w:r>
          </w:p>
        </w:tc>
      </w:tr>
    </w:tbl>
    <w:p>
      <w:pPr>
        <w:pStyle w:val="NormalWeb"/>
        <w:spacing w:before="100" w:after="100"/>
        <w:jc w:val="both"/>
        <w:rPr>
          <w:sz w:val="20"/>
        </w:rPr>
      </w:pPr>
      <w:r>
        <w:rPr>
          <w:sz w:val="20"/>
        </w:rPr>
      </w:r>
    </w:p>
    <w:sectPr>
      <w:type w:val="nextPage"/>
      <w:pgSz w:w="12240" w:h="15840"/>
      <w:pgMar w:left="1800" w:right="1800" w:gutter="0" w:header="0" w:top="1440" w:footer="0" w:bottom="1440"/>
      <w:pgBorders w:display="allPages" w:offsetFrom="page"/>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432" w:hanging="432"/>
      </w:pPr>
    </w:lvl>
    <w:lvl w:ilvl="1">
      <w:start w:val="1"/>
      <w:numFmt w:val="none"/>
      <w:suff w:val="nothing"/>
      <w:lvlText w:val=""/>
      <w:lvlJc w:val="start"/>
      <w:pPr>
        <w:tabs>
          <w:tab w:val="num" w:pos="0"/>
        </w:tabs>
        <w:ind w:start="576" w:hanging="576"/>
      </w:pPr>
    </w:lvl>
    <w:lvl w:ilvl="2">
      <w:start w:val="1"/>
      <w:numFmt w:val="none"/>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3">
    <w:lvl w:ilvl="0">
      <w:start w:val="1"/>
      <w:numFmt w:val="lowerLetter"/>
      <w:lvlText w:val="(%1)"/>
      <w:lvlJc w:val="start"/>
      <w:pPr>
        <w:tabs>
          <w:tab w:val="num" w:pos="420"/>
        </w:tabs>
        <w:ind w:start="4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32"/>
    </w:rPr>
  </w:style>
  <w:style w:type="paragraph" w:styleId="Heading2">
    <w:name w:val="heading 2"/>
    <w:basedOn w:val="Normal"/>
    <w:next w:val="BodyText"/>
    <w:qFormat/>
    <w:pPr>
      <w:numPr>
        <w:ilvl w:val="1"/>
        <w:numId w:val="1"/>
      </w:numPr>
      <w:spacing w:before="100" w:after="100"/>
      <w:outlineLvl w:val="1"/>
    </w:pPr>
    <w:rPr>
      <w:rFonts w:ascii="Verdana" w:hAnsi="Verdana" w:cs="Verdana"/>
      <w:b/>
      <w:color w:val="00336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szCs w:val="24"/>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character" w:styleId="Hyperlink">
    <w:name w:val="Hyperlink"/>
    <w:rPr>
      <w:color w:val="0000CC"/>
      <w:u w:val="single"/>
    </w:rPr>
  </w:style>
  <w:style w:type="character" w:styleId="Heading6Char">
    <w:name w:val="Heading 6 Char"/>
    <w:qFormat/>
    <w:rPr>
      <w:rFonts w:ascii="Calibri" w:hAnsi="Calibri" w:eastAsia="Times New Roman" w:cs="Times New Roman"/>
      <w:b/>
      <w:bCs/>
      <w:sz w:val="22"/>
      <w:szCs w:val="22"/>
    </w:rPr>
  </w:style>
  <w:style w:type="character" w:styleId="Heading7Char">
    <w:name w:val="Heading 7 Char"/>
    <w:qFormat/>
    <w:rPr>
      <w:rFonts w:ascii="Calibri" w:hAnsi="Calibri"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before="100" w:after="100"/>
    </w:pPr>
    <w:rPr/>
  </w:style>
  <w:style w:type="paragraph" w:styleId="ListBullet2">
    <w:name w:val="List Bullet 2"/>
    <w:basedOn w:val="Normal"/>
    <w:pPr>
      <w:ind w:hanging="360" w:start="720" w:end="0"/>
    </w:pPr>
    <w:rPr>
      <w:sz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2026-07-15T13:24:00Z</dcterms:created>
  <dc:creator>Valued customer</dc:creator>
  <dc:description/>
  <cp:keywords/>
  <dc:language>en-US</dc:language>
  <cp:lastModifiedBy>akash vichare</cp:lastModifiedBy>
  <cp:lastPrinted>2024-12-23T11:54:00Z</cp:lastPrinted>
  <dcterms:modified xsi:type="dcterms:W3CDTF">2026-07-15T13:24:00Z</dcterms:modified>
  <cp:revision>2</cp:revision>
  <dc:subject/>
  <dc:title>Understanding that in the IP arena, more than any other, quality counts, Cable &amp; Wireless USA has made it an Internet design p</dc:title>
</cp:coreProperties>
</file>