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40" w:before="0"/>
        <w:jc w:val="center"/>
      </w:pPr>
      <w:r>
        <w:rPr>
          <w:rFonts w:ascii="Arial" w:cs="Arial" w:eastAsia="Arial" w:hAnsi="Arial"/>
          <w:b/>
          <w:bCs/>
          <w:color w:val="1B3A6B"/>
          <w:sz w:val="52"/>
          <w:szCs w:val="52"/>
        </w:rPr>
        <w:t xml:space="preserve">AADHAAR DEMOGRAPHICS</w:t>
      </w:r>
    </w:p>
    <w:p>
      <w:pPr>
        <w:spacing w:after="200" w:before="0"/>
        <w:jc w:val="center"/>
      </w:pPr>
      <w:r>
        <w:rPr>
          <w:rFonts w:ascii="Arial" w:cs="Arial" w:eastAsia="Arial" w:hAnsi="Arial"/>
          <w:b/>
          <w:bCs/>
          <w:color w:val="2E75B6"/>
          <w:sz w:val="52"/>
          <w:szCs w:val="52"/>
        </w:rPr>
        <w:t xml:space="preserve">ANALYSIS REPORT</w:t>
      </w:r>
    </w:p>
    <w:p>
      <w:pPr>
        <w:pBdr>
          <w:bottom w:val="single" w:color="2E75B6" w:sz="12" w:space="2"/>
        </w:pBdr>
        <w:spacing w:after="200" w:before="0"/>
      </w:pPr>
    </w:p>
    <w:p>
      <w:pPr>
        <w:spacing w:after="80" w:before="0"/>
        <w:jc w:val="center"/>
      </w:pPr>
      <w:r>
        <w:rPr>
          <w:rFonts w:ascii="Arial" w:cs="Arial" w:eastAsia="Arial" w:hAnsi="Arial"/>
          <w:color w:val="595959"/>
          <w:sz w:val="26"/>
          <w:szCs w:val="26"/>
        </w:rPr>
        <w:t xml:space="preserve">2.07M Raw Records  |  March to December 2025</w:t>
      </w:r>
    </w:p>
    <w:p>
      <w:pPr>
        <w:spacing w:after="400" w:before="0"/>
        <w:jc w:val="center"/>
      </w:pPr>
      <w:r>
        <w:rPr>
          <w:rFonts w:ascii="Arial" w:cs="Arial" w:eastAsia="Arial" w:hAnsi="Arial"/>
          <w:color w:val="595959"/>
          <w:sz w:val="24"/>
          <w:szCs w:val="24"/>
        </w:rPr>
        <w:t xml:space="preserve">India  |  40 States  |  762 Districts  |  19,741 Pincodes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
        <w:gridCol w:w="2200"/>
        <w:gridCol w:w="200"/>
        <w:gridCol w:w="2200"/>
        <w:gridCol w:w="200"/>
        <w:gridCol w:w="2160"/>
      </w:tblGrid>
      <w:tr>
        <w:tc>
          <w:tcPr>
            <w:tcW w:type="dxa" w:w="2200"/>
            <w:tcBorders>
              <w:top w:val="none" w:color="FFFFFF" w:sz="0"/>
              <w:left w:val="none" w:color="FFFFFF" w:sz="0"/>
              <w:bottom w:val="none" w:color="FFFFFF" w:sz="0"/>
              <w:right w:val="none" w:color="FFFFFF" w:sz="0"/>
            </w:tcBorders>
            <w:shd w:fill="1B3A6B" w:val="clear"/>
            <w:tcMar>
              <w:top w:type="dxa" w:w="160"/>
              <w:left w:type="dxa" w:w="120"/>
              <w:bottom w:type="dxa" w:w="160"/>
              <w:right w:type="dxa" w:w="120"/>
            </w:tcMar>
            <w:vAlign w:val="center"/>
          </w:tcPr>
          <w:p>
            <w:pPr>
              <w:spacing w:after="20" w:before="0"/>
              <w:jc w:val="center"/>
            </w:pPr>
            <w:r>
              <w:rPr>
                <w:rFonts w:ascii="Arial" w:cs="Arial" w:eastAsia="Arial" w:hAnsi="Arial"/>
                <w:b/>
                <w:bCs/>
                <w:color w:val="FFFFFF"/>
                <w:sz w:val="40"/>
                <w:szCs w:val="40"/>
              </w:rPr>
              <w:t xml:space="preserve">36.07M</w:t>
            </w:r>
          </w:p>
          <w:p>
            <w:pPr>
              <w:spacing w:after="0" w:before="0"/>
              <w:jc w:val="center"/>
            </w:pPr>
            <w:r>
              <w:rPr>
                <w:rFonts w:ascii="Arial" w:cs="Arial" w:eastAsia="Arial" w:hAnsi="Arial"/>
                <w:color w:val="AECDE8"/>
                <w:sz w:val="16"/>
                <w:szCs w:val="16"/>
              </w:rPr>
              <w:t xml:space="preserve">TOTAL ENROLMENTS</w:t>
            </w:r>
          </w:p>
        </w:tc>
        <w:tc>
          <w:tcPr>
            <w:tcW w:type="dxa" w:w="20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2E75B6" w:val="clear"/>
            <w:tcMar>
              <w:top w:type="dxa" w:w="160"/>
              <w:left w:type="dxa" w:w="120"/>
              <w:bottom w:type="dxa" w:w="160"/>
              <w:right w:type="dxa" w:w="120"/>
            </w:tcMar>
            <w:vAlign w:val="center"/>
          </w:tcPr>
          <w:p>
            <w:pPr>
              <w:spacing w:after="20" w:before="0"/>
              <w:jc w:val="center"/>
            </w:pPr>
            <w:r>
              <w:rPr>
                <w:rFonts w:ascii="Arial" w:cs="Arial" w:eastAsia="Arial" w:hAnsi="Arial"/>
                <w:b/>
                <w:bCs/>
                <w:color w:val="FFFFFF"/>
                <w:sz w:val="40"/>
                <w:szCs w:val="40"/>
              </w:rPr>
              <w:t xml:space="preserve">9.8%</w:t>
            </w:r>
          </w:p>
          <w:p>
            <w:pPr>
              <w:spacing w:after="0" w:before="0"/>
              <w:jc w:val="center"/>
            </w:pPr>
            <w:r>
              <w:rPr>
                <w:rFonts w:ascii="Arial" w:cs="Arial" w:eastAsia="Arial" w:hAnsi="Arial"/>
                <w:color w:val="D6E8F8"/>
                <w:sz w:val="16"/>
                <w:szCs w:val="16"/>
              </w:rPr>
              <w:t xml:space="preserve">CHILD SHARE</w:t>
            </w:r>
          </w:p>
        </w:tc>
        <w:tc>
          <w:tcPr>
            <w:tcW w:type="dxa" w:w="200"/>
            <w:tcBorders>
              <w:top w:val="none" w:color="FFFFFF" w:sz="0"/>
              <w:left w:val="none" w:color="FFFFFF" w:sz="0"/>
              <w:bottom w:val="none" w:color="FFFFFF" w:sz="0"/>
              <w:right w:val="none" w:color="FFFFFF" w:sz="0"/>
            </w:tcBorders>
          </w:tcPr>
          <w:p/>
        </w:tc>
        <w:tc>
          <w:tcPr>
            <w:tcW w:type="dxa" w:w="2200"/>
            <w:tcBorders>
              <w:top w:val="none" w:color="FFFFFF" w:sz="0"/>
              <w:left w:val="none" w:color="FFFFFF" w:sz="0"/>
              <w:bottom w:val="none" w:color="FFFFFF" w:sz="0"/>
              <w:right w:val="none" w:color="FFFFFF" w:sz="0"/>
            </w:tcBorders>
            <w:shd w:fill="C55A11" w:val="clear"/>
            <w:tcMar>
              <w:top w:type="dxa" w:w="160"/>
              <w:left w:type="dxa" w:w="120"/>
              <w:bottom w:type="dxa" w:w="160"/>
              <w:right w:type="dxa" w:w="120"/>
            </w:tcMar>
            <w:vAlign w:val="center"/>
          </w:tcPr>
          <w:p>
            <w:pPr>
              <w:spacing w:after="20" w:before="0"/>
              <w:jc w:val="center"/>
            </w:pPr>
            <w:r>
              <w:rPr>
                <w:rFonts w:ascii="Arial" w:cs="Arial" w:eastAsia="Arial" w:hAnsi="Arial"/>
                <w:b/>
                <w:bCs/>
                <w:color w:val="FFFFFF"/>
                <w:sz w:val="40"/>
                <w:szCs w:val="40"/>
              </w:rPr>
              <w:t xml:space="preserve">1,164x</w:t>
            </w:r>
          </w:p>
          <w:p>
            <w:pPr>
              <w:spacing w:after="0" w:before="0"/>
              <w:jc w:val="center"/>
            </w:pPr>
            <w:r>
              <w:rPr>
                <w:rFonts w:ascii="Arial" w:cs="Arial" w:eastAsia="Arial" w:hAnsi="Arial"/>
                <w:color w:val="FDDCC8"/>
                <w:sz w:val="16"/>
                <w:szCs w:val="16"/>
              </w:rPr>
              <w:t xml:space="preserve">PEAK-TO-TROUGH RATIO</w:t>
            </w:r>
          </w:p>
        </w:tc>
        <w:tc>
          <w:tcPr>
            <w:tcW w:type="dxa" w:w="200"/>
            <w:tcBorders>
              <w:top w:val="none" w:color="FFFFFF" w:sz="0"/>
              <w:left w:val="none" w:color="FFFFFF" w:sz="0"/>
              <w:bottom w:val="none" w:color="FFFFFF" w:sz="0"/>
              <w:right w:val="none" w:color="FFFFFF" w:sz="0"/>
            </w:tcBorders>
          </w:tcPr>
          <w:p/>
        </w:tc>
        <w:tc>
          <w:tcPr>
            <w:tcW w:type="dxa" w:w="2160"/>
            <w:tcBorders>
              <w:top w:val="none" w:color="FFFFFF" w:sz="0"/>
              <w:left w:val="none" w:color="FFFFFF" w:sz="0"/>
              <w:bottom w:val="none" w:color="FFFFFF" w:sz="0"/>
              <w:right w:val="none" w:color="FFFFFF" w:sz="0"/>
            </w:tcBorders>
            <w:shd w:fill="145A32" w:val="clear"/>
            <w:tcMar>
              <w:top w:type="dxa" w:w="160"/>
              <w:left w:type="dxa" w:w="120"/>
              <w:bottom w:type="dxa" w:w="160"/>
              <w:right w:type="dxa" w:w="120"/>
            </w:tcMar>
            <w:vAlign w:val="center"/>
          </w:tcPr>
          <w:p>
            <w:pPr>
              <w:spacing w:after="20" w:before="0"/>
              <w:jc w:val="center"/>
            </w:pPr>
            <w:r>
              <w:rPr>
                <w:rFonts w:ascii="Arial" w:cs="Arial" w:eastAsia="Arial" w:hAnsi="Arial"/>
                <w:b/>
                <w:bCs/>
                <w:color w:val="FFFFFF"/>
                <w:sz w:val="40"/>
                <w:szCs w:val="40"/>
              </w:rPr>
              <w:t xml:space="preserve">21.6%</w:t>
            </w:r>
          </w:p>
          <w:p>
            <w:pPr>
              <w:spacing w:after="0" w:before="0"/>
              <w:jc w:val="center"/>
            </w:pPr>
            <w:r>
              <w:rPr>
                <w:rFonts w:ascii="Arial" w:cs="Arial" w:eastAsia="Arial" w:hAnsi="Arial"/>
                <w:color w:val="A9DFBF"/>
                <w:sz w:val="16"/>
                <w:szCs w:val="16"/>
              </w:rPr>
              <w:t xml:space="preserve">DUPLICATES REMOVED</w:t>
            </w:r>
          </w:p>
        </w:tc>
      </w:tr>
    </w:tbl>
    <w:p>
      <w:pPr>
        <w:spacing w:after="0" w:before="400"/>
      </w:pPr>
      <w:r>
        <w:t xml:space="preserve"/>
      </w:r>
    </w:p>
    <w:p>
      <w:pPr>
        <w:pBdr>
          <w:top w:val="single" w:color="CCCCCC" w:sz="4" w:space="4"/>
        </w:pBdr>
        <w:spacing w:after="120" w:before="0"/>
      </w:pPr>
    </w:p>
    <w:p>
      <w:pPr>
        <w:spacing w:after="60" w:before="0"/>
        <w:jc w:val="center"/>
      </w:pPr>
      <w:r>
        <w:rPr>
          <w:rFonts w:ascii="Arial" w:cs="Arial" w:eastAsia="Arial" w:hAnsi="Arial"/>
          <w:color w:val="595959"/>
          <w:sz w:val="20"/>
          <w:szCs w:val="20"/>
        </w:rPr>
        <w:t xml:space="preserve">Prepared by  </w:t>
      </w:r>
      <w:r>
        <w:rPr>
          <w:rFonts w:ascii="Arial" w:cs="Arial" w:eastAsia="Arial" w:hAnsi="Arial"/>
          <w:b/>
          <w:bCs/>
          <w:color w:val="1B3A6B"/>
          <w:sz w:val="20"/>
          <w:szCs w:val="20"/>
        </w:rPr>
        <w:t xml:space="preserve">Data Intelligence Unit</w:t>
      </w:r>
    </w:p>
    <w:p>
      <w:pPr>
        <w:spacing w:after="60" w:before="0"/>
        <w:jc w:val="center"/>
      </w:pPr>
      <w:r>
        <w:rPr>
          <w:rFonts w:ascii="Arial" w:cs="Arial" w:eastAsia="Arial" w:hAnsi="Arial"/>
          <w:color w:val="595959"/>
          <w:sz w:val="20"/>
          <w:szCs w:val="20"/>
        </w:rPr>
        <w:t xml:space="preserve">Analysis Period: March 2025 to December 2025     |     Report Date: June 2026</w:t>
      </w:r>
    </w:p>
    <w:p>
      <w:pPr>
        <w:spacing w:after="0" w:before="0"/>
        <w:jc w:val="center"/>
      </w:pPr>
      <w:r>
        <w:rPr>
          <w:rFonts w:ascii="Arial" w:cs="Arial" w:eastAsia="Arial" w:hAnsi="Arial"/>
          <w:color w:val="595959"/>
          <w:sz w:val="20"/>
          <w:szCs w:val="20"/>
        </w:rPr>
        <w:t xml:space="preserve">Dataset: UIDAI Data Hackathon 2026</w:t>
      </w:r>
    </w:p>
    <w:p>
      <w:pPr>
        <w:spacing w:after="0" w:before="0"/>
      </w:pPr>
      <w:r>
        <w:br w:type="page"/>
      </w:r>
    </w:p>
    <w:p>
      <w:pPr>
        <w:sectPr>
          <w:pgSz w:w="12240" w:h="15840" w:orient="portrait"/>
          <w:pgMar w:top="1440" w:right="1440" w:bottom="1440" w:left="1440" w:header="708" w:footer="708" w:gutter="0"/>
          <w:pgNumType/>
          <w:docGrid w:linePitch="360"/>
        </w:sectPr>
      </w:pPr>
    </w:p>
    <w:p>
      <w:pPr>
        <w:pBdr>
          <w:bottom w:val="single" w:color="2E75B6" w:sz="8" w:space="4"/>
        </w:pBdr>
        <w:spacing w:after="120" w:before="320"/>
      </w:pPr>
      <w:r>
        <w:rPr>
          <w:rFonts w:ascii="Arial" w:cs="Arial" w:eastAsia="Arial" w:hAnsi="Arial"/>
          <w:b/>
          <w:bCs/>
          <w:color w:val="1B3A6B"/>
          <w:sz w:val="28"/>
          <w:szCs w:val="28"/>
        </w:rPr>
        <w:t xml:space="preserve">EXECUTIVE SUMMARY</w:t>
      </w:r>
    </w:p>
    <w:p>
      <w:pPr>
        <w:spacing w:after="80" w:before="60"/>
        <w:jc w:val="both"/>
      </w:pPr>
      <w:r>
        <w:rPr>
          <w:rFonts w:ascii="Arial" w:cs="Arial" w:eastAsia="Arial" w:hAnsi="Arial"/>
          <w:color w:val="222222"/>
          <w:sz w:val="22"/>
          <w:szCs w:val="22"/>
        </w:rPr>
        <w:t xml:space="preserve">This report presents a comprehensive analysis of Aadhaar enrollment data spanning March through December 2025, covering 36.07 million enrolments across 762 districts and 19,741 unique pincodes in India. The analysis goes beyond surface-level counts to identify data quality issues, behavioral enrollment patterns, geographic concentrations, and demographic gaps that carry real operational significance.</w:t>
      </w:r>
    </w:p>
    <w:p>
      <w:pPr>
        <w:spacing w:after="80" w:before="60"/>
        <w:jc w:val="both"/>
      </w:pPr>
      <w:r>
        <w:rPr>
          <w:rFonts w:ascii="Arial" w:cs="Arial" w:eastAsia="Arial" w:hAnsi="Arial"/>
          <w:color w:val="222222"/>
          <w:sz w:val="22"/>
          <w:szCs w:val="22"/>
        </w:rPr>
        <w:t xml:space="preserve">The dataset required substantial cleaning: 430,010 duplicate records (21.6%) were removed, nine spelling variants of a single state name were unified, and an entire month of data (August 2025) was found to be absent. Beyond the data quality issues, the analysis surfaces a striking pattern mismatch in the original reporting: what appeared to be a 'Saturday anomaly' of 2.5x weekend enrollment is in fact a single-day outlier on March 1, 2025. Once corrected, Saturdays actually average 21% below weekdays — a far more intuitive result. Such distinctions matter when decisions are built on them.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2E75B6" w:sz="1"/>
              <w:left w:val="single" w:color="2E75B6" w:sz="1"/>
              <w:bottom w:val="single" w:color="2E75B6" w:sz="1"/>
              <w:right w:val="single" w:color="2E75B6" w:sz="1"/>
            </w:tcBorders>
            <w:shd w:fill="1B3A6B" w:val="clear"/>
            <w:tcMar>
              <w:top w:type="dxa" w:w="80"/>
              <w:left w:type="dxa" w:w="160"/>
              <w:bottom w:type="dxa" w:w="80"/>
              <w:right w:type="dxa" w:w="120"/>
            </w:tcMar>
          </w:tcPr>
          <w:p>
            <w:r>
              <w:rPr>
                <w:rFonts w:ascii="Arial" w:cs="Arial" w:eastAsia="Arial" w:hAnsi="Arial"/>
                <w:b/>
                <w:bCs/>
                <w:color w:val="FFFFFF"/>
                <w:sz w:val="21"/>
                <w:szCs w:val="21"/>
              </w:rPr>
              <w:t xml:space="preserve">Metric</w:t>
            </w:r>
          </w:p>
        </w:tc>
        <w:tc>
          <w:tcPr>
            <w:tcW w:type="dxa" w:w="4860"/>
            <w:tcBorders>
              <w:top w:val="single" w:color="2E75B6" w:sz="1"/>
              <w:left w:val="single" w:color="2E75B6" w:sz="1"/>
              <w:bottom w:val="single" w:color="2E75B6" w:sz="1"/>
              <w:right w:val="single" w:color="2E75B6" w:sz="1"/>
            </w:tcBorders>
            <w:shd w:fill="1B3A6B" w:val="clear"/>
            <w:tcMar>
              <w:top w:type="dxa" w:w="80"/>
              <w:left w:type="dxa" w:w="160"/>
              <w:bottom w:type="dxa" w:w="80"/>
              <w:right w:type="dxa" w:w="120"/>
            </w:tcMar>
          </w:tcPr>
          <w:p>
            <w:r>
              <w:rPr>
                <w:rFonts w:ascii="Arial" w:cs="Arial" w:eastAsia="Arial" w:hAnsi="Arial"/>
                <w:b/>
                <w:bCs/>
                <w:color w:val="FFFFFF"/>
                <w:sz w:val="21"/>
                <w:szCs w:val="21"/>
              </w:rPr>
              <w:t xml:space="preserve">Value</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1"/>
                <w:szCs w:val="21"/>
              </w:rPr>
              <w:t xml:space="preserve">Total Enrolments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1"/>
                <w:szCs w:val="21"/>
              </w:rPr>
              <w:t xml:space="preserve">36.07M (Mar–Dec 2025)</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333333"/>
                <w:sz w:val="21"/>
                <w:szCs w:val="21"/>
              </w:rPr>
              <w:t xml:space="preserve">Raw Records (dataset)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1"/>
                <w:szCs w:val="21"/>
              </w:rPr>
              <w:t xml:space="preserve">2,071,700 rows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1"/>
                <w:szCs w:val="21"/>
              </w:rPr>
              <w:t xml:space="preserve">After Deduplication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1"/>
                <w:szCs w:val="21"/>
              </w:rPr>
              <w:t xml:space="preserve">1,641,690 records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333333"/>
                <w:sz w:val="21"/>
                <w:szCs w:val="21"/>
              </w:rPr>
              <w:t xml:space="preserve">Duplicate Rate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1"/>
                <w:szCs w:val="21"/>
              </w:rPr>
              <w:t xml:space="preserve">21.6% (430,010 removed)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1"/>
                <w:szCs w:val="21"/>
              </w:rPr>
              <w:t xml:space="preserve">Child Share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1"/>
                <w:szCs w:val="21"/>
              </w:rPr>
              <w:t xml:space="preserve">9.8% vs ~20% in population</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333333"/>
                <w:sz w:val="21"/>
                <w:szCs w:val="21"/>
              </w:rPr>
              <w:t xml:space="preserve">Unique States (cleaned)</w:t>
            </w:r>
          </w:p>
        </w:tc>
        <w:tc>
          <w:tcPr>
            <w:tcW w:type="dxa" w:w="4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1"/>
                <w:szCs w:val="21"/>
              </w:rPr>
              <w:t xml:space="preserve">~40</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1"/>
                <w:szCs w:val="21"/>
              </w:rPr>
              <w:t xml:space="preserve">Unique Districts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1"/>
                <w:szCs w:val="21"/>
              </w:rPr>
              <w:t xml:space="preserve">762</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333333"/>
                <w:sz w:val="21"/>
                <w:szCs w:val="21"/>
              </w:rPr>
              <w:t xml:space="preserve">Unique Pincodes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1"/>
                <w:szCs w:val="21"/>
              </w:rPr>
              <w:t xml:space="preserve">19,741</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333333"/>
                <w:sz w:val="21"/>
                <w:szCs w:val="21"/>
              </w:rPr>
              <w:t xml:space="preserve">Peak Single Day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1"/>
                <w:szCs w:val="21"/>
              </w:rPr>
              <w:t xml:space="preserve">March 1, 2025 — 8.19M enrolments</w:t>
            </w:r>
          </w:p>
        </w:tc>
      </w:tr>
      <w:tr>
        <w:tc>
          <w:tcPr>
            <w:tcW w:type="dxa" w:w="45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333333"/>
                <w:sz w:val="21"/>
                <w:szCs w:val="21"/>
              </w:rPr>
              <w:t xml:space="preserve">Peak-to-Trough Ratio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1"/>
                <w:szCs w:val="21"/>
              </w:rPr>
              <w:t xml:space="preserve">1,164 to 1</w:t>
            </w:r>
          </w:p>
        </w:tc>
      </w:tr>
    </w:tbl>
    <w:p>
      <w:pPr>
        <w:spacing w:after="0" w:before="200"/>
      </w:pPr>
      <w:r>
        <w:t xml:space="preserve"/>
      </w:r>
    </w:p>
    <w:p>
      <w:pPr>
        <w:pBdr>
          <w:bottom w:val="single" w:color="2E75B6" w:sz="8" w:space="4"/>
        </w:pBdr>
        <w:spacing w:after="120" w:before="320"/>
      </w:pPr>
      <w:r>
        <w:rPr>
          <w:rFonts w:ascii="Arial" w:cs="Arial" w:eastAsia="Arial" w:hAnsi="Arial"/>
          <w:b/>
          <w:bCs/>
          <w:color w:val="1B3A6B"/>
          <w:sz w:val="24"/>
          <w:szCs w:val="24"/>
        </w:rPr>
        <w:t xml:space="preserve">TOP FINDINGS AT A GLANCE</w:t>
      </w:r>
    </w:p>
    <w:p>
      <w:pPr>
        <w:pStyle w:val="ListParagraph"/>
        <w:numPr>
          <w:ilvl w:val="0"/>
          <w:numId w:val="2"/>
        </w:numPr>
        <w:spacing w:after="60" w:before="60"/>
      </w:pPr>
      <w:r>
        <w:rPr>
          <w:rFonts w:ascii="Arial" w:cs="Arial" w:eastAsia="Arial" w:hAnsi="Arial"/>
          <w:color w:val="222222"/>
          <w:sz w:val="22"/>
          <w:szCs w:val="22"/>
        </w:rPr>
        <w:t xml:space="preserve">March 1, 2025 alone accounts for 22.7% of all enrolments in the entire 10-month period</w:t>
      </w:r>
    </w:p>
    <w:p>
      <w:pPr>
        <w:pStyle w:val="ListParagraph"/>
        <w:numPr>
          <w:ilvl w:val="0"/>
          <w:numId w:val="2"/>
        </w:numPr>
        <w:spacing w:after="60" w:before="60"/>
      </w:pPr>
      <w:r>
        <w:rPr>
          <w:rFonts w:ascii="Arial" w:cs="Arial" w:eastAsia="Arial" w:hAnsi="Arial"/>
          <w:color w:val="222222"/>
          <w:sz w:val="22"/>
          <w:szCs w:val="22"/>
        </w:rPr>
        <w:t xml:space="preserve">The apparent 'Saturday anomaly' is caused by a single data point — March 1 is a Saturday</w:t>
      </w:r>
    </w:p>
    <w:p>
      <w:pPr>
        <w:pStyle w:val="ListParagraph"/>
        <w:numPr>
          <w:ilvl w:val="0"/>
          <w:numId w:val="2"/>
        </w:numPr>
        <w:spacing w:after="60" w:before="60"/>
      </w:pPr>
      <w:r>
        <w:rPr>
          <w:rFonts w:ascii="Arial" w:cs="Arial" w:eastAsia="Arial" w:hAnsi="Arial"/>
          <w:color w:val="222222"/>
          <w:sz w:val="22"/>
          <w:szCs w:val="22"/>
        </w:rPr>
        <w:t xml:space="preserve">Rajasthan and Jharkhand each recorded over 38% of their annual enrolments in a single month (March)</w:t>
      </w:r>
    </w:p>
    <w:p>
      <w:pPr>
        <w:pStyle w:val="ListParagraph"/>
        <w:numPr>
          <w:ilvl w:val="0"/>
          <w:numId w:val="2"/>
        </w:numPr>
        <w:spacing w:after="60" w:before="60"/>
      </w:pPr>
      <w:r>
        <w:rPr>
          <w:rFonts w:ascii="Arial" w:cs="Arial" w:eastAsia="Arial" w:hAnsi="Arial"/>
          <w:color w:val="222222"/>
          <w:sz w:val="22"/>
          <w:szCs w:val="22"/>
        </w:rPr>
        <w:t xml:space="preserve">Children represent only 9.8% of enrolments despite being roughly 20% of India's population</w:t>
      </w:r>
    </w:p>
    <w:p>
      <w:pPr>
        <w:pStyle w:val="ListParagraph"/>
        <w:numPr>
          <w:ilvl w:val="0"/>
          <w:numId w:val="2"/>
        </w:numPr>
        <w:spacing w:after="60" w:before="60"/>
      </w:pPr>
      <w:r>
        <w:rPr>
          <w:rFonts w:ascii="Arial" w:cs="Arial" w:eastAsia="Arial" w:hAnsi="Arial"/>
          <w:color w:val="222222"/>
          <w:sz w:val="22"/>
          <w:szCs w:val="22"/>
        </w:rPr>
        <w:t xml:space="preserve">The 'real' daily volatility coefficient of variation drops from 220% to 69% excluding March 1</w:t>
      </w:r>
    </w:p>
    <w:p>
      <w:pPr>
        <w:pStyle w:val="ListParagraph"/>
        <w:numPr>
          <w:ilvl w:val="0"/>
          <w:numId w:val="2"/>
        </w:numPr>
        <w:spacing w:after="60" w:before="60"/>
      </w:pPr>
      <w:r>
        <w:rPr>
          <w:rFonts w:ascii="Arial" w:cs="Arial" w:eastAsia="Arial" w:hAnsi="Arial"/>
          <w:color w:val="222222"/>
          <w:sz w:val="22"/>
          <w:szCs w:val="22"/>
        </w:rPr>
        <w:t xml:space="preserve">Delhi has the highest enrollment concentration: 10,356 enrolments per unique pincode</w:t>
      </w:r>
    </w:p>
    <w:p>
      <w:pPr>
        <w:pStyle w:val="ListParagraph"/>
        <w:numPr>
          <w:ilvl w:val="0"/>
          <w:numId w:val="2"/>
        </w:numPr>
        <w:spacing w:after="60" w:before="60"/>
      </w:pPr>
      <w:r>
        <w:rPr>
          <w:rFonts w:ascii="Arial" w:cs="Arial" w:eastAsia="Arial" w:hAnsi="Arial"/>
          <w:color w:val="222222"/>
          <w:sz w:val="22"/>
          <w:szCs w:val="22"/>
        </w:rPr>
        <w:t xml:space="preserve">Five pincodes in Uttar Pradesh and Delhi together account for over 330,000 enrolments</w:t>
      </w:r>
    </w:p>
    <w:p>
      <w:pPr>
        <w:pStyle w:val="ListParagraph"/>
        <w:numPr>
          <w:ilvl w:val="0"/>
          <w:numId w:val="2"/>
        </w:numPr>
        <w:spacing w:after="60" w:before="60"/>
      </w:pPr>
      <w:r>
        <w:rPr>
          <w:rFonts w:ascii="Arial" w:cs="Arial" w:eastAsia="Arial" w:hAnsi="Arial"/>
          <w:color w:val="222222"/>
          <w:sz w:val="22"/>
          <w:szCs w:val="22"/>
        </w:rPr>
        <w:t xml:space="preserve">Top 3 states (UP, Maharashtra, Bihar) contribute 38% of all enrolments</w:t>
      </w:r>
    </w:p>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1. DATA QUALITY AUDIT</w:t>
      </w:r>
    </w:p>
    <w:p>
      <w:pPr>
        <w:spacing w:after="80" w:before="60"/>
        <w:jc w:val="both"/>
      </w:pPr>
      <w:r>
        <w:rPr>
          <w:rFonts w:ascii="Arial" w:cs="Arial" w:eastAsia="Arial" w:hAnsi="Arial"/>
          <w:color w:val="222222"/>
          <w:sz w:val="22"/>
          <w:szCs w:val="22"/>
        </w:rPr>
        <w:t xml:space="preserve">Before any analysis, the dataset required significant remediation. The issues found are not minor clerical matters; they directly affect the reliability of any geographic or temporal aggregation. Each issue is documented below with its scale and recommended action.</w:t>
      </w:r>
    </w:p>
    <w:p>
      <w:pPr>
        <w:spacing w:after="0" w:before="12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21.6% of Records Are Duplicates — 430,010 duplicate rows were found and removed from 2,071,700 raw records. This is an unusually high duplication rate for an official government enrollment dataset. The most likely explanation is a system-level batch re-upload or an aggregation error at the source. If these duplicates reached downstream reporting systems, enrollment figures could have been overstated by more than a fifth.</w:t>
            </w:r>
          </w:p>
        </w:tc>
      </w:tr>
    </w:tbl>
    <w:p>
      <w:pPr>
        <w:spacing w:after="0" w:before="8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Nine Spellings for One State — West Bengal appears in nine distinct forms in the raw data: West Bengal (correct), West Bangal, West Bengal (double space), Westbengal, WEST BENGAL, WESTBENGAL, West bengal, west Bengal, and West Bengli. Combined, the incorrect variants represent 327 affected records. Without standardization, West Bengal's true enrollment total of 2.77M is fragmented across nine buckets, making any state-level ranking unreliable from the raw data.</w:t>
            </w:r>
          </w:p>
        </w:tc>
      </w:tr>
    </w:tbl>
    <w:p>
      <w:pPr>
        <w:spacing w:after="0" w:before="8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FFD966" w:val="clear"/>
            <w:tcMar>
              <w:top w:type="dxa" w:w="80"/>
              <w:left w:type="dxa" w:w="120"/>
              <w:bottom w:type="dxa" w:w="80"/>
              <w:right w:type="dxa" w:w="120"/>
            </w:tcMar>
            <w:vAlign w:val="center"/>
          </w:tcPr>
          <w:p>
            <w:pPr>
              <w:jc w:val="center"/>
            </w:pPr>
            <w:r>
              <w:rPr>
                <w:rFonts w:ascii="Arial" w:cs="Arial" w:eastAsia="Arial" w:hAnsi="Arial"/>
                <w:b/>
                <w:bCs/>
                <w:color w:val="1B3A6B"/>
                <w:sz w:val="18"/>
                <w:szCs w:val="18"/>
              </w:rPr>
              <w:t xml:space="preserve">WARNING</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August 2025 Data Is Completely Missing — The month of August 2025 is entirely absent from the dataset. Given that September 2025 shows 5.9 million enrolments, a sharp and unexplained jump from July's 1.5 million, the missing August data makes it impossible to determine whether this is a genuine enrollment surge, a delayed upload, or a backfill artifact. Any trend line drawn through this period is broken.</w:t>
            </w:r>
          </w:p>
        </w:tc>
      </w:tr>
    </w:tbl>
    <w:p>
      <w:pPr>
        <w:spacing w:after="0" w:before="8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70AD47"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Invalid State Entries — The raw data contains several invalid state names including the numeric value '100000', the city 'Darbhanga' (a district, not a state), and 'Puttenahalli' (a locality in Bengaluru). While these are low-volume entries, they indicate an absence of field-level validation at data entry. Other variants include lowercase 'andhra pradesh' (36 records) and mixed-case 'ODISHA'/'odisha' (38 records combined).</w:t>
            </w:r>
          </w:p>
        </w:tc>
      </w:tr>
    </w:tbl>
    <w:p>
      <w:pPr>
        <w:spacing w:after="0" w:before="200"/>
      </w:pPr>
      <w:r>
        <w:t xml:space="preserve"/>
      </w:r>
    </w:p>
    <w:p>
      <w:pPr>
        <w:pBdr>
          <w:bottom w:val="single" w:color="2E75B6" w:sz="8" w:space="4"/>
        </w:pBdr>
        <w:spacing w:after="120" w:before="320"/>
      </w:pPr>
      <w:r>
        <w:rPr>
          <w:rFonts w:ascii="Arial" w:cs="Arial" w:eastAsia="Arial" w:hAnsi="Arial"/>
          <w:b/>
          <w:bCs/>
          <w:color w:val="1B3A6B"/>
          <w:sz w:val="24"/>
          <w:szCs w:val="24"/>
        </w:rPr>
        <w:t xml:space="preserve">DATA QUALITY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400"/>
        <w:gridCol w:w="2160"/>
      </w:tblGrid>
      <w:t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Issue</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Scale</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Impact</w:t>
            </w:r>
          </w:p>
        </w:tc>
        <w:tc>
          <w:tcPr>
            <w:tcW w:type="dxa" w:w="2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Duplicate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430,010 rows (21.6%)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Inflated counts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00000"/>
                <w:sz w:val="20"/>
                <w:szCs w:val="20"/>
              </w:rPr>
              <w:t xml:space="preserve">Removed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State name variants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9 variants (West Bengal)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Broken geo aggregation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75623"/>
                <w:sz w:val="20"/>
                <w:szCs w:val="20"/>
              </w:rPr>
              <w:t xml:space="preserve">Standardized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Missing August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~31 days of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Broken trend analysis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BF8F00"/>
                <w:sz w:val="20"/>
                <w:szCs w:val="20"/>
              </w:rPr>
              <w:t xml:space="preserve">Flagged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Invalid state entries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~74 records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Classification errors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75623"/>
                <w:sz w:val="20"/>
                <w:szCs w:val="20"/>
              </w:rPr>
              <w:t xml:space="preserve">Excluded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Lowercase state names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36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Merge mismatch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75623"/>
                <w:sz w:val="20"/>
                <w:szCs w:val="20"/>
              </w:rPr>
              <w:t xml:space="preserve">Corrected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District as state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Darbhanga, Puttenahalli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Misclassification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C00000"/>
                <w:sz w:val="20"/>
                <w:szCs w:val="20"/>
              </w:rPr>
              <w:t xml:space="preserve">Removed</w:t>
            </w:r>
          </w:p>
        </w:tc>
      </w:tr>
    </w:tbl>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2. THE MARCH 1 ANOMALY: A CORRECTED FINDING</w:t>
      </w:r>
    </w:p>
    <w:p>
      <w:pPr>
        <w:spacing w:after="80" w:before="60"/>
        <w:jc w:val="both"/>
      </w:pPr>
      <w:r>
        <w:rPr>
          <w:rFonts w:ascii="Arial" w:cs="Arial" w:eastAsia="Arial" w:hAnsi="Arial"/>
          <w:color w:val="222222"/>
          <w:sz w:val="22"/>
          <w:szCs w:val="22"/>
        </w:rPr>
        <w:t xml:space="preserve">The most important corrective finding in this analysis concerns a widely cited claim: that Saturdays show 2.5x higher enrolments than weekdays. This is technically accurate in aggregate but deeply misleading. March 1, 2025, which happens to be a Saturday, recorded 8,190,152 enrolments — a single day responsible for 22.7% of all enrolments across the entire 10-month period. When this one data point is excluded, Saturdays actually average 250,698 enrolments per day, which is 21% below the weekday average of 318,484. The 'Saturday anomaly' vanishes entirely.</w:t>
      </w:r>
    </w:p>
    <w:p>
      <w:pPr>
        <w:spacing w:after="80" w:before="60"/>
        <w:jc w:val="both"/>
      </w:pPr>
      <w:r>
        <w:rPr>
          <w:rFonts w:ascii="Arial" w:cs="Arial" w:eastAsia="Arial" w:hAnsi="Arial"/>
          <w:color w:val="222222"/>
          <w:sz w:val="22"/>
          <w:szCs w:val="22"/>
        </w:rPr>
        <w:t xml:space="preserve">The real question is what happened on March 1. The most plausible explanations are: (1) a major national enrollment drive was launched on that date; (2) enrollment records from February 2025 were batch-uploaded on March 1; or (3) multiple enrollment channels simultaneously submitted data on that day. The fact that Rajasthan recorded 41.3% of its entire period's enrolments in March, and Jharkhand recorded 38.5%, points toward a coordinated drive rather than a technical upload artifact — but without source-system logs this remains unconfirmed.</w:t>
      </w:r>
    </w:p>
    <w:p>
      <w:pPr>
        <w:spacing w:after="0" w:before="160"/>
      </w:pPr>
      <w:r>
        <w:t xml:space="preserve"/>
      </w:r>
    </w:p>
    <w:p>
      <w:pPr>
        <w:pBdr>
          <w:bottom w:val="single" w:color="2E75B6" w:sz="8" w:space="4"/>
        </w:pBdr>
        <w:spacing w:after="120" w:before="320"/>
      </w:pPr>
      <w:r>
        <w:rPr>
          <w:rFonts w:ascii="Arial" w:cs="Arial" w:eastAsia="Arial" w:hAnsi="Arial"/>
          <w:b/>
          <w:bCs/>
          <w:color w:val="1B3A6B"/>
          <w:sz w:val="24"/>
          <w:szCs w:val="24"/>
        </w:rPr>
        <w:t xml:space="preserve">WEEKDAY AVERAGE COMPARISON (Corrected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2160"/>
      </w:tblGrid>
      <w:tr>
        <w:tc>
          <w:tcPr>
            <w:tcW w:type="dxa" w:w="22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Day</w:t>
            </w:r>
          </w:p>
        </w:tc>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Avg Enrolments/Day</w:t>
            </w:r>
          </w:p>
        </w:tc>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vs Weekday Avg</w:t>
            </w:r>
          </w:p>
        </w:tc>
        <w:tc>
          <w:tcPr>
            <w:tcW w:type="dxa" w:w="21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Monday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277,893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00000"/>
                <w:sz w:val="20"/>
                <w:szCs w:val="20"/>
              </w:rPr>
              <w:t xml:space="preserve">-13%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Below average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Tuesday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408,915</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75623"/>
                <w:sz w:val="20"/>
                <w:szCs w:val="20"/>
              </w:rPr>
              <w:t xml:space="preserve">+28%</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Highest weekday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Wednesday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266,320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00000"/>
                <w:sz w:val="20"/>
                <w:szCs w:val="20"/>
              </w:rPr>
              <w:t xml:space="preserve">-16%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Below average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Thursday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318,729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33333"/>
                <w:sz w:val="20"/>
                <w:szCs w:val="20"/>
              </w:rPr>
              <w:t xml:space="preserve">Baseline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Friday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309,753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C00000"/>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Near baseline</w:t>
            </w:r>
          </w:p>
        </w:tc>
      </w:tr>
      <w:tr>
        <w:tc>
          <w:tcPr>
            <w:tcW w:type="dxa" w:w="22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333333"/>
                <w:sz w:val="20"/>
                <w:szCs w:val="20"/>
              </w:rPr>
              <w:t xml:space="preserve">Saturday (raw)</w:t>
            </w:r>
          </w:p>
        </w:tc>
        <w:tc>
          <w:tcPr>
            <w:tcW w:type="dxa" w:w="25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333333"/>
                <w:sz w:val="20"/>
                <w:szCs w:val="20"/>
              </w:rPr>
              <w:t xml:space="preserve">817,802</w:t>
            </w:r>
          </w:p>
        </w:tc>
        <w:tc>
          <w:tcPr>
            <w:tcW w:type="dxa" w:w="25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375623"/>
                <w:sz w:val="20"/>
                <w:szCs w:val="20"/>
              </w:rPr>
              <w:t xml:space="preserve">+157%</w:t>
            </w:r>
          </w:p>
        </w:tc>
        <w:tc>
          <w:tcPr>
            <w:tcW w:type="dxa" w:w="21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333333"/>
                <w:sz w:val="20"/>
                <w:szCs w:val="20"/>
              </w:rPr>
              <w:t xml:space="preserve">Distorted by March 1</w:t>
            </w:r>
          </w:p>
        </w:tc>
      </w:tr>
      <w:tr>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33333"/>
                <w:sz w:val="20"/>
                <w:szCs w:val="20"/>
              </w:rPr>
              <w:t xml:space="preserve">Saturday (corrected)</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33333"/>
                <w:sz w:val="20"/>
                <w:szCs w:val="20"/>
              </w:rPr>
              <w:t xml:space="preserve">250,698</w:t>
            </w:r>
          </w:p>
        </w:tc>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C00000"/>
                <w:sz w:val="20"/>
                <w:szCs w:val="20"/>
              </w:rPr>
              <w:t xml:space="preserve">-21%</w:t>
            </w:r>
          </w:p>
        </w:tc>
        <w:tc>
          <w:tcPr>
            <w:tcW w:type="dxa" w:w="2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33333"/>
                <w:sz w:val="20"/>
                <w:szCs w:val="20"/>
              </w:rPr>
              <w:t xml:space="preserve">Without March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Sunday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220,983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C00000"/>
                <w:sz w:val="20"/>
                <w:szCs w:val="20"/>
              </w:rPr>
              <w:t xml:space="preserve">-31%</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Lowest day</w:t>
            </w:r>
          </w:p>
        </w:tc>
      </w:tr>
    </w:tbl>
    <w:p>
      <w:pPr>
        <w:spacing w:after="0" w:before="16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FINDING</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True Volatility Is 69%, Not 220% — The Coefficient of Variation (CV) for daily enrolments is reported as 220%, suggesting extreme instability. However, this figure is driven almost entirely by the March 1 outlier. Excluding that single day, the CV drops to 69% — which, while still high, represents a fundamentally different operational picture. Operational planning should be based on the corrected figure.</w:t>
            </w:r>
          </w:p>
        </w:tc>
      </w:tr>
    </w:tbl>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3. ENROLLMENT PATTERNS AND TEMPORAL TRENDS</w:t>
      </w:r>
    </w:p>
    <w:p>
      <w:pPr>
        <w:spacing w:after="80" w:before="60"/>
        <w:jc w:val="both"/>
      </w:pPr>
      <w:r>
        <w:rPr>
          <w:rFonts w:ascii="Arial" w:cs="Arial" w:eastAsia="Arial" w:hAnsi="Arial"/>
          <w:color w:val="222222"/>
          <w:sz w:val="22"/>
          <w:szCs w:val="22"/>
        </w:rPr>
        <w:t xml:space="preserve">Excluding the March 1 spike, enrollment data reveals a clear bimodal structure across the year. April through July represents a sustained low-volume period (averaging under 1.5M per month), followed by a sharp recovery in September (5.9M), a mid-period dip in October (3.4M), and then a strong close in November and December (7.1M each). This pattern is consistent with either post-monsoon enrollment mobilization or academic-year-driven child enrollment timing.</w:t>
      </w:r>
    </w:p>
    <w:p>
      <w:pPr>
        <w:spacing w:after="0" w:before="160"/>
      </w:pPr>
      <w:r>
        <w:t xml:space="preserve"/>
      </w:r>
    </w:p>
    <w:p>
      <w:pPr>
        <w:pBdr>
          <w:bottom w:val="single" w:color="2E75B6" w:sz="8" w:space="4"/>
        </w:pBdr>
        <w:spacing w:after="120" w:before="320"/>
      </w:pPr>
      <w:r>
        <w:rPr>
          <w:rFonts w:ascii="Arial" w:cs="Arial" w:eastAsia="Arial" w:hAnsi="Arial"/>
          <w:b/>
          <w:bCs/>
          <w:color w:val="1B3A6B"/>
          <w:sz w:val="24"/>
          <w:szCs w:val="24"/>
        </w:rPr>
        <w:t xml:space="preserve">MONTHLY ENROLLMENT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1500"/>
        <w:gridCol w:w="2560"/>
      </w:tblGrid>
      <w:tr>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Month</w:t>
            </w:r>
          </w:p>
        </w:tc>
        <w:tc>
          <w:tcPr>
            <w:tcW w:type="dxa" w:w="2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Enrolments</w:t>
            </w:r>
          </w:p>
        </w:tc>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Share</w:t>
            </w:r>
          </w:p>
        </w:tc>
        <w:tc>
          <w:tcPr>
            <w:tcW w:type="dxa" w:w="1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Child %</w:t>
            </w:r>
          </w:p>
        </w:tc>
        <w:tc>
          <w:tcPr>
            <w:tcW w:type="dxa" w:w="2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19"/>
                <w:szCs w:val="19"/>
              </w:rPr>
              <w:t xml:space="preserve">Pattern Note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March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8,190,152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22.7%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8.8%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Dominated by single-day spike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April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907,282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2.5%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13.2%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Post-March 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May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939,768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13.1%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Sustained low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June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1,040,944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2.9%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11.8%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Slight uptick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July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1,510,892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4.2%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12.9%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Pre-monsoon trough</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80"/>
            </w:tcMar>
          </w:tcPr>
          <w:p>
            <w:r>
              <w:rPr>
                <w:rFonts w:ascii="Arial" w:cs="Arial" w:eastAsia="Arial" w:hAnsi="Arial"/>
                <w:b/>
                <w:bCs/>
                <w:color w:val="C55A11"/>
                <w:sz w:val="19"/>
                <w:szCs w:val="19"/>
              </w:rPr>
              <w:t xml:space="preserve">August 2025</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80"/>
            </w:tcMar>
          </w:tcPr>
          <w:p>
            <w:r>
              <w:rPr>
                <w:rFonts w:ascii="Arial" w:cs="Arial" w:eastAsia="Arial" w:hAnsi="Arial"/>
                <w:b/>
                <w:bCs/>
                <w:color w:val="C55A11"/>
                <w:sz w:val="19"/>
                <w:szCs w:val="19"/>
              </w:rPr>
              <w:t xml:space="preserve">MISSING</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80"/>
            </w:tcMar>
          </w:tcPr>
          <w:p>
            <w:r>
              <w:rPr>
                <w:rFonts w:ascii="Arial" w:cs="Arial" w:eastAsia="Arial" w:hAnsi="Arial"/>
                <w:b/>
                <w:bCs/>
                <w:color w:val="C55A11"/>
                <w:sz w:val="19"/>
                <w:szCs w:val="19"/>
              </w:rPr>
              <w:t xml:space="preserve">n/a</w:t>
            </w:r>
          </w:p>
        </w:tc>
        <w:tc>
          <w:tcPr>
            <w:tcW w:type="dxa" w:w="15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80"/>
            </w:tcMar>
          </w:tcPr>
          <w:p>
            <w:r>
              <w:rPr>
                <w:rFonts w:ascii="Arial" w:cs="Arial" w:eastAsia="Arial" w:hAnsi="Arial"/>
                <w:b/>
                <w:bCs/>
                <w:color w:val="C55A11"/>
                <w:sz w:val="19"/>
                <w:szCs w:val="19"/>
              </w:rPr>
              <w:t xml:space="preserve">n/a</w:t>
            </w:r>
          </w:p>
        </w:tc>
        <w:tc>
          <w:tcPr>
            <w:tcW w:type="dxa" w:w="2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80"/>
            </w:tcMar>
          </w:tcPr>
          <w:p>
            <w:r>
              <w:rPr>
                <w:rFonts w:ascii="Arial" w:cs="Arial" w:eastAsia="Arial" w:hAnsi="Arial"/>
                <w:b/>
                <w:bCs/>
                <w:color w:val="C55A11"/>
                <w:sz w:val="19"/>
                <w:szCs w:val="19"/>
              </w:rPr>
              <w:t xml:space="preserve">No data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September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5,909,625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16.4%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10.6%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Strong recovery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October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3,375,616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9.4%</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9.6%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Mid-period dip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November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7,084,305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19.6%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8.7%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19"/>
                <w:szCs w:val="19"/>
              </w:rPr>
              <w:t xml:space="preserve">High-volume close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December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7,117,802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19.7%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9.8%</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19"/>
                <w:szCs w:val="19"/>
              </w:rPr>
              <w:t xml:space="preserve">Matches November</w:t>
            </w:r>
          </w:p>
        </w:tc>
      </w:tr>
    </w:tbl>
    <w:p>
      <w:pPr>
        <w:spacing w:after="0" w:before="160"/>
      </w:pPr>
      <w:r>
        <w:t xml:space="preserve"/>
      </w:r>
    </w:p>
    <w:p>
      <w:pPr>
        <w:spacing w:after="80" w:before="60"/>
        <w:jc w:val="both"/>
      </w:pPr>
      <w:r>
        <w:rPr>
          <w:rFonts w:ascii="Arial" w:cs="Arial" w:eastAsia="Arial" w:hAnsi="Arial"/>
          <w:color w:val="222222"/>
          <w:sz w:val="22"/>
          <w:szCs w:val="22"/>
        </w:rPr>
        <w:t xml:space="preserve">A secondary pattern emerges in child enrollment percentage across months. April through July — the low-volume months — show the highest child enrollment shares (11.8% to 13.2%). This inverts in the high-volume months of November and December, where child share falls to 8.7% and 9.8% respectively. The interpretation: adult enrollment campaigns drive volume in peak months, while child enrollment happens more steadily throughout the year. Targeted child enrollment drives should therefore be timed to coincide with high-volume months to raise child share without sacrificing volume.</w:t>
      </w:r>
    </w:p>
    <w:p>
      <w:pPr>
        <w:spacing w:after="0" w:before="8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Start-of-Month Surge Is Real — Days 1 through 5 of each month average 854,096 enrolments, compared to just 254,097 for mid-month days and 250,401 for end-of-month days. This is a 3.4x differential unrelated to the March 1 outlier, suggesting either a genuine operational surge or a batch-reporting pattern where field offices submit accumulated records at the beginning of each month.</w:t>
            </w:r>
          </w:p>
        </w:tc>
      </w:tr>
    </w:tbl>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4. GEOGRAPHIC DISTRIBUTION</w:t>
      </w:r>
    </w:p>
    <w:p>
      <w:pPr>
        <w:spacing w:after="80" w:before="60"/>
        <w:jc w:val="both"/>
      </w:pPr>
      <w:r>
        <w:rPr>
          <w:rFonts w:ascii="Arial" w:cs="Arial" w:eastAsia="Arial" w:hAnsi="Arial"/>
          <w:color w:val="222222"/>
          <w:sz w:val="22"/>
          <w:szCs w:val="22"/>
        </w:rPr>
        <w:t xml:space="preserve">Geographic analysis reveals significant concentration risk: three states account for 38% of all enrolments, while the top 10 districts account for only 6.9% of total enrolments — indicating that enrollment is broadly distributed at the district level despite being state-concentrated. The correlation between a state's total enrollment volume and its child enrollment percentage is negative at -0.33, meaning high-volume states tend to have lower child enrollment rates — a counterintuitive pattern that suggests adult saturation drives volume, not child coverage.</w:t>
      </w:r>
    </w:p>
    <w:p>
      <w:pPr>
        <w:spacing w:after="0" w:before="160"/>
      </w:pPr>
      <w:r>
        <w:t xml:space="preserve"/>
      </w:r>
    </w:p>
    <w:p>
      <w:pPr>
        <w:pBdr>
          <w:bottom w:val="single" w:color="2E75B6" w:sz="8" w:space="4"/>
        </w:pBdr>
        <w:spacing w:after="120" w:before="320"/>
      </w:pPr>
      <w:r>
        <w:rPr>
          <w:rFonts w:ascii="Arial" w:cs="Arial" w:eastAsia="Arial" w:hAnsi="Arial"/>
          <w:b/>
          <w:bCs/>
          <w:color w:val="1B3A6B"/>
          <w:sz w:val="24"/>
          <w:szCs w:val="24"/>
        </w:rPr>
        <w:t xml:space="preserve">TOP 10 STATES BY TOTAL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2060"/>
      </w:tblGrid>
      <w:tr>
        <w:tc>
          <w:tcPr>
            <w:tcW w:type="dxa" w:w="30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State</w:t>
            </w:r>
          </w:p>
        </w:tc>
        <w:tc>
          <w:tcPr>
            <w:tcW w:type="dxa" w:w="25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Total Enrolments</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Child %</w:t>
            </w:r>
          </w:p>
        </w:tc>
        <w:tc>
          <w:tcPr>
            <w:tcW w:type="dxa" w:w="20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Relative Volume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Uttar Pradesh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6.38M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9.3%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Maharashtra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3.75M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C00000"/>
                <w:sz w:val="20"/>
                <w:szCs w:val="20"/>
              </w:rPr>
              <w:t xml:space="preserve">5.4%</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Bihar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3.58M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7.9%</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West Bengal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2.77M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C00000"/>
                <w:sz w:val="20"/>
                <w:szCs w:val="20"/>
              </w:rPr>
              <w:t xml:space="preserve">6.2%</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Madhya Pradesh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2.09M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75623"/>
                <w:sz w:val="20"/>
                <w:szCs w:val="20"/>
              </w:rPr>
              <w:t xml:space="preserve">13.8%</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Rajasthan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2.05M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9.2%</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Tamil Nadu</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1.67M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75623"/>
                <w:sz w:val="20"/>
                <w:szCs w:val="20"/>
              </w:rPr>
              <w:t xml:space="preserve">14.3%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Andhra Pradesh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1.62M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75623"/>
                <w:sz w:val="20"/>
                <w:szCs w:val="20"/>
              </w:rPr>
              <w:t xml:space="preserve">13.9%</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Chhattisgarh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1.40M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8.3%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Gujarat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1.34M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11.4%</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2E75B6"/>
                <w:sz w:val="20"/>
                <w:szCs w:val="20"/>
              </w:rPr>
              <w:t xml:space="preserve">██</w:t>
            </w:r>
          </w:p>
        </w:tc>
      </w:tr>
    </w:tbl>
    <w:p>
      <w:pPr>
        <w:spacing w:after="0" w:before="12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FINDING</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Delhi Has the Highest Enrollment Density — Measured by enrolments per unique pincode, Delhi leads all states at 10,356 per pincode. This is nearly 2x the second-ranked state (Chhattisgarh at 5,234) and 2.9x Bihar (3,890). Delhi's small geographic footprint combined with its 963,140 enrolments creates extreme concentration, suggesting heavy usage of a small number of enrollment centers or a genuinely high-density urban enrollment event.</w:t>
            </w:r>
          </w:p>
        </w:tc>
      </w:tr>
    </w:tbl>
    <w:p>
      <w:pPr>
        <w:spacing w:after="0" w:before="160"/>
      </w:pPr>
      <w:r>
        <w:t xml:space="preserve"/>
      </w:r>
    </w:p>
    <w:p>
      <w:pPr>
        <w:pBdr>
          <w:bottom w:val="single" w:color="2E75B6" w:sz="8" w:space="4"/>
        </w:pBdr>
        <w:spacing w:after="120" w:before="320"/>
      </w:pPr>
      <w:r>
        <w:rPr>
          <w:rFonts w:ascii="Arial" w:cs="Arial" w:eastAsia="Arial" w:hAnsi="Arial"/>
          <w:b/>
          <w:bCs/>
          <w:color w:val="1B3A6B"/>
          <w:sz w:val="24"/>
          <w:szCs w:val="24"/>
        </w:rPr>
        <w:t xml:space="preserve">TOP 10 DISTRICTS BY ENROLMENT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500"/>
        <w:gridCol w:w="1800"/>
        <w:gridCol w:w="1760"/>
      </w:tblGrid>
      <w:tr>
        <w:tc>
          <w:tcPr>
            <w:tcW w:type="dxa" w:w="7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Rank</w:t>
            </w:r>
          </w:p>
        </w:tc>
        <w:tc>
          <w:tcPr>
            <w:tcW w:type="dxa" w:w="26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District</w:t>
            </w:r>
          </w:p>
        </w:tc>
        <w:tc>
          <w:tcPr>
            <w:tcW w:type="dxa" w:w="25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State</w:t>
            </w:r>
          </w:p>
        </w:tc>
        <w:tc>
          <w:tcPr>
            <w:tcW w:type="dxa" w:w="18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Enrolments</w:t>
            </w:r>
          </w:p>
        </w:tc>
        <w:tc>
          <w:tcPr>
            <w:tcW w:type="dxa" w:w="176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Child %</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Thane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Maharashtra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322,577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8.0%</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Pune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Maharashtra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321,347</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7.4%</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South 24 Parganas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West Bengal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294,366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6.9%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4</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Murshidabad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West Bengal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256,619</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8.3%</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Surat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Gujarat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254,764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9.8%</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6</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Bengaluru</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Karnataka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219,795</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12.5%</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North West Delhi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Delhi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216,692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12.9%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8</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North 24 Parganas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West Bengal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204,419</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5.1%</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Ahmedabad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Gujarat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196,585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b w:val="false"/>
                <w:bCs w:val="false"/>
                <w:color w:val="333333"/>
                <w:sz w:val="19"/>
                <w:szCs w:val="19"/>
              </w:rPr>
              <w:t xml:space="preserve">11.9%</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10</w:t>
            </w:r>
          </w:p>
        </w:tc>
        <w:tc>
          <w:tcPr>
            <w:tcW w:type="dxa" w:w="2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Solapur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Maharashtra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val="false"/>
                <w:bCs w:val="false"/>
                <w:color w:val="333333"/>
                <w:sz w:val="19"/>
                <w:szCs w:val="19"/>
              </w:rPr>
              <w:t xml:space="preserve">196,132</w:t>
            </w:r>
          </w:p>
        </w:tc>
        <w:tc>
          <w:tcPr>
            <w:tcW w:type="dxa" w:w="17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80"/>
            </w:tcMar>
          </w:tcPr>
          <w:p>
            <w:r>
              <w:rPr>
                <w:rFonts w:ascii="Arial" w:cs="Arial" w:eastAsia="Arial" w:hAnsi="Arial"/>
                <w:b/>
                <w:bCs/>
                <w:color w:val="C00000"/>
                <w:sz w:val="19"/>
                <w:szCs w:val="19"/>
              </w:rPr>
              <w:t xml:space="preserve">3.0% ⚠</w:t>
            </w:r>
          </w:p>
        </w:tc>
      </w:tr>
    </w:tbl>
    <w:p>
      <w:pPr>
        <w:spacing w:after="0" w:before="100"/>
      </w:pPr>
      <w:r>
        <w:t xml:space="preserve"/>
      </w:r>
    </w:p>
    <w:p>
      <w:pPr>
        <w:spacing w:after="80" w:before="60"/>
        <w:jc w:val="both"/>
      </w:pPr>
      <w:r>
        <w:rPr>
          <w:rFonts w:ascii="Arial" w:cs="Arial" w:eastAsia="Arial" w:hAnsi="Arial"/>
          <w:color w:val="222222"/>
          <w:sz w:val="22"/>
          <w:szCs w:val="22"/>
        </w:rPr>
        <w:t xml:space="preserve">Solapur stands out within Maharashtra as a district anomaly: despite being the 10th largest district by enrollment volume, it has a child enrollment rate of just 3.0% — the lowest among all high-volume districts. Nanded (3.1%) and Yavatmal (2.5%) show similar patterns within Maharashtra. These are significant enrollment centers that are systematically missing children.</w:t>
      </w:r>
    </w:p>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5. CHILD ENROLLMENT GAP ANALYSIS</w:t>
      </w:r>
    </w:p>
    <w:p>
      <w:pPr>
        <w:spacing w:after="80" w:before="60"/>
        <w:jc w:val="both"/>
      </w:pPr>
      <w:r>
        <w:rPr>
          <w:rFonts w:ascii="Arial" w:cs="Arial" w:eastAsia="Arial" w:hAnsi="Arial"/>
          <w:color w:val="222222"/>
          <w:sz w:val="22"/>
          <w:szCs w:val="22"/>
        </w:rPr>
        <w:t xml:space="preserve">The most structurally significant finding in this dataset is the persistent underrepresentation of children (age 5 to 17) in Aadhaar enrollment. Children constitute approximately 20% of India's total population (roughly 280 million out of 1.4 billion), but represent only 9.8% of all enrolments in this dataset. This is not a marginal gap; it implies that in enrollment-active states and periods, children are enrolled at roughly half the rate that their population share would predict.</w:t>
      </w:r>
    </w:p>
    <w:p>
      <w:pPr>
        <w:spacing w:after="0" w:before="10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0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CRITICAL FINDING</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Children Are Enrolled at Half Their Population Rate — India's child population (5–17 years) is approximately 20% of the total population. Yet this dataset records only 9.8% of enrolments as children. If enrollment coverage were uniform across age groups, we would expect approximately 7.2 million child enrolments instead of the 3.5 million recorded — a 51% underrepresentation relative to population.</w:t>
            </w:r>
          </w:p>
        </w:tc>
      </w:tr>
    </w:tbl>
    <w:p>
      <w:pPr>
        <w:spacing w:after="0" w:before="160"/>
      </w:pPr>
      <w:r>
        <w:t xml:space="preserve"/>
      </w:r>
    </w:p>
    <w:p>
      <w:pPr>
        <w:pBdr>
          <w:bottom w:val="single" w:color="2E75B6" w:sz="8" w:space="4"/>
        </w:pBdr>
        <w:spacing w:after="120" w:before="320"/>
      </w:pPr>
      <w:r>
        <w:rPr>
          <w:rFonts w:ascii="Arial" w:cs="Arial" w:eastAsia="Arial" w:hAnsi="Arial"/>
          <w:b/>
          <w:bCs/>
          <w:color w:val="1B3A6B"/>
          <w:sz w:val="24"/>
          <w:szCs w:val="24"/>
        </w:rPr>
        <w:t xml:space="preserve">STATES BY CHILD ENROLLMENT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State</w:t>
            </w:r>
          </w:p>
        </w:tc>
        <w:tc>
          <w:tcPr>
            <w:tcW w:type="dxa" w:w="1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Child %</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Total Enrolments</w:t>
            </w:r>
          </w:p>
        </w:tc>
        <w:tc>
          <w:tcPr>
            <w:tcW w:type="dxa" w:w="23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Karnataka</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75623"/>
                <w:sz w:val="20"/>
                <w:szCs w:val="20"/>
              </w:rPr>
              <w:t xml:space="preserve">15.6%</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1,242,089</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Leads southern states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Tamil Nadu</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75623"/>
                <w:sz w:val="20"/>
                <w:szCs w:val="20"/>
              </w:rPr>
              <w:t xml:space="preserve">14.3%</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1,666,329</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Highest among major states</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Andhra Pradesh</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75623"/>
                <w:sz w:val="20"/>
                <w:szCs w:val="20"/>
              </w:rPr>
              <w:t xml:space="preserve">13.9%</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1,621,330</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Strong child coverage</w:t>
            </w:r>
          </w:p>
        </w:tc>
      </w:tr>
      <w:tr>
        <w:tc>
          <w:tcPr>
            <w:tcW w:type="dxa" w:w="2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Madhya Pradesh</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bCs/>
                <w:color w:val="375623"/>
                <w:sz w:val="20"/>
                <w:szCs w:val="20"/>
              </w:rPr>
              <w:t xml:space="preserve">13.8%</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2,087,431</w:t>
            </w:r>
          </w:p>
        </w:tc>
        <w:tc>
          <w:tcPr>
            <w:tcW w:type="dxa" w:w="2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80"/>
            </w:tcMar>
          </w:tcPr>
          <w:p>
            <w:r>
              <w:rPr>
                <w:rFonts w:ascii="Arial" w:cs="Arial" w:eastAsia="Arial" w:hAnsi="Arial"/>
                <w:b w:val="false"/>
                <w:bCs w:val="false"/>
                <w:color w:val="333333"/>
                <w:sz w:val="20"/>
                <w:szCs w:val="20"/>
              </w:rPr>
              <w:t xml:space="preserve">High volume + high child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Gujarat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11.4%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1,342,104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Above average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Rajasthan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33333"/>
                <w:sz w:val="20"/>
                <w:szCs w:val="20"/>
              </w:rPr>
              <w:t xml:space="preserve">9.2%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2,046,301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Near national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Uttar Pradesh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bCs/>
                <w:color w:val="333333"/>
                <w:sz w:val="20"/>
                <w:szCs w:val="20"/>
              </w:rPr>
              <w:t xml:space="preserve">9.3%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6,377,217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b w:val="false"/>
                <w:bCs w:val="false"/>
                <w:color w:val="333333"/>
                <w:sz w:val="20"/>
                <w:szCs w:val="20"/>
              </w:rPr>
              <w:t xml:space="preserve">Largest state, average child %</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Bihar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bCs/>
                <w:color w:val="333333"/>
                <w:sz w:val="20"/>
                <w:szCs w:val="20"/>
              </w:rPr>
              <w:t xml:space="preserve">7.9%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3,582,238</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b w:val="false"/>
                <w:bCs w:val="false"/>
                <w:color w:val="333333"/>
                <w:sz w:val="20"/>
                <w:szCs w:val="20"/>
              </w:rPr>
              <w:t xml:space="preserve">Below average despite high volume</w:t>
            </w:r>
          </w:p>
        </w:tc>
      </w:tr>
      <w:tr>
        <w:tc>
          <w:tcPr>
            <w:tcW w:type="dxa" w:w="2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West Bengal</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C00000"/>
                <w:sz w:val="20"/>
                <w:szCs w:val="20"/>
              </w:rPr>
              <w:t xml:space="preserve">6.2%</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2,767,188</w:t>
            </w:r>
          </w:p>
        </w:tc>
        <w:tc>
          <w:tcPr>
            <w:tcW w:type="dxa" w:w="23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Low child enrollment</w:t>
            </w:r>
          </w:p>
        </w:tc>
      </w:tr>
      <w:tr>
        <w:tc>
          <w:tcPr>
            <w:tcW w:type="dxa" w:w="2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Maharashtra</w:t>
            </w:r>
          </w:p>
        </w:tc>
        <w:tc>
          <w:tcPr>
            <w:tcW w:type="dxa" w:w="18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bCs/>
                <w:color w:val="C00000"/>
                <w:sz w:val="20"/>
                <w:szCs w:val="20"/>
              </w:rPr>
              <w:t xml:space="preserve">5.4%</w:t>
            </w:r>
          </w:p>
        </w:tc>
        <w:tc>
          <w:tcPr>
            <w:tcW w:type="dxa" w:w="240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3,753,409</w:t>
            </w:r>
          </w:p>
        </w:tc>
        <w:tc>
          <w:tcPr>
            <w:tcW w:type="dxa" w:w="2360"/>
            <w:tcBorders>
              <w:top w:val="single" w:color="CCCCCC" w:sz="1"/>
              <w:left w:val="single" w:color="CCCCCC" w:sz="1"/>
              <w:bottom w:val="single" w:color="CCCCCC" w:sz="1"/>
              <w:right w:val="single" w:color="CCCCCC" w:sz="1"/>
            </w:tcBorders>
            <w:shd w:fill="FCE4E4" w:val="clear"/>
            <w:tcMar>
              <w:top w:type="dxa" w:w="80"/>
              <w:left w:type="dxa" w:w="120"/>
              <w:bottom w:type="dxa" w:w="80"/>
              <w:right w:type="dxa" w:w="80"/>
            </w:tcMar>
          </w:tcPr>
          <w:p>
            <w:r>
              <w:rPr>
                <w:rFonts w:ascii="Arial" w:cs="Arial" w:eastAsia="Arial" w:hAnsi="Arial"/>
                <w:b w:val="false"/>
                <w:bCs w:val="false"/>
                <w:color w:val="333333"/>
                <w:sz w:val="20"/>
                <w:szCs w:val="20"/>
              </w:rPr>
              <w:t xml:space="preserve">Lowest among top states</w:t>
            </w:r>
          </w:p>
        </w:tc>
      </w:tr>
    </w:tbl>
    <w:p>
      <w:pPr>
        <w:spacing w:after="0" w:before="100"/>
      </w:pPr>
      <w:r>
        <w:t xml:space="preserve"/>
      </w:r>
    </w:p>
    <w:p>
      <w:pPr>
        <w:spacing w:after="80" w:before="60"/>
        <w:jc w:val="both"/>
      </w:pPr>
      <w:r>
        <w:rPr>
          <w:rFonts w:ascii="Arial" w:cs="Arial" w:eastAsia="Arial" w:hAnsi="Arial"/>
          <w:color w:val="222222"/>
          <w:sz w:val="22"/>
          <w:szCs w:val="22"/>
        </w:rPr>
        <w:t xml:space="preserve">The negative correlation (-0.33) between state enrollment volume and child percentage confirms a structural pattern: as states enroll more adults, child share proportionally declines. Maharashtra illustrates this most acutely — it is the second-largest state by total enrolments but has the lowest child enrollment rate among all major states at 5.4%. This could indicate that Maharashtra has already achieved near-saturation in adult Aadhaar coverage and that the marginal enrollment opportunity lies disproportionately in children.</w:t>
      </w:r>
    </w:p>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6. ANOMALY DETECTION AND PINCODE CONCENTRATION</w:t>
      </w:r>
    </w:p>
    <w:p>
      <w:pPr>
        <w:spacing w:after="80" w:before="60"/>
        <w:jc w:val="both"/>
      </w:pPr>
      <w:r>
        <w:rPr>
          <w:rFonts w:ascii="Arial" w:cs="Arial" w:eastAsia="Arial" w:hAnsi="Arial"/>
          <w:color w:val="222222"/>
          <w:sz w:val="22"/>
          <w:szCs w:val="22"/>
        </w:rPr>
        <w:t xml:space="preserve">Beyond the March 1 event, statistical anomaly detection (using a 30-day rolling z-score) identified two additional dates of note. These are the only days aside from March 1 where enrollment volumes deviated more than two standard deviations from the rolling mean.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700"/>
        <w:gridCol w:w="1200"/>
        <w:gridCol w:w="1800"/>
        <w:gridCol w:w="2060"/>
      </w:tblGrid>
      <w:tr>
        <w:tc>
          <w:tcPr>
            <w:tcW w:type="dxa" w:w="16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Date</w:t>
            </w:r>
          </w:p>
        </w:tc>
        <w:tc>
          <w:tcPr>
            <w:tcW w:type="dxa" w:w="10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Day</w:t>
            </w:r>
          </w:p>
        </w:tc>
        <w:tc>
          <w:tcPr>
            <w:tcW w:type="dxa" w:w="17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Enrolments</w:t>
            </w:r>
          </w:p>
        </w:tc>
        <w:tc>
          <w:tcPr>
            <w:tcW w:type="dxa" w:w="12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Z-Score</w:t>
            </w:r>
          </w:p>
        </w:tc>
        <w:tc>
          <w:tcPr>
            <w:tcW w:type="dxa" w:w="180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Direction</w:t>
            </w:r>
          </w:p>
        </w:tc>
        <w:tc>
          <w:tcPr>
            <w:tcW w:type="dxa" w:w="2060"/>
            <w:tcBorders>
              <w:top w:val="single" w:color="2E75B6" w:sz="1"/>
              <w:left w:val="single" w:color="2E75B6" w:sz="1"/>
              <w:bottom w:val="single" w:color="2E75B6" w:sz="1"/>
              <w:right w:val="single" w:color="2E75B6" w:sz="1"/>
            </w:tcBorders>
            <w:shd w:fill="1B3A6B" w:val="clear"/>
            <w:tcMar>
              <w:top w:type="dxa" w:w="80"/>
              <w:left w:type="dxa" w:w="100"/>
              <w:bottom w:type="dxa" w:w="80"/>
              <w:right w:type="dxa" w:w="80"/>
            </w:tcMar>
          </w:tcPr>
          <w:p>
            <w:r>
              <w:rPr>
                <w:rFonts w:ascii="Arial" w:cs="Arial" w:eastAsia="Arial" w:hAnsi="Arial"/>
                <w:b/>
                <w:bCs/>
                <w:color w:val="FFFFFF"/>
                <w:sz w:val="19"/>
                <w:szCs w:val="19"/>
              </w:rPr>
              <w:t xml:space="preserve">Likely Cause</w:t>
            </w:r>
          </w:p>
        </w:tc>
      </w:tr>
      <w:tr>
        <w:tc>
          <w:tcPr>
            <w:tcW w:type="dxa" w:w="16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val="false"/>
                <w:bCs w:val="false"/>
                <w:color w:val="333333"/>
                <w:sz w:val="19"/>
                <w:szCs w:val="19"/>
              </w:rPr>
              <w:t xml:space="preserve">Sept 14, 2025</w:t>
            </w:r>
          </w:p>
        </w:tc>
        <w:tc>
          <w:tcPr>
            <w:tcW w:type="dxa" w:w="10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val="false"/>
                <w:bCs w:val="false"/>
                <w:color w:val="333333"/>
                <w:sz w:val="19"/>
                <w:szCs w:val="19"/>
              </w:rPr>
              <w:t xml:space="preserve">Sunday</w:t>
            </w:r>
          </w:p>
        </w:tc>
        <w:tc>
          <w:tcPr>
            <w:tcW w:type="dxa" w:w="17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val="false"/>
                <w:bCs w:val="false"/>
                <w:color w:val="333333"/>
                <w:sz w:val="19"/>
                <w:szCs w:val="19"/>
              </w:rPr>
              <w:t xml:space="preserve">72,183</w:t>
            </w:r>
          </w:p>
        </w:tc>
        <w:tc>
          <w:tcPr>
            <w:tcW w:type="dxa" w:w="12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val="false"/>
                <w:bCs w:val="false"/>
                <w:color w:val="333333"/>
                <w:sz w:val="19"/>
                <w:szCs w:val="19"/>
              </w:rPr>
              <w:t xml:space="preserve">-2.02</w:t>
            </w:r>
          </w:p>
        </w:tc>
        <w:tc>
          <w:tcPr>
            <w:tcW w:type="dxa" w:w="180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bCs/>
                <w:color w:val="C00000"/>
                <w:sz w:val="19"/>
                <w:szCs w:val="19"/>
              </w:rPr>
              <w:t xml:space="preserve">DROP ↓</w:t>
            </w:r>
          </w:p>
        </w:tc>
        <w:tc>
          <w:tcPr>
            <w:tcW w:type="dxa" w:w="2060"/>
            <w:tcBorders>
              <w:top w:val="single" w:color="CCCCCC" w:sz="1"/>
              <w:left w:val="single" w:color="CCCCCC" w:sz="1"/>
              <w:bottom w:val="single" w:color="CCCCCC" w:sz="1"/>
              <w:right w:val="single" w:color="CCCCCC" w:sz="1"/>
            </w:tcBorders>
            <w:shd w:fill="FCE4E4" w:val="clear"/>
            <w:tcMar>
              <w:top w:type="dxa" w:w="80"/>
              <w:left w:type="dxa" w:w="100"/>
              <w:bottom w:type="dxa" w:w="80"/>
              <w:right w:type="dxa" w:w="80"/>
            </w:tcMar>
          </w:tcPr>
          <w:p>
            <w:r>
              <w:rPr>
                <w:rFonts w:ascii="Arial" w:cs="Arial" w:eastAsia="Arial" w:hAnsi="Arial"/>
                <w:b w:val="false"/>
                <w:bCs w:val="false"/>
                <w:color w:val="333333"/>
                <w:sz w:val="19"/>
                <w:szCs w:val="19"/>
              </w:rPr>
              <w:t xml:space="preserve">System maintenance or local holiday</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val="false"/>
                <w:bCs w:val="false"/>
                <w:color w:val="333333"/>
                <w:sz w:val="19"/>
                <w:szCs w:val="19"/>
              </w:rPr>
              <w:t xml:space="preserve">Oct 31, 2025</w:t>
            </w:r>
          </w:p>
        </w:tc>
        <w:tc>
          <w:tcPr>
            <w:tcW w:type="dxa" w:w="10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val="false"/>
                <w:bCs w:val="false"/>
                <w:color w:val="333333"/>
                <w:sz w:val="19"/>
                <w:szCs w:val="19"/>
              </w:rPr>
              <w:t xml:space="preserve">Friday</w:t>
            </w:r>
          </w:p>
        </w:tc>
        <w:tc>
          <w:tcPr>
            <w:tcW w:type="dxa" w:w="17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val="false"/>
                <w:bCs w:val="false"/>
                <w:color w:val="333333"/>
                <w:sz w:val="19"/>
                <w:szCs w:val="19"/>
              </w:rPr>
              <w:t xml:space="preserve">440,751</w:t>
            </w:r>
          </w:p>
        </w:tc>
        <w:tc>
          <w:tcPr>
            <w:tcW w:type="dxa" w:w="12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val="false"/>
                <w:bCs w:val="false"/>
                <w:color w:val="333333"/>
                <w:sz w:val="19"/>
                <w:szCs w:val="19"/>
              </w:rPr>
              <w:t xml:space="preserve">+2.06</w:t>
            </w:r>
          </w:p>
        </w:tc>
        <w:tc>
          <w:tcPr>
            <w:tcW w:type="dxa" w:w="180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bCs/>
                <w:color w:val="375623"/>
                <w:sz w:val="19"/>
                <w:szCs w:val="19"/>
              </w:rPr>
              <w:t xml:space="preserve">SPIKE ↑</w:t>
            </w:r>
          </w:p>
        </w:tc>
        <w:tc>
          <w:tcPr>
            <w:tcW w:type="dxa" w:w="2060"/>
            <w:tcBorders>
              <w:top w:val="single" w:color="CCCCCC" w:sz="1"/>
              <w:left w:val="single" w:color="CCCCCC" w:sz="1"/>
              <w:bottom w:val="single" w:color="CCCCCC" w:sz="1"/>
              <w:right w:val="single" w:color="CCCCCC" w:sz="1"/>
            </w:tcBorders>
            <w:shd w:fill="E2EFDA" w:val="clear"/>
            <w:tcMar>
              <w:top w:type="dxa" w:w="80"/>
              <w:left w:type="dxa" w:w="100"/>
              <w:bottom w:type="dxa" w:w="80"/>
              <w:right w:type="dxa" w:w="80"/>
            </w:tcMar>
          </w:tcPr>
          <w:p>
            <w:r>
              <w:rPr>
                <w:rFonts w:ascii="Arial" w:cs="Arial" w:eastAsia="Arial" w:hAnsi="Arial"/>
                <w:b w:val="false"/>
                <w:bCs w:val="false"/>
                <w:color w:val="333333"/>
                <w:sz w:val="19"/>
                <w:szCs w:val="19"/>
              </w:rPr>
              <w:t xml:space="preserve">Month-end push or backfill</w:t>
            </w:r>
          </w:p>
        </w:tc>
      </w:tr>
    </w:tbl>
    <w:p>
      <w:pPr>
        <w:spacing w:after="0" w:before="200"/>
      </w:pPr>
      <w:r>
        <w:t xml:space="preserve"/>
      </w:r>
    </w:p>
    <w:p>
      <w:pPr>
        <w:pBdr>
          <w:bottom w:val="single" w:color="2E75B6" w:sz="8" w:space="4"/>
        </w:pBdr>
        <w:spacing w:after="120" w:before="320"/>
      </w:pPr>
      <w:r>
        <w:rPr>
          <w:rFonts w:ascii="Arial" w:cs="Arial" w:eastAsia="Arial" w:hAnsi="Arial"/>
          <w:b/>
          <w:bCs/>
          <w:color w:val="1B3A6B"/>
          <w:sz w:val="24"/>
          <w:szCs w:val="24"/>
        </w:rPr>
        <w:t xml:space="preserve">PINCODE CONCENTRATION ANALYSIS</w:t>
      </w:r>
    </w:p>
    <w:p>
      <w:pPr>
        <w:spacing w:after="80" w:before="60"/>
        <w:jc w:val="both"/>
      </w:pPr>
      <w:r>
        <w:rPr>
          <w:rFonts w:ascii="Arial" w:cs="Arial" w:eastAsia="Arial" w:hAnsi="Arial"/>
          <w:color w:val="222222"/>
          <w:sz w:val="22"/>
          <w:szCs w:val="22"/>
        </w:rPr>
        <w:t xml:space="preserve">Analysis of 19,741 unique pincodes reveals strong geographic concentration in Uttar Pradesh and Delhi. The top five pincodes collectively recorded over 330,000 enrolments — more than many mid-sized states. This level of pincode concentration may indicate enrollment center clustering or pincode-level data recording conventions.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w:tc>
          <w:tcPr>
            <w:tcW w:type="dxa" w:w="16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Pincode</w:t>
            </w:r>
          </w:p>
        </w:tc>
        <w:tc>
          <w:tcPr>
            <w:tcW w:type="dxa" w:w="24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Enrolments</w:t>
            </w:r>
          </w:p>
        </w:tc>
        <w:tc>
          <w:tcPr>
            <w:tcW w:type="dxa" w:w="280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State</w:t>
            </w:r>
          </w:p>
        </w:tc>
        <w:tc>
          <w:tcPr>
            <w:tcW w:type="dxa" w:w="2560"/>
            <w:tcBorders>
              <w:top w:val="single" w:color="2E75B6" w:sz="1"/>
              <w:left w:val="single" w:color="2E75B6" w:sz="1"/>
              <w:bottom w:val="single" w:color="2E75B6" w:sz="1"/>
              <w:right w:val="single" w:color="2E75B6" w:sz="1"/>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244001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77,787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Uttar Pradesh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Moradabad district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110059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69,850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Delhi</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West Delhi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110094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67,433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Delhi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East Delhi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283203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62,762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Uttar Pradesh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Agra region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202001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61,942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Uttar Pradesh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Aligarh</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247001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54,997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Uttar Pradesh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Saharanpur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110086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51,192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Delhi</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Rohini area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244901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50,630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Uttar Pradesh</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Rampur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421302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44,614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Maharashtra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r>
              <w:rPr>
                <w:rFonts w:ascii="Arial" w:cs="Arial" w:eastAsia="Arial" w:hAnsi="Arial"/>
                <w:color w:val="333333"/>
                <w:sz w:val="19"/>
                <w:szCs w:val="19"/>
              </w:rPr>
              <w:t xml:space="preserve">Bhiwandi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121004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43,167</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Haryana</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80"/>
            </w:tcMar>
          </w:tcPr>
          <w:p>
            <w:r>
              <w:rPr>
                <w:rFonts w:ascii="Arial" w:cs="Arial" w:eastAsia="Arial" w:hAnsi="Arial"/>
                <w:color w:val="333333"/>
                <w:sz w:val="19"/>
                <w:szCs w:val="19"/>
              </w:rPr>
              <w:t xml:space="preserve">Faridabad</w:t>
            </w:r>
          </w:p>
        </w:tc>
      </w:tr>
    </w:tbl>
    <w:p>
      <w:pPr>
        <w:spacing w:after="0" w:before="100"/>
      </w:pPr>
      <w:r>
        <w:t xml:space="preserve"/>
      </w:r>
    </w:p>
    <w:tbl>
      <w:tblPr>
        <w:tblW w:type="dxa" w:w="9360"/>
        <w:tblBorders>
          <w:top w:val="single" w:color="CCCCCC" w:sz="1"/>
          <w:left w:val="none"/>
          <w:bottom w:val="single" w:color="CCCCCC" w:sz="1"/>
          <w:right w:val="none"/>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59595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OBSERVATION</w:t>
            </w:r>
          </w:p>
        </w:tc>
        <w:tc>
          <w:tcPr>
            <w:tcW w:type="dxa" w:w="7920"/>
            <w:tcBorders>
              <w:top w:val="none" w:color="FFFFFF" w:sz="0"/>
              <w:left w:val="none" w:color="FFFFFF" w:sz="0"/>
              <w:bottom w:val="none" w:color="FFFFFF" w:sz="0"/>
              <w:right w:val="none" w:color="FFFFFF" w:sz="0"/>
            </w:tcBorders>
            <w:shd w:fill="FAFAFA" w:val="clear"/>
            <w:tcMar>
              <w:top w:type="dxa" w:w="80"/>
              <w:left w:type="dxa" w:w="160"/>
              <w:bottom w:type="dxa" w:w="80"/>
              <w:right w:type="dxa" w:w="120"/>
            </w:tcMar>
          </w:tcPr>
          <w:p>
            <w:pPr>
              <w:spacing w:after="0" w:before="0"/>
            </w:pPr>
            <w:r>
              <w:rPr>
                <w:rFonts w:ascii="Arial" w:cs="Arial" w:eastAsia="Arial" w:hAnsi="Arial"/>
                <w:color w:val="333333"/>
                <w:sz w:val="21"/>
                <w:szCs w:val="21"/>
              </w:rPr>
              <w:t xml:space="preserve">UP and Delhi Together Hold 7 of the Top 10 Pincodes — Seven of the ten highest-enrollment pincodes belong to Uttar Pradesh (5) and Delhi (2). The top Moradabad pincode (244001) alone recorded 77,787 enrolments — comparable to the total enrollment of some small states. This concentration reinforces UP's dominance in the dataset and raises questions about proportional enrollment infrastructure distribution across the country.</w:t>
            </w:r>
          </w:p>
        </w:tc>
      </w:tr>
    </w:tbl>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7. NOTABLE AND UNEXPECTED FINDINGS</w:t>
      </w:r>
    </w:p>
    <w:p>
      <w:pPr>
        <w:spacing w:after="80" w:before="60"/>
        <w:jc w:val="both"/>
      </w:pPr>
      <w:r>
        <w:rPr>
          <w:rFonts w:ascii="Arial" w:cs="Arial" w:eastAsia="Arial" w:hAnsi="Arial"/>
          <w:color w:val="222222"/>
          <w:sz w:val="22"/>
          <w:szCs w:val="22"/>
        </w:rPr>
        <w:t xml:space="preserve">This section summarizes findings that depart significantly from expected patterns or conventional wisdom, making them particularly useful for operational planning and policy discussion.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none"/>
              <w:right w:val="none"/>
            </w:tcBorders>
            <w:shd w:fill="D6E4F0"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ONE DAY = ALMOST A QUARTER OF THE YEAR</w:t>
            </w:r>
          </w:p>
          <w:p>
            <w:pPr>
              <w:jc w:val="both"/>
            </w:pPr>
            <w:r>
              <w:rPr>
                <w:rFonts w:ascii="Arial" w:cs="Arial" w:eastAsia="Arial" w:hAnsi="Arial"/>
                <w:color w:val="333333"/>
                <w:sz w:val="20"/>
                <w:szCs w:val="20"/>
              </w:rPr>
              <w:t xml:space="preserve">March 1, 2025 recorded 8.19 million enrolments, representing 22.7% of the entire 10-month dataset. The lowest single day (October 22, 2025) recorded just 7,039. The ratio between highest and lowest single-day counts is 1,164 to 1. No legitimate operational process should produce this variance. Something extraordinary happened on March 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2"/>
              <w:bottom w:val="none"/>
              <w:right w:val="none"/>
            </w:tcBorders>
            <w:shd w:fill="FCE4D6" w:val="clear"/>
            <w:tcMar>
              <w:top w:type="dxa" w:w="120"/>
              <w:left w:type="dxa" w:w="200"/>
              <w:bottom w:type="dxa" w:w="120"/>
              <w:right w:type="dxa" w:w="200"/>
            </w:tcMar>
          </w:tcPr>
          <w:p>
            <w:pPr>
              <w:spacing w:after="60" w:before="0"/>
            </w:pPr>
            <w:r>
              <w:rPr>
                <w:rFonts w:ascii="Arial" w:cs="Arial" w:eastAsia="Arial" w:hAnsi="Arial"/>
                <w:b/>
                <w:bCs/>
                <w:color w:val="C55A11"/>
                <w:sz w:val="21"/>
                <w:szCs w:val="21"/>
              </w:rPr>
              <w:t xml:space="preserve">RAJASTHAN AND JHARKHAND: MONTH-DEPENDENT STATES</w:t>
            </w:r>
          </w:p>
          <w:p>
            <w:pPr>
              <w:jc w:val="both"/>
            </w:pPr>
            <w:r>
              <w:rPr>
                <w:rFonts w:ascii="Arial" w:cs="Arial" w:eastAsia="Arial" w:hAnsi="Arial"/>
                <w:color w:val="333333"/>
                <w:sz w:val="20"/>
                <w:szCs w:val="20"/>
              </w:rPr>
              <w:t xml:space="preserve">Rajasthan recorded 41.3% of its entire period's enrolments in March alone. Jharkhand recorded 38.5% in March. For context, a perfectly uniform distribution would be 11.1% per month. These two states are effectively March-dependent in their enrollment counts — any policy analysis using their total figures needs to account for this temporal compression.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12"/>
              <w:bottom w:val="none"/>
              <w:right w:val="none"/>
            </w:tcBorders>
            <w:shd w:fill="FCE4E4" w:val="clear"/>
            <w:tcMar>
              <w:top w:type="dxa" w:w="120"/>
              <w:left w:type="dxa" w:w="200"/>
              <w:bottom w:type="dxa" w:w="120"/>
              <w:right w:type="dxa" w:w="200"/>
            </w:tcMar>
          </w:tcPr>
          <w:p>
            <w:pPr>
              <w:spacing w:after="60" w:before="0"/>
            </w:pPr>
            <w:r>
              <w:rPr>
                <w:rFonts w:ascii="Arial" w:cs="Arial" w:eastAsia="Arial" w:hAnsi="Arial"/>
                <w:b/>
                <w:bCs/>
                <w:color w:val="C00000"/>
                <w:sz w:val="21"/>
                <w:szCs w:val="21"/>
              </w:rPr>
              <w:t xml:space="preserve">A MISSING MONTH BEFORE A MASSIVE SPIKE</w:t>
            </w:r>
          </w:p>
          <w:p>
            <w:pPr>
              <w:jc w:val="both"/>
            </w:pPr>
            <w:r>
              <w:rPr>
                <w:rFonts w:ascii="Arial" w:cs="Arial" w:eastAsia="Arial" w:hAnsi="Arial"/>
                <w:color w:val="333333"/>
                <w:sz w:val="20"/>
                <w:szCs w:val="20"/>
              </w:rPr>
              <w:t xml:space="preserve">August 2025 is completely absent from the dataset. The month immediately following (September 2025) shows 5.9 million enrolments — a jump of nearly 4x from July's 1.5 million. The most concerning interpretation: August's enrollments were not captured but counted in September's totals, meaning September's spike may be partly or wholly a double-counting artifact.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12"/>
              <w:bottom w:val="none"/>
              <w:right w:val="none"/>
            </w:tcBorders>
            <w:shd w:fill="E2EFDA" w:val="clear"/>
            <w:tcMar>
              <w:top w:type="dxa" w:w="120"/>
              <w:left w:type="dxa" w:w="200"/>
              <w:bottom w:type="dxa" w:w="120"/>
              <w:right w:type="dxa" w:w="200"/>
            </w:tcMar>
          </w:tcPr>
          <w:p>
            <w:pPr>
              <w:spacing w:after="60" w:before="0"/>
            </w:pPr>
            <w:r>
              <w:rPr>
                <w:rFonts w:ascii="Arial" w:cs="Arial" w:eastAsia="Arial" w:hAnsi="Arial"/>
                <w:b/>
                <w:bCs/>
                <w:color w:val="375623"/>
                <w:sz w:val="21"/>
                <w:szCs w:val="21"/>
              </w:rPr>
              <w:t xml:space="preserve">CHILD ENROLLMENT IS HALF WHAT POPULATION SHARE PREDICTS</w:t>
            </w:r>
          </w:p>
          <w:p>
            <w:pPr>
              <w:jc w:val="both"/>
            </w:pPr>
            <w:r>
              <w:rPr>
                <w:rFonts w:ascii="Arial" w:cs="Arial" w:eastAsia="Arial" w:hAnsi="Arial"/>
                <w:color w:val="333333"/>
                <w:sz w:val="20"/>
                <w:szCs w:val="20"/>
              </w:rPr>
              <w:t xml:space="preserve">Children aged 5 to 17 are approximately 20% of India's population. In this dataset they represent 9.8% of enrolments — a 51% underrepresentation relative to population. If Aadhaar enrollment coverage were uniform across age groups, we would expect approximately 7.2 million child enrolments instead of the 3.5 million recorded.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12"/>
              <w:bottom w:val="none"/>
              <w:right w:val="none"/>
            </w:tcBorders>
            <w:shd w:fill="FCE4D6" w:val="clear"/>
            <w:tcMar>
              <w:top w:type="dxa" w:w="120"/>
              <w:left w:type="dxa" w:w="200"/>
              <w:bottom w:type="dxa" w:w="120"/>
              <w:right w:type="dxa" w:w="200"/>
            </w:tcMar>
          </w:tcPr>
          <w:p>
            <w:pPr>
              <w:spacing w:after="60" w:before="0"/>
            </w:pPr>
            <w:r>
              <w:rPr>
                <w:rFonts w:ascii="Arial" w:cs="Arial" w:eastAsia="Arial" w:hAnsi="Arial"/>
                <w:b/>
                <w:bCs/>
                <w:color w:val="C55A11"/>
                <w:sz w:val="21"/>
                <w:szCs w:val="21"/>
              </w:rPr>
              <w:t xml:space="preserve">SOLAPUR: HIGH-VOLUME DISTRICT WITH NEAR-ZERO CHILD ENROLLMENT</w:t>
            </w:r>
          </w:p>
          <w:p>
            <w:pPr>
              <w:jc w:val="both"/>
            </w:pPr>
            <w:r>
              <w:rPr>
                <w:rFonts w:ascii="Arial" w:cs="Arial" w:eastAsia="Arial" w:hAnsi="Arial"/>
                <w:color w:val="333333"/>
                <w:sz w:val="20"/>
                <w:szCs w:val="20"/>
              </w:rPr>
              <w:t xml:space="preserve">Solapur is Maharashtra's third-largest district by enrollment volume with 196,132 enrolments, yet has a child enrollment rate of only 2.95% — the lowest of any large district. Nanded (3.1%) and Yavatmal (2.5%) follow similar patterns. These are significant enrollment centers that are systematically missing children.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4"/>
              <w:left w:val="single" w:color="1B3A6B" w:sz="12"/>
              <w:bottom w:val="none"/>
              <w:right w:val="none"/>
            </w:tcBorders>
            <w:shd w:fill="D6E4F0" w:val="clear"/>
            <w:tcMar>
              <w:top w:type="dxa" w:w="120"/>
              <w:left w:type="dxa" w:w="200"/>
              <w:bottom w:type="dxa" w:w="120"/>
              <w:right w:type="dxa" w:w="200"/>
            </w:tcMar>
          </w:tcPr>
          <w:p>
            <w:pPr>
              <w:spacing w:after="60" w:before="0"/>
            </w:pPr>
            <w:r>
              <w:rPr>
                <w:rFonts w:ascii="Arial" w:cs="Arial" w:eastAsia="Arial" w:hAnsi="Arial"/>
                <w:b/>
                <w:bCs/>
                <w:color w:val="1B3A6B"/>
                <w:sz w:val="21"/>
                <w:szCs w:val="21"/>
              </w:rPr>
              <w:t xml:space="preserve">THE 'SATURDAY SPIKE' IS AN ARTIFACT, NOT AN INSIGHT</w:t>
            </w:r>
          </w:p>
          <w:p>
            <w:pPr>
              <w:jc w:val="both"/>
            </w:pPr>
            <w:r>
              <w:rPr>
                <w:rFonts w:ascii="Arial" w:cs="Arial" w:eastAsia="Arial" w:hAnsi="Arial"/>
                <w:color w:val="333333"/>
                <w:sz w:val="20"/>
                <w:szCs w:val="20"/>
              </w:rPr>
              <w:t xml:space="preserve">The apparent finding that Saturdays show 2.5x more enrolments than weekdays is entirely driven by March 1 being a Saturday. Remove that single day and Saturdays actually average 250,698 — which is 21% below the weekday average of 318,484. Operational decisions built on the 2.5x figure would be based on a statistical artifact.</w:t>
            </w:r>
          </w:p>
        </w:tc>
      </w:tr>
    </w:tbl>
    <w:p>
      <w:pPr>
        <w:spacing w:after="0" w:before="100"/>
      </w:pPr>
      <w:r>
        <w:t xml:space="preserve"/>
      </w:r>
    </w:p>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8. RECOMMENDATIONS</w:t>
      </w:r>
    </w:p>
    <w:p>
      <w:pPr>
        <w:spacing w:after="80" w:before="60"/>
        <w:jc w:val="both"/>
      </w:pPr>
      <w:r>
        <w:rPr>
          <w:rFonts w:ascii="Arial" w:cs="Arial" w:eastAsia="Arial" w:hAnsi="Arial"/>
          <w:color w:val="222222"/>
          <w:sz w:val="22"/>
          <w:szCs w:val="22"/>
        </w:rPr>
        <w:t xml:space="preserve">The following recommendations are organized by priority and audience. Data quality issues must be resolved before any policy or operational decisions are made on this dataset.</w:t>
      </w:r>
    </w:p>
    <w:p>
      <w:pPr>
        <w:spacing w:after="0" w:before="120"/>
      </w:pPr>
      <w:r>
        <w:t xml:space="preserve"/>
      </w:r>
    </w:p>
    <w:p>
      <w:pPr>
        <w:spacing w:after="100" w:before="160"/>
      </w:pPr>
      <w:r>
        <w:rPr>
          <w:rFonts w:ascii="Arial" w:cs="Arial" w:eastAsia="Arial" w:hAnsi="Arial"/>
          <w:b/>
          <w:bCs/>
          <w:color w:val="C00000"/>
          <w:sz w:val="24"/>
          <w:szCs w:val="24"/>
        </w:rPr>
        <w:t xml:space="preserve">IMMEDIATE: Data Quality Actions</w:t>
      </w:r>
    </w:p>
    <w:p>
      <w:pPr>
        <w:pStyle w:val="ListParagraph"/>
        <w:numPr>
          <w:ilvl w:val="0"/>
          <w:numId w:val="2"/>
        </w:numPr>
        <w:spacing w:after="60" w:before="60"/>
      </w:pPr>
      <w:r>
        <w:rPr>
          <w:rFonts w:ascii="Arial" w:cs="Arial" w:eastAsia="Arial" w:hAnsi="Arial"/>
          <w:color w:val="222222"/>
          <w:sz w:val="22"/>
          <w:szCs w:val="22"/>
        </w:rPr>
        <w:t xml:space="preserve">Investigate the source and nature of March 1, 2025's 8.19 million enrolments — determine if this is a legitimate single-day event or a bulk upload artifact</w:t>
      </w:r>
    </w:p>
    <w:p>
      <w:pPr>
        <w:pStyle w:val="ListParagraph"/>
        <w:numPr>
          <w:ilvl w:val="0"/>
          <w:numId w:val="2"/>
        </w:numPr>
        <w:spacing w:after="60" w:before="60"/>
      </w:pPr>
      <w:r>
        <w:rPr>
          <w:rFonts w:ascii="Arial" w:cs="Arial" w:eastAsia="Arial" w:hAnsi="Arial"/>
          <w:color w:val="222222"/>
          <w:sz w:val="22"/>
          <w:szCs w:val="22"/>
        </w:rPr>
        <w:t xml:space="preserve">Trace and recover August 2025 data from source systems; determine if September's enrollment spike includes any August data</w:t>
      </w:r>
    </w:p>
    <w:p>
      <w:pPr>
        <w:pStyle w:val="ListParagraph"/>
        <w:numPr>
          <w:ilvl w:val="0"/>
          <w:numId w:val="2"/>
        </w:numPr>
        <w:spacing w:after="60" w:before="60"/>
      </w:pPr>
      <w:r>
        <w:rPr>
          <w:rFonts w:ascii="Arial" w:cs="Arial" w:eastAsia="Arial" w:hAnsi="Arial"/>
          <w:color w:val="222222"/>
          <w:sz w:val="22"/>
          <w:szCs w:val="22"/>
        </w:rPr>
        <w:t xml:space="preserve">Implement mandatory state name validation against a master lookup table at the point of data entry</w:t>
      </w:r>
    </w:p>
    <w:p>
      <w:pPr>
        <w:pStyle w:val="ListParagraph"/>
        <w:numPr>
          <w:ilvl w:val="0"/>
          <w:numId w:val="2"/>
        </w:numPr>
        <w:spacing w:after="60" w:before="60"/>
      </w:pPr>
      <w:r>
        <w:rPr>
          <w:rFonts w:ascii="Arial" w:cs="Arial" w:eastAsia="Arial" w:hAnsi="Arial"/>
          <w:color w:val="222222"/>
          <w:sz w:val="22"/>
          <w:szCs w:val="22"/>
        </w:rPr>
        <w:t xml:space="preserve">Audit the deduplication process: 21.6% duplicate rates suggest a systemic issue in data submission or batch processing</w:t>
      </w:r>
    </w:p>
    <w:p>
      <w:pPr>
        <w:pStyle w:val="ListParagraph"/>
        <w:numPr>
          <w:ilvl w:val="0"/>
          <w:numId w:val="2"/>
        </w:numPr>
        <w:spacing w:after="60" w:before="60"/>
      </w:pPr>
      <w:r>
        <w:rPr>
          <w:rFonts w:ascii="Arial" w:cs="Arial" w:eastAsia="Arial" w:hAnsi="Arial"/>
          <w:color w:val="222222"/>
          <w:sz w:val="22"/>
          <w:szCs w:val="22"/>
        </w:rPr>
        <w:t xml:space="preserve">Investigate the Moradabad pincode (244001) with 77,787 enrolments to confirm these reflect genuine distinct enrollments</w:t>
      </w:r>
    </w:p>
    <w:p>
      <w:pPr>
        <w:spacing w:after="100" w:before="200"/>
      </w:pPr>
      <w:r>
        <w:rPr>
          <w:rFonts w:ascii="Arial" w:cs="Arial" w:eastAsia="Arial" w:hAnsi="Arial"/>
          <w:b/>
          <w:bCs/>
          <w:color w:val="2E75B6"/>
          <w:sz w:val="24"/>
          <w:szCs w:val="24"/>
        </w:rPr>
        <w:t xml:space="preserve">OPERATIONAL: Enrollment Strategy</w:t>
      </w:r>
    </w:p>
    <w:p>
      <w:pPr>
        <w:pStyle w:val="ListParagraph"/>
        <w:numPr>
          <w:ilvl w:val="0"/>
          <w:numId w:val="2"/>
        </w:numPr>
        <w:spacing w:after="60" w:before="60"/>
      </w:pPr>
      <w:r>
        <w:rPr>
          <w:rFonts w:ascii="Arial" w:cs="Arial" w:eastAsia="Arial" w:hAnsi="Arial"/>
          <w:color w:val="222222"/>
          <w:sz w:val="22"/>
          <w:szCs w:val="22"/>
        </w:rPr>
        <w:t xml:space="preserve">Target child enrollment drives in Maharashtra, West Bengal, Punjab, and Bihar where child rates are consistently below 7%</w:t>
      </w:r>
    </w:p>
    <w:p>
      <w:pPr>
        <w:pStyle w:val="ListParagraph"/>
        <w:numPr>
          <w:ilvl w:val="0"/>
          <w:numId w:val="2"/>
        </w:numPr>
        <w:spacing w:after="60" w:before="60"/>
      </w:pPr>
      <w:r>
        <w:rPr>
          <w:rFonts w:ascii="Arial" w:cs="Arial" w:eastAsia="Arial" w:hAnsi="Arial"/>
          <w:color w:val="222222"/>
          <w:sz w:val="22"/>
          <w:szCs w:val="22"/>
        </w:rPr>
        <w:t xml:space="preserve">Focus district-level child enrollment campaigns in Solapur, Nanded, and Yavatmal — all large Maharashtra districts with child rates under 3.2%</w:t>
      </w:r>
    </w:p>
    <w:p>
      <w:pPr>
        <w:pStyle w:val="ListParagraph"/>
        <w:numPr>
          <w:ilvl w:val="0"/>
          <w:numId w:val="2"/>
        </w:numPr>
        <w:spacing w:after="60" w:before="60"/>
      </w:pPr>
      <w:r>
        <w:rPr>
          <w:rFonts w:ascii="Arial" w:cs="Arial" w:eastAsia="Arial" w:hAnsi="Arial"/>
          <w:color w:val="222222"/>
          <w:sz w:val="22"/>
          <w:szCs w:val="22"/>
        </w:rPr>
        <w:t xml:space="preserve">Leverage the April to July low-volume window for targeted child enrollment campaigns, since child share is naturally highest in this period (11.8% to 13.2%)</w:t>
      </w:r>
    </w:p>
    <w:p>
      <w:pPr>
        <w:pStyle w:val="ListParagraph"/>
        <w:numPr>
          <w:ilvl w:val="0"/>
          <w:numId w:val="2"/>
        </w:numPr>
        <w:spacing w:after="60" w:before="60"/>
      </w:pPr>
      <w:r>
        <w:rPr>
          <w:rFonts w:ascii="Arial" w:cs="Arial" w:eastAsia="Arial" w:hAnsi="Arial"/>
          <w:color w:val="222222"/>
          <w:sz w:val="22"/>
          <w:szCs w:val="22"/>
        </w:rPr>
        <w:t xml:space="preserve">Explore the start-of-month surge (3.4x higher than mid-month) to understand whether enrollment events are front-loaded and whether this can be distributed more evenly</w:t>
      </w:r>
    </w:p>
    <w:p>
      <w:pPr>
        <w:pStyle w:val="ListParagraph"/>
        <w:numPr>
          <w:ilvl w:val="0"/>
          <w:numId w:val="2"/>
        </w:numPr>
        <w:spacing w:after="60" w:before="60"/>
      </w:pPr>
      <w:r>
        <w:rPr>
          <w:rFonts w:ascii="Arial" w:cs="Arial" w:eastAsia="Arial" w:hAnsi="Arial"/>
          <w:color w:val="222222"/>
          <w:sz w:val="22"/>
          <w:szCs w:val="22"/>
        </w:rPr>
        <w:t xml:space="preserve">Review Delhi's enrollment center infrastructure: with 10,356 enrolments per pincode (vs national average of ~1,800), centers may be overburdened</w:t>
      </w:r>
    </w:p>
    <w:p>
      <w:pPr>
        <w:spacing w:after="100" w:before="200"/>
      </w:pPr>
      <w:r>
        <w:rPr>
          <w:rFonts w:ascii="Arial" w:cs="Arial" w:eastAsia="Arial" w:hAnsi="Arial"/>
          <w:b/>
          <w:bCs/>
          <w:color w:val="375623"/>
          <w:sz w:val="24"/>
          <w:szCs w:val="24"/>
        </w:rPr>
        <w:t xml:space="preserve">ANALYTICAL: Further Investigation</w:t>
      </w:r>
    </w:p>
    <w:p>
      <w:pPr>
        <w:pStyle w:val="ListParagraph"/>
        <w:numPr>
          <w:ilvl w:val="0"/>
          <w:numId w:val="2"/>
        </w:numPr>
        <w:spacing w:after="60" w:before="60"/>
      </w:pPr>
      <w:r>
        <w:rPr>
          <w:rFonts w:ascii="Arial" w:cs="Arial" w:eastAsia="Arial" w:hAnsi="Arial"/>
          <w:color w:val="222222"/>
          <w:sz w:val="22"/>
          <w:szCs w:val="22"/>
        </w:rPr>
        <w:t xml:space="preserve">Conduct year-over-year comparison once 2024 or 2026 data is available to determine which patterns are structural and which are one-off</w:t>
      </w:r>
    </w:p>
    <w:p>
      <w:pPr>
        <w:pStyle w:val="ListParagraph"/>
        <w:numPr>
          <w:ilvl w:val="0"/>
          <w:numId w:val="2"/>
        </w:numPr>
        <w:spacing w:after="60" w:before="60"/>
      </w:pPr>
      <w:r>
        <w:rPr>
          <w:rFonts w:ascii="Arial" w:cs="Arial" w:eastAsia="Arial" w:hAnsi="Arial"/>
          <w:color w:val="222222"/>
          <w:sz w:val="22"/>
          <w:szCs w:val="22"/>
        </w:rPr>
        <w:t xml:space="preserve">Disaggregate the September surge by district to determine if it represents a specific program rollout or a statistical artifact</w:t>
      </w:r>
    </w:p>
    <w:p>
      <w:pPr>
        <w:pStyle w:val="ListParagraph"/>
        <w:numPr>
          <w:ilvl w:val="0"/>
          <w:numId w:val="2"/>
        </w:numPr>
        <w:spacing w:after="60" w:before="60"/>
      </w:pPr>
      <w:r>
        <w:rPr>
          <w:rFonts w:ascii="Arial" w:cs="Arial" w:eastAsia="Arial" w:hAnsi="Arial"/>
          <w:color w:val="222222"/>
          <w:sz w:val="22"/>
          <w:szCs w:val="22"/>
        </w:rPr>
        <w:t xml:space="preserve">Model the child enrollment shortfall as an absolute count to estimate the number of children without Aadhaar in each state</w:t>
      </w:r>
    </w:p>
    <w:p>
      <w:pPr>
        <w:pStyle w:val="ListParagraph"/>
        <w:numPr>
          <w:ilvl w:val="0"/>
          <w:numId w:val="2"/>
        </w:numPr>
        <w:spacing w:after="60" w:before="60"/>
      </w:pPr>
      <w:r>
        <w:rPr>
          <w:rFonts w:ascii="Arial" w:cs="Arial" w:eastAsia="Arial" w:hAnsi="Arial"/>
          <w:color w:val="222222"/>
          <w:sz w:val="22"/>
          <w:szCs w:val="22"/>
        </w:rPr>
        <w:t xml:space="preserve">Analyze pincode-level enrollment rates against census population data to identify genuine coverage gaps versus enrollment center proximity effects</w:t>
      </w:r>
    </w:p>
    <w:p>
      <w:pPr>
        <w:pStyle w:val="ListParagraph"/>
        <w:numPr>
          <w:ilvl w:val="0"/>
          <w:numId w:val="2"/>
        </w:numPr>
        <w:spacing w:after="60" w:before="60"/>
      </w:pPr>
      <w:r>
        <w:rPr>
          <w:rFonts w:ascii="Arial" w:cs="Arial" w:eastAsia="Arial" w:hAnsi="Arial"/>
          <w:color w:val="222222"/>
          <w:sz w:val="22"/>
          <w:szCs w:val="22"/>
        </w:rPr>
        <w:t xml:space="preserve">Re-examine October 31 spike (440,751 enrolments, z-score +2.06) with source-system logs to confirm if this is genuine enrollment activity or a data backfill</w:t>
      </w:r>
    </w:p>
    <w:p>
      <w:pPr>
        <w:spacing w:after="0" w:before="0"/>
      </w:pPr>
      <w:r>
        <w:br w:type="page"/>
      </w:r>
    </w:p>
    <w:p>
      <w:pPr>
        <w:pBdr>
          <w:bottom w:val="single" w:color="2E75B6" w:sz="8" w:space="4"/>
        </w:pBdr>
        <w:spacing w:after="120" w:before="320"/>
      </w:pPr>
      <w:r>
        <w:rPr>
          <w:rFonts w:ascii="Arial" w:cs="Arial" w:eastAsia="Arial" w:hAnsi="Arial"/>
          <w:b/>
          <w:bCs/>
          <w:color w:val="1B3A6B"/>
          <w:sz w:val="28"/>
          <w:szCs w:val="28"/>
        </w:rPr>
        <w:t xml:space="preserve">APPENDIX: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75B6" w:sz="1"/>
              <w:left w:val="single" w:color="2E75B6" w:sz="1"/>
              <w:bottom w:val="single" w:color="2E75B6" w:sz="1"/>
              <w:right w:val="single" w:color="2E75B6" w:sz="1"/>
            </w:tcBorders>
            <w:shd w:fill="1B3A6B" w:val="clear"/>
            <w:tcMar>
              <w:top w:type="dxa" w:w="80"/>
              <w:left w:type="dxa" w:w="160"/>
              <w:bottom w:type="dxa" w:w="80"/>
              <w:right w:type="dxa" w:w="120"/>
            </w:tcMar>
          </w:tcPr>
          <w:p>
            <w:r>
              <w:rPr>
                <w:rFonts w:ascii="Arial" w:cs="Arial" w:eastAsia="Arial" w:hAnsi="Arial"/>
                <w:b/>
                <w:bCs/>
                <w:color w:val="FFFFFF"/>
                <w:sz w:val="21"/>
                <w:szCs w:val="21"/>
              </w:rPr>
              <w:t xml:space="preserve">Metric</w:t>
            </w:r>
          </w:p>
        </w:tc>
        <w:tc>
          <w:tcPr>
            <w:tcW w:type="dxa" w:w="5360"/>
            <w:tcBorders>
              <w:top w:val="single" w:color="2E75B6" w:sz="1"/>
              <w:left w:val="single" w:color="2E75B6" w:sz="1"/>
              <w:bottom w:val="single" w:color="2E75B6" w:sz="1"/>
              <w:right w:val="single" w:color="2E75B6" w:sz="1"/>
            </w:tcBorders>
            <w:shd w:fill="1B3A6B" w:val="clear"/>
            <w:tcMar>
              <w:top w:type="dxa" w:w="80"/>
              <w:left w:type="dxa" w:w="160"/>
              <w:bottom w:type="dxa" w:w="80"/>
              <w:right w:type="dxa" w:w="120"/>
            </w:tcMar>
          </w:tcPr>
          <w:p>
            <w:r>
              <w:rPr>
                <w:rFonts w:ascii="Arial" w:cs="Arial" w:eastAsia="Arial" w:hAnsi="Arial"/>
                <w:b/>
                <w:bCs/>
                <w:color w:val="FFFFFF"/>
                <w:sz w:val="21"/>
                <w:szCs w:val="21"/>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Total records (raw — dataset rows)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2,071,700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Total records (after dedup)</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1,641,690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Duplicates removed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430,010 (21.6%)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Date range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March 1, 2025 to December 29, 2025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Months with data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9 of 10 (August 2025 missing)</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Total days in dataset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95 unique dates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Total enrolments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36,076,386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Children enrolled (5–17)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3,548,646 (9.8%)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Adults enrolled (18+)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32,527,740 (90.2%)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Unique states (cleaned)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Unique districts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762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Unique pincodes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19,741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Peak single day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March 1, 2025 (8,190,152)</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Lowest single day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October 22, 2025 (7,039)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Peak-to-trough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1,164 to 1</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Overall CV (raw)</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220%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CV (excluding March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69%</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State name variants found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9 (all West Bengal variants)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Invalid state entries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~74 records (Darbhanga, 100000, Puttenahalli)</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Analysis tool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Python (Pandas, NumPy, ReportLab)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444444"/>
                <w:sz w:val="20"/>
                <w:szCs w:val="20"/>
              </w:rPr>
              <w:t xml:space="preserve">Report 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b/>
                <w:bCs/>
                <w:color w:val="1B3A6B"/>
                <w:sz w:val="20"/>
                <w:szCs w:val="20"/>
              </w:rPr>
              <w:t xml:space="preserve">June 2026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color w:val="444444"/>
                <w:sz w:val="20"/>
                <w:szCs w:val="20"/>
              </w:rPr>
              <w:t xml:space="preserve">Data source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20"/>
            </w:tcMar>
          </w:tcPr>
          <w:p>
            <w:r>
              <w:rPr>
                <w:rFonts w:ascii="Arial" w:cs="Arial" w:eastAsia="Arial" w:hAnsi="Arial"/>
                <w:b/>
                <w:bCs/>
                <w:color w:val="1B3A6B"/>
                <w:sz w:val="20"/>
                <w:szCs w:val="20"/>
              </w:rPr>
              <w:t xml:space="preserve">UIDAI Data Hackathon 2026</w:t>
            </w:r>
          </w:p>
        </w:tc>
      </w:tr>
    </w:tbl>
    <w:p>
      <w:pPr>
        <w:spacing w:after="0" w:before="200"/>
      </w:pPr>
      <w:r>
        <w:t xml:space="preserve"/>
      </w:r>
    </w:p>
    <w:p>
      <w:pPr>
        <w:spacing w:after="80" w:before="60"/>
        <w:jc w:val="both"/>
      </w:pPr>
      <w:r>
        <w:rPr>
          <w:rFonts w:ascii="Arial" w:cs="Arial" w:eastAsia="Arial" w:hAnsi="Arial"/>
          <w:color w:val="222222"/>
          <w:sz w:val="22"/>
          <w:szCs w:val="22"/>
        </w:rPr>
        <w:t xml:space="preserve">This report was produced using Python-based data analysis tools on the Aadhaar Enrollment Registry (UIDAI Data Hackathon 2026). All findings are reproducible from the accompanying scripts (deep_analysis.py, create_plots.py, app.py). Data cleaning steps are documented in the code and reflected in the deduplication and standardization figures reported above. Readers are encouraged to validate the March 1 and August findings with source-system administrators before drawing operational conclusions.</w:t>
      </w:r>
    </w:p>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595959"/>
        <w:sz w:val="18"/>
        <w:szCs w:val="18"/>
      </w:rPr>
      <w:t xml:space="preserve">Aadhaar Demographics Analysis 2025  |  Data Intelligence Unit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2026-06-06T14:03:36.332Z</dcterms:created>
  <dcterms:modified xsi:type="dcterms:W3CDTF">2026-06-06T14:03:36.332Z</dcterms:modified>
</cp:coreProperties>
</file>

<file path=docProps/custom.xml><?xml version="1.0" encoding="utf-8"?>
<Properties xmlns="http://schemas.openxmlformats.org/officeDocument/2006/custom-properties" xmlns:vt="http://schemas.openxmlformats.org/officeDocument/2006/docPropsVTypes"/>
</file>