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4"/>
          <w:szCs w:val="44"/>
        </w:rPr>
        <w:t xml:space="preserve">Data Engineering Standards &amp; Governance Framework</w:t>
      </w:r>
    </w:p>
    <w:p>
      <w:pPr>
        <w:spacing w:after="100" w:before="200"/>
        <w:jc w:val="center"/>
      </w:pPr>
      <w:r>
        <w:rPr>
          <w:color w:val="2E5395"/>
          <w:sz w:val="26"/>
          <w:szCs w:val="26"/>
        </w:rPr>
        <w:t xml:space="preserve">aftermarketdbx — Multi-Source Migration to Databricks (Medallion Architecture)</w:t>
      </w:r>
    </w:p>
    <w:p>
      <w:pPr>
        <w:spacing w:before="100"/>
        <w:jc w:val="center"/>
      </w:pPr>
      <w:r>
        <w:rPr>
          <w:color w:val="666666"/>
          <w:sz w:val="22"/>
          <w:szCs w:val="22"/>
        </w:rPr>
        <w:t xml:space="preserve">Sources in scope: SAP · CIO · Raw Excel · API</w:t>
      </w:r>
    </w:p>
    <w:p>
      <w:pPr>
        <w:spacing w:before="400"/>
        <w:jc w:val="center"/>
      </w:pPr>
      <w:r>
        <w:rPr>
          <w:color w:val="666666"/>
          <w:sz w:val="22"/>
          <w:szCs w:val="22"/>
        </w:rPr>
        <w:t xml:space="preserve">Version 2.0  |  Draft for Sign-off  |  2026-09-17</w:t>
      </w:r>
    </w:p>
    <w:p>
      <w:pPr>
        <w:spacing w:before="100"/>
        <w:jc w:val="center"/>
      </w:pPr>
      <w:r>
        <w:rPr>
          <w:color w:val="666666"/>
          <w:sz w:val="22"/>
          <w:szCs w:val="22"/>
        </w:rPr>
        <w:t xml:space="preserve">Prepared by: Data Architecture / DE Lead</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Purpose &amp; Scope</w:t>
      </w:r>
    </w:p>
    <w:p>
      <w:pPr>
        <w:spacing w:after="120"/>
      </w:pPr>
      <w:r>
        <w:t xml:space="preserve">This document defines the minimum standards for the Data Engineering (DE) team to design, build, and operate the aftermarketdbx data platform on Databricks. It replaces the Synapse-based SAP pipelines and extends coverage to every source feeding the platform. It is the single reference used to gather requirements, guide build, and obtain sign-off before development starts.</w:t>
      </w:r>
    </w:p>
    <w:p>
      <w:pPr>
        <w:spacing w:after="120"/>
      </w:pPr>
      <w:r>
        <w:t xml:space="preserve">Sources in scope: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Source</w:t>
            </w:r>
          </w:p>
        </w:tc>
        <w:tc>
          <w:tcPr>
            <w:tcW w:type="dxa" w:w="7600"/>
            <w:shd w:fill="1F3864"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SAP</w:t>
            </w:r>
          </w:p>
        </w:tc>
        <w:tc>
          <w:tcPr>
            <w:tcW w:type="dxa" w:w="7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GUI-based exports; historically via network drive → Auto Loader → Synapse. Now sourced via BIS (Section 3).</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CIO</w:t>
            </w:r>
          </w:p>
        </w:tc>
        <w:tc>
          <w:tcPr>
            <w:tcW w:type="dxa" w:w="7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Central IT-owned source; delivered via BIS the same way as SAP unless stated otherwise.</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Raw Excel</w:t>
            </w:r>
          </w:p>
        </w:tc>
        <w:tc>
          <w:tcPr>
            <w:tcW w:type="dxa" w:w="7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Manually maintained files; needs a version-controlled template and schema lock (Section 3.1).</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API</w:t>
            </w:r>
          </w:p>
        </w:tc>
        <w:tc>
          <w:tcPr>
            <w:tcW w:type="dxa" w:w="7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Pulled/pushed feeds; needs idempotent load keys and rate-limit handling (Section 3.1).</w:t>
            </w:r>
          </w:p>
        </w:tc>
      </w:tr>
    </w:tbl>
    <w:p>
      <w:pPr>
        <w:spacing w:after="120"/>
      </w:pPr>
      <w:r>
        <w:t xml:space="preserve">Out of scope: Azure AD / group and workspace access provisioning (owned by Central IT / Platform team); source system extraction itself where BIS is the extracting team (Section 3).</w:t>
      </w:r>
    </w:p>
    <w:p>
      <w:pPr>
        <w:pStyle w:val="Heading1"/>
        <w:spacing w:after="160" w:before="320"/>
      </w:pPr>
      <w:r>
        <w:t xml:space="preserve">2. Current vs. Proposed Architecture</w:t>
      </w:r>
    </w:p>
    <w:p>
      <w:pPr>
        <w:pStyle w:val="Heading2"/>
        <w:spacing w:after="120" w:before="240"/>
      </w:pPr>
      <w:r>
        <w:t xml:space="preserve">2.1 Current State</w:t>
      </w:r>
    </w:p>
    <w:p>
      <w:pPr>
        <w:spacing w:after="120"/>
      </w:pPr>
      <w:r>
        <w:t xml:space="preserve">SAP GUI-based data is exported to a network drive, picked up by an Auto Loader job into Azure storage, and loaded via Synapse pipelines. Analysts consume data directly from SQL views.</w:t>
      </w:r>
    </w:p>
    <w:p>
      <w:pPr>
        <w:pStyle w:val="Heading2"/>
        <w:spacing w:after="120" w:before="240"/>
      </w:pPr>
      <w:r>
        <w:t xml:space="preserve">2.2 Proposed State (Databricks)</w:t>
      </w:r>
    </w:p>
    <w:p>
      <w:pPr>
        <w:spacing w:after="120"/>
      </w:pPr>
      <w:r>
        <w:t xml:space="preserve">The BIS team extracts source systems (SAP, CIO, and others as onboarded) and lands them in their own prod_silver tables — this is treated as our raw input. DE assesses that input (Section 3.1), then either builds directly on it or curates its own Silver, before publishing Gold tables for analysts. Excel and API sources that BIS does not extract are ingested directly by DE at Bronze. All layers are Delta, Unity Catalog managed tables.</w:t>
      </w:r>
    </w:p>
    <w:p>
      <w:pPr>
        <w:jc w:val="center"/>
      </w:pPr>
      <w:r>
        <w:drawing>
          <wp:inline distT="0" distB="0" distL="0" distR="0">
            <wp:extent cx="59055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514475"/>
                    </a:xfrm>
                    <a:prstGeom prst="rect">
                      <a:avLst/>
                    </a:prstGeom>
                  </pic:spPr>
                </pic:pic>
              </a:graphicData>
            </a:graphic>
          </wp:inline>
        </w:drawing>
      </w:r>
    </w:p>
    <w:p>
      <w:pPr>
        <w:spacing w:after="160"/>
        <w:jc w:val="center"/>
      </w:pPr>
      <w:r>
        <w:rPr>
          <w:i/>
          <w:iCs/>
          <w:color w:val="666666"/>
          <w:sz w:val="18"/>
          <w:szCs w:val="18"/>
        </w:rPr>
        <w:t xml:space="preserve">Figure 1 — High-level data flow from source to consumption (also in Section 19 / Appendix A as mermaid).</w:t>
      </w:r>
    </w:p>
    <w:p>
      <w:pPr>
        <w:pStyle w:val="Heading1"/>
        <w:spacing w:after="160" w:before="320"/>
      </w:pPr>
      <w:r>
        <w:t xml:space="preserve">3. Layer &amp; Design Standards</w:t>
      </w:r>
    </w:p>
    <w:p>
      <w:pPr>
        <w:pStyle w:val="Heading2"/>
        <w:spacing w:after="120" w:before="240"/>
      </w:pPr>
      <w:r>
        <w:t xml:space="preserve">3.1 Raw / Bronze — Two Intake Paths</w:t>
      </w:r>
    </w:p>
    <w:p>
      <w:pPr>
        <w:spacing w:after="120"/>
      </w:pPr>
      <w:r>
        <w:t xml:space="preserve">Not every source arrives the same way, so Bronze has two standard intake paths: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Path</w:t>
            </w:r>
          </w:p>
        </w:tc>
        <w:tc>
          <w:tcPr>
            <w:tcW w:type="dxa" w:w="6800"/>
            <w:shd w:fill="1F3864" w:val="clear"/>
            <w:tcMar>
              <w:top w:type="dxa" w:w="80"/>
              <w:left w:type="dxa" w:w="100"/>
              <w:bottom w:type="dxa" w:w="80"/>
              <w:right w:type="dxa" w:w="100"/>
            </w:tcMar>
            <w:vAlign w:val="center"/>
          </w:tcPr>
          <w:p>
            <w:pPr>
              <w:jc w:val="left"/>
            </w:pPr>
            <w:r>
              <w:rPr>
                <w:b/>
                <w:bCs/>
                <w:color w:val="FFFFFF"/>
                <w:sz w:val="20"/>
                <w:szCs w:val="20"/>
              </w:rPr>
              <w:t xml:space="preserve">Standard</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BIS-provided (SAP, CIO, …)</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BIS prod_silver is treated as our raw. DE does not re-extract; DE reads it read-only and runs the Source Readiness Checklist (Section 3.2) before deciding how to build on it.</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DE-ingested (Excel, API, other direct sources)</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 owns ingestion. Excel: version-controlled template, schema locked and validated on load, one file = one batch with a load timestamp. API: idempotent load key (no duplicate ingestion on retry), pagination and rate-limit handling documented per source, response schema captured in the contract.</w:t>
            </w:r>
          </w:p>
        </w:tc>
      </w:tr>
    </w:tbl>
    <w:p>
      <w:pPr>
        <w:pStyle w:val="Heading2"/>
        <w:spacing w:after="120" w:before="240"/>
      </w:pPr>
      <w:r>
        <w:t xml:space="preserve">3.2 BIS Source Readiness Checklist</w:t>
      </w:r>
    </w:p>
    <w:p>
      <w:pPr>
        <w:spacing w:after="120"/>
      </w:pPr>
      <w:r>
        <w:t xml:space="preserve">Run once per BIS-provided table, before building a data contract or any pipeline on it. The answers go straight into that table's Data Contract (Section 3.7).</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1600"/>
        <w:gridCol w:w="1200"/>
      </w:tblGrid>
      <w:tr>
        <w:tc>
          <w:tcPr>
            <w:tcW w:type="dxa" w:w="700"/>
            <w:shd w:fill="1F3864"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6300"/>
            <w:shd w:fill="1F3864" w:val="clear"/>
            <w:tcMar>
              <w:top w:type="dxa" w:w="80"/>
              <w:left w:type="dxa" w:w="100"/>
              <w:bottom w:type="dxa" w:w="80"/>
              <w:right w:type="dxa" w:w="100"/>
            </w:tcMar>
            <w:vAlign w:val="center"/>
          </w:tcPr>
          <w:p>
            <w:pPr>
              <w:jc w:val="left"/>
            </w:pPr>
            <w:r>
              <w:rPr>
                <w:b/>
                <w:bCs/>
                <w:color w:val="FFFFFF"/>
                <w:sz w:val="20"/>
                <w:szCs w:val="20"/>
              </w:rPr>
              <w:t xml:space="preserve">Item</w:t>
            </w:r>
          </w:p>
        </w:tc>
        <w:tc>
          <w:tcPr>
            <w:tcW w:type="dxa" w:w="1600"/>
            <w:shd w:fill="1F3864" w:val="clear"/>
            <w:tcMar>
              <w:top w:type="dxa" w:w="80"/>
              <w:left w:type="dxa" w:w="100"/>
              <w:bottom w:type="dxa" w:w="80"/>
              <w:right w:type="dxa" w:w="100"/>
            </w:tcMar>
            <w:vAlign w:val="center"/>
          </w:tcPr>
          <w:p>
            <w:pPr>
              <w:jc w:val="left"/>
            </w:pPr>
            <w:r>
              <w:rPr>
                <w:b/>
                <w:bCs/>
                <w:color w:val="FFFFFF"/>
                <w:sz w:val="20"/>
                <w:szCs w:val="20"/>
              </w:rPr>
              <w:t xml:space="preserve">Owner</w:t>
            </w:r>
          </w:p>
        </w:tc>
        <w:tc>
          <w:tcPr>
            <w:tcW w:type="dxa" w:w="1200"/>
            <w:shd w:fill="1F3864" w:val="clear"/>
            <w:tcMar>
              <w:top w:type="dxa" w:w="80"/>
              <w:left w:type="dxa" w:w="100"/>
              <w:bottom w:type="dxa" w:w="80"/>
              <w:right w:type="dxa" w:w="100"/>
            </w:tcMar>
            <w:vAlign w:val="center"/>
          </w:tcPr>
          <w:p>
            <w:pPr>
              <w:jc w:val="center"/>
            </w:pPr>
            <w:r>
              <w:rPr>
                <w:b/>
                <w:bCs/>
                <w:color w:val="FFFFFF"/>
                <w:sz w:val="20"/>
                <w:szCs w:val="20"/>
              </w:rPr>
              <w:t xml:space="preserve">Status</w:t>
            </w:r>
          </w:p>
        </w:tc>
      </w:tr>
      <w:tr>
        <w:tc>
          <w:tcPr>
            <w:tcW w:type="dxa" w:w="7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1</w:t>
            </w:r>
          </w:p>
        </w:tc>
        <w:tc>
          <w:tcPr>
            <w:tcW w:type="dxa" w:w="6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History behavior confirmed: full history kept, append-only, or overwrite-in-place?</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DE + BIS</w:t>
            </w:r>
          </w:p>
        </w:tc>
        <w:tc>
          <w:tcPr>
            <w:tcW w:type="dxa" w:w="12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2</w:t>
            </w:r>
          </w:p>
        </w:tc>
        <w:tc>
          <w:tcPr>
            <w:tcW w:type="dxa" w:w="6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Delete handling confirmed: soft-delete flag (and its column name), or hard delete?</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 + BIS</w:t>
            </w:r>
          </w:p>
        </w:tc>
        <w:tc>
          <w:tcPr>
            <w:tcW w:type="dxa" w:w="1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3</w:t>
            </w:r>
          </w:p>
        </w:tc>
        <w:tc>
          <w:tcPr>
            <w:tcW w:type="dxa" w:w="6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Load pattern confirmed: CDC feed, daily full snapshot, or incremental merge?</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DE + BIS</w:t>
            </w:r>
          </w:p>
        </w:tc>
        <w:tc>
          <w:tcPr>
            <w:tcW w:type="dxa" w:w="12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4</w:t>
            </w:r>
          </w:p>
        </w:tc>
        <w:tc>
          <w:tcPr>
            <w:tcW w:type="dxa" w:w="6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Business key / uniqueness guaranteed by BIS, or does DE need to dedupe?</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 + BIS</w:t>
            </w:r>
          </w:p>
        </w:tc>
        <w:tc>
          <w:tcPr>
            <w:tcW w:type="dxa" w:w="1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6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Refresh frequency and SLA committed by BIS documented</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DE + BIS</w:t>
            </w:r>
          </w:p>
        </w:tc>
        <w:tc>
          <w:tcPr>
            <w:tcW w:type="dxa" w:w="12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6</w:t>
            </w:r>
          </w:p>
        </w:tc>
        <w:tc>
          <w:tcPr>
            <w:tcW w:type="dxa" w:w="6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Known reprocessing behavior on the BIS side documented (does BIS ever silently rewrite history?)</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 + BIS</w:t>
            </w:r>
          </w:p>
        </w:tc>
        <w:tc>
          <w:tcPr>
            <w:tcW w:type="dxa" w:w="1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7</w:t>
            </w:r>
          </w:p>
        </w:tc>
        <w:tc>
          <w:tcPr>
            <w:tcW w:type="dxa" w:w="6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Schema stability: how BIS communicates a schema change, and with how much notice</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DE + BIS</w:t>
            </w:r>
          </w:p>
        </w:tc>
        <w:tc>
          <w:tcPr>
            <w:tcW w:type="dxa" w:w="12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bl>
    <w:p>
      <w:pPr>
        <w:pStyle w:val="Heading3"/>
        <w:spacing w:after="100" w:before="180"/>
      </w:pPr>
      <w:r>
        <w:t xml:space="preserve">Decision gate</w:t>
      </w:r>
    </w:p>
    <w:p>
      <w:pPr>
        <w:pStyle w:val="ListParagraph"/>
        <w:numPr>
          <w:ilvl w:val="0"/>
          <w:numId w:val="2"/>
        </w:numPr>
        <w:spacing w:after="60"/>
      </w:pPr>
      <w:r>
        <w:rPr>
          <w:b/>
          <w:bCs/>
        </w:rPr>
        <w:t xml:space="preserve">Good shape (reliable keys, consistent schema, delete/history behavior known and acceptable) → skip a separate DE Silver copy; build DE Gold as a DLT materialized view directly on BIS prod_silver — in dev, qa, and prod alike, once the checklist is signed off. This applies uniformly across environments, not just prod.</w:t>
      </w:r>
    </w:p>
    <w:p>
      <w:pPr>
        <w:pStyle w:val="ListParagraph"/>
        <w:numPr>
          <w:ilvl w:val="0"/>
          <w:numId w:val="2"/>
        </w:numPr>
        <w:spacing w:after="60"/>
      </w:pPr>
      <w:r>
        <w:rPr>
          <w:b w:val="false"/>
          <w:bCs w:val="false"/>
        </w:rPr>
        <w:t xml:space="preserve">Not good shape (dirty keys, unclear delete semantics, unreliable schema) → DE builds its own Silver (Section 3.4) first, then Gold.</w:t>
      </w:r>
    </w:p>
    <w:p>
      <w:pPr>
        <w:pStyle w:val="ListParagraph"/>
        <w:numPr>
          <w:ilvl w:val="0"/>
          <w:numId w:val="2"/>
        </w:numPr>
        <w:spacing w:after="60"/>
      </w:pPr>
      <w:r>
        <w:rPr>
          <w:b w:val="false"/>
          <w:bCs w:val="false"/>
        </w:rPr>
        <w:t xml:space="preserve">Either way, DE keeps a nightly backup of the BIS table it depends on (Delta deep clone into a _bronze_backup schema) so a corrupted or dropped BIS table doesn't block recovery. This is a lightweight safety copy, not a re-transformation — it does not defeat the goal of reducing duplicate storage.</w:t>
      </w:r>
    </w:p>
    <w:p>
      <w:pPr>
        <w:spacing w:after="160"/>
      </w:pPr>
      <w:r>
        <w:rPr>
          <w:i/>
          <w:iCs/>
          <w:color w:val="555555"/>
          <w:sz w:val="20"/>
          <w:szCs w:val="20"/>
        </w:rPr>
        <w:t xml:space="preserve">This checklist + decision is what "reduce repeated data storage" means in practice: don't build a Silver copy of data that is already trustworthy — but never depend on someone else's table with zero recovery plan either.</w:t>
      </w:r>
    </w:p>
    <w:p>
      <w:pPr>
        <w:pStyle w:val="Heading2"/>
        <w:spacing w:after="120" w:before="240"/>
      </w:pPr>
      <w:r>
        <w:t xml:space="preserve">3.3 History Preservation Patterns</w:t>
      </w:r>
    </w:p>
    <w:p>
      <w:pPr>
        <w:spacing w:after="120"/>
      </w:pPr>
      <w:r>
        <w:t xml:space="preserve">History requirements differ by data shape. Choose per table, not as one blanket rule — record the choice in that table's Data Contract.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1F3864" w:val="clear"/>
            <w:tcMar>
              <w:top w:type="dxa" w:w="80"/>
              <w:left w:type="dxa" w:w="100"/>
              <w:bottom w:type="dxa" w:w="80"/>
              <w:right w:type="dxa" w:w="100"/>
            </w:tcMar>
            <w:vAlign w:val="center"/>
          </w:tcPr>
          <w:p>
            <w:pPr>
              <w:jc w:val="left"/>
            </w:pPr>
            <w:r>
              <w:rPr>
                <w:b/>
                <w:bCs/>
                <w:color w:val="FFFFFF"/>
                <w:sz w:val="20"/>
                <w:szCs w:val="20"/>
              </w:rPr>
              <w:t xml:space="preserve">Source pattern</w:t>
            </w:r>
          </w:p>
        </w:tc>
        <w:tc>
          <w:tcPr>
            <w:tcW w:type="dxa" w:w="6600"/>
            <w:shd w:fill="1F3864" w:val="clear"/>
            <w:tcMar>
              <w:top w:type="dxa" w:w="80"/>
              <w:left w:type="dxa" w:w="100"/>
              <w:bottom w:type="dxa" w:w="80"/>
              <w:right w:type="dxa" w:w="100"/>
            </w:tcMar>
            <w:vAlign w:val="center"/>
          </w:tcPr>
          <w:p>
            <w:pPr>
              <w:jc w:val="left"/>
            </w:pPr>
            <w:r>
              <w:rPr>
                <w:b/>
                <w:bCs/>
                <w:color w:val="FFFFFF"/>
                <w:sz w:val="20"/>
                <w:szCs w:val="20"/>
              </w:rPr>
              <w:t xml:space="preserve">Recommended storage</w:t>
            </w:r>
          </w:p>
        </w:tc>
      </w:tr>
      <w:tr>
        <w:tc>
          <w:tcPr>
            <w:tcW w:type="dxa" w:w="2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Daily full snapshot available</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Snapshot fact table — one row per key per snapshot_date, append-only, partitioned/clustered by date. The date itself is the history; no SCD2 needed. This is the default for Stock on Hand and most warehouse reports.</w:t>
            </w:r>
          </w:p>
        </w:tc>
      </w:tr>
      <w:tr>
        <w:tc>
          <w:tcPr>
            <w:tcW w:type="dxa" w:w="2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CDC-only feed (inserts/updates/deletes, no full snapshot)</w:t>
            </w:r>
          </w:p>
        </w:tc>
        <w:tc>
          <w:tcPr>
            <w:tcW w:type="dxa" w:w="6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Apply via MERGE to build current state; if daily history is required for reporting, derive it downstream with a scheduled job that materializes an "as-of" snapshot each day.</w:t>
            </w:r>
          </w:p>
        </w:tc>
      </w:tr>
      <w:tr>
        <w:tc>
          <w:tcPr>
            <w:tcW w:type="dxa" w:w="2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Slowly-changing reference/master data (vendor, material master)</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SCD2 — history driven by attribute change, not by time. Standard SCD2 columns as defined in Section 10.</w:t>
            </w:r>
          </w:p>
        </w:tc>
      </w:tr>
      <w:tr>
        <w:tc>
          <w:tcPr>
            <w:tcW w:type="dxa" w:w="2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High-volume transactional facts (orders, movements)</w:t>
            </w:r>
          </w:p>
        </w:tc>
        <w:tc>
          <w:tcPr>
            <w:tcW w:type="dxa" w:w="6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Append-only. History is inherent in the event stream; no update/merge needed.</w:t>
            </w:r>
          </w:p>
        </w:tc>
      </w:tr>
    </w:tbl>
    <w:p>
      <w:pPr>
        <w:spacing w:after="160"/>
      </w:pPr>
      <w:r>
        <w:rPr>
          <w:i/>
          <w:iCs/>
          <w:color w:val="555555"/>
          <w:sz w:val="20"/>
          <w:szCs w:val="20"/>
        </w:rPr>
        <w:t xml:space="preserve">Stock on Hand and similar warehouse reports: default to the snapshot fact pattern ("as of date X") rather than SCD2, unless the analyst requirement explicitly needs attribute-level change tracking rather than point-in-time quantities.</w:t>
      </w:r>
    </w:p>
    <w:p>
      <w:pPr>
        <w:pStyle w:val="Heading2"/>
        <w:spacing w:after="120" w:before="240"/>
      </w:pPr>
      <w:r>
        <w:t xml:space="preserve">3.4 Silver (DE-owned, curated variant — only when Section 3.2 requires it)</w:t>
      </w:r>
    </w:p>
    <w:p>
      <w:pPr>
        <w:pStyle w:val="ListParagraph"/>
        <w:numPr>
          <w:ilvl w:val="0"/>
          <w:numId w:val="2"/>
        </w:numPr>
        <w:spacing w:after="60"/>
      </w:pPr>
      <w:r>
        <w:rPr>
          <w:b w:val="false"/>
          <w:bCs w:val="false"/>
        </w:rPr>
        <w:t xml:space="preserve">One Silver table per source variant/report, built only when the BIS (or direct) source needs cleansing DE can't safely skip.</w:t>
      </w:r>
    </w:p>
    <w:p>
      <w:pPr>
        <w:pStyle w:val="ListParagraph"/>
        <w:numPr>
          <w:ilvl w:val="0"/>
          <w:numId w:val="2"/>
        </w:numPr>
        <w:spacing w:after="60"/>
      </w:pPr>
      <w:r>
        <w:rPr>
          <w:b w:val="false"/>
          <w:bCs w:val="false"/>
        </w:rPr>
        <w:t xml:space="preserve">Business/cleansing rules, standardized data types, deduplication, conformed keys.</w:t>
      </w:r>
    </w:p>
    <w:p>
      <w:pPr>
        <w:pStyle w:val="ListParagraph"/>
        <w:numPr>
          <w:ilvl w:val="0"/>
          <w:numId w:val="2"/>
        </w:numPr>
        <w:spacing w:after="60"/>
      </w:pPr>
      <w:r>
        <w:rPr>
          <w:b w:val="false"/>
          <w:bCs w:val="false"/>
        </w:rPr>
        <w:t xml:space="preserve">DQX quality checks applied on write (Section 9).</w:t>
      </w:r>
    </w:p>
    <w:p>
      <w:pPr>
        <w:pStyle w:val="ListParagraph"/>
        <w:numPr>
          <w:ilvl w:val="0"/>
          <w:numId w:val="2"/>
        </w:numPr>
        <w:spacing w:after="60"/>
      </w:pPr>
      <w:r>
        <w:rPr>
          <w:b w:val="false"/>
          <w:bCs w:val="false"/>
        </w:rPr>
        <w:t xml:space="preserve">No SCD2 in Silver — Silver reflects the current cleansed state; history pattern (Section 3.3) is applied in Gold.</w:t>
      </w:r>
    </w:p>
    <w:p>
      <w:pPr>
        <w:pStyle w:val="Heading2"/>
        <w:spacing w:after="120" w:before="240"/>
      </w:pPr>
      <w:r>
        <w:t xml:space="preserve">3.5 Gold (DE-owned, Analyst-facing)</w:t>
      </w:r>
    </w:p>
    <w:p>
      <w:pPr>
        <w:pStyle w:val="ListParagraph"/>
        <w:numPr>
          <w:ilvl w:val="0"/>
          <w:numId w:val="2"/>
        </w:numPr>
        <w:spacing w:after="60"/>
      </w:pPr>
      <w:r>
        <w:rPr>
          <w:b w:val="false"/>
          <w:bCs w:val="false"/>
        </w:rPr>
        <w:t xml:space="preserve">Modeled per analyst/reporting requirement (fact/dimension or flattened, as agreed).</w:t>
      </w:r>
    </w:p>
    <w:p>
      <w:pPr>
        <w:pStyle w:val="ListParagraph"/>
        <w:numPr>
          <w:ilvl w:val="0"/>
          <w:numId w:val="2"/>
        </w:numPr>
        <w:spacing w:after="60"/>
      </w:pPr>
      <w:r>
        <w:rPr>
          <w:b w:val="false"/>
          <w:bCs w:val="false"/>
        </w:rPr>
        <w:t xml:space="preserve">Built either as a DLT materialized view directly on BIS silver (good-shape path) or on top of DE Silver (not-good-shape path) — see Section 3.2.</w:t>
      </w:r>
    </w:p>
    <w:p>
      <w:pPr>
        <w:pStyle w:val="ListParagraph"/>
        <w:numPr>
          <w:ilvl w:val="0"/>
          <w:numId w:val="2"/>
        </w:numPr>
        <w:spacing w:after="60"/>
      </w:pPr>
      <w:r>
        <w:rPr>
          <w:b w:val="false"/>
          <w:bCs w:val="false"/>
        </w:rPr>
        <w:t xml:space="preserve">History pattern applied here per Section 3.3 (snapshot / SCD2 / append-only).</w:t>
      </w:r>
    </w:p>
    <w:p>
      <w:pPr>
        <w:pStyle w:val="ListParagraph"/>
        <w:numPr>
          <w:ilvl w:val="0"/>
          <w:numId w:val="2"/>
        </w:numPr>
        <w:spacing w:after="60"/>
      </w:pPr>
      <w:r>
        <w:rPr>
          <w:b w:val="false"/>
          <w:bCs w:val="false"/>
        </w:rPr>
        <w:t xml:space="preserve">Materialized as Delta managed tables; no ad-hoc views used as the primary interface — views may wrap Gold tables for row/column security only.</w:t>
      </w:r>
    </w:p>
    <w:p>
      <w:pPr>
        <w:pStyle w:val="Heading2"/>
        <w:spacing w:after="120" w:before="240"/>
      </w:pPr>
      <w:r>
        <w:t xml:space="preserve">3.6 Handling Soft-Deleted Records</w:t>
      </w:r>
    </w:p>
    <w:p>
      <w:pPr>
        <w:spacing w:after="120"/>
      </w:pPr>
      <w:r>
        <w:t xml:space="preserve">Where a source (BIS or direct) marks deletes with a flag rather than removing rows physically:</w:t>
      </w:r>
    </w:p>
    <w:p>
      <w:pPr>
        <w:pStyle w:val="ListParagraph"/>
        <w:numPr>
          <w:ilvl w:val="0"/>
          <w:numId w:val="2"/>
        </w:numPr>
        <w:spacing w:after="60"/>
      </w:pPr>
      <w:r>
        <w:rPr>
          <w:b w:val="false"/>
          <w:bCs w:val="false"/>
        </w:rPr>
        <w:t xml:space="preserve">Silver/direct-Gold never hard-deletes on ingestion. The delete marker is applied as a state change via MERGE, preserving the row and its audit trail.</w:t>
      </w:r>
    </w:p>
    <w:p>
      <w:pPr>
        <w:pStyle w:val="ListParagraph"/>
        <w:numPr>
          <w:ilvl w:val="0"/>
          <w:numId w:val="2"/>
        </w:numPr>
        <w:spacing w:after="60"/>
      </w:pPr>
      <w:r>
        <w:rPr>
          <w:b w:val="false"/>
          <w:bCs w:val="false"/>
        </w:rPr>
        <w:t xml:space="preserve">Standard columns: is_deleted (boolean) and deleted_ts, propagated from source or set on first-seen delete.</w:t>
      </w:r>
    </w:p>
    <w:p>
      <w:pPr>
        <w:pStyle w:val="ListParagraph"/>
        <w:numPr>
          <w:ilvl w:val="0"/>
          <w:numId w:val="2"/>
        </w:numPr>
        <w:spacing w:after="60"/>
      </w:pPr>
      <w:r>
        <w:rPr>
          <w:b w:val="false"/>
          <w:bCs w:val="false"/>
        </w:rPr>
        <w:t xml:space="preserve">Gold decides visibility: default filter is_deleted = false, unless the analyst requirement explicitly needs deleted-record visibility (reconciliation, audit) — call this out in the requirement template (Section 16).</w:t>
      </w:r>
    </w:p>
    <w:p>
      <w:pPr>
        <w:pStyle w:val="ListParagraph"/>
        <w:numPr>
          <w:ilvl w:val="0"/>
          <w:numId w:val="2"/>
        </w:numPr>
        <w:spacing w:after="60"/>
      </w:pPr>
      <w:r>
        <w:rPr>
          <w:b w:val="false"/>
          <w:bCs w:val="false"/>
        </w:rPr>
        <w:t xml:space="preserve">SCD2 Gold tables treat a source delete as a close-out (effective_end_ts, is_current_flag = false) — never remove the row.</w:t>
      </w:r>
    </w:p>
    <w:p>
      <w:pPr>
        <w:pStyle w:val="ListParagraph"/>
        <w:numPr>
          <w:ilvl w:val="0"/>
          <w:numId w:val="2"/>
        </w:numPr>
        <w:spacing w:after="60"/>
      </w:pPr>
      <w:r>
        <w:rPr>
          <w:b w:val="false"/>
          <w:bCs w:val="false"/>
        </w:rPr>
        <w:t xml:space="preserve">DQX includes a check on the % of newly-deleted rows per run; a spike beyond an agreed threshold flags for review.</w:t>
      </w:r>
    </w:p>
    <w:p>
      <w:pPr>
        <w:pStyle w:val="Heading2"/>
        <w:spacing w:after="120" w:before="240"/>
      </w:pPr>
      <w:r>
        <w:t xml:space="preserve">3.7 Data Contract Standard</w:t>
      </w:r>
    </w:p>
    <w:p>
      <w:pPr>
        <w:spacing w:after="120"/>
      </w:pPr>
      <w:r>
        <w:t xml:space="preserve">Every Gold table — and any Silver table consumed by more than one downstream pipeline — must have a Data Contract: one YAML file, plus a plain-language rendering anyone (engineer, analyst, business owner) can read. The contract is the single source of truth for what is promised, signed off by producer (DE) and consumer before go-live.</w:t>
      </w:r>
    </w:p>
    <w:p>
      <w:pPr>
        <w:pStyle w:val="ListParagraph"/>
        <w:numPr>
          <w:ilvl w:val="0"/>
          <w:numId w:val="2"/>
        </w:numPr>
        <w:spacing w:after="60"/>
      </w:pPr>
      <w:r>
        <w:rPr>
          <w:b w:val="false"/>
          <w:bCs w:val="false"/>
        </w:rPr>
        <w:t xml:space="preserve">Location: &lt;source-repo&gt;/contracts/&lt;catalog&gt;.&lt;schema&gt;.&lt;table&gt;/contract.yaml — inside that source's own repo, in its own folder (not mixed with pipeline code, not a separate standalone repo).</w:t>
      </w:r>
    </w:p>
    <w:p>
      <w:pPr>
        <w:pStyle w:val="ListParagraph"/>
        <w:numPr>
          <w:ilvl w:val="0"/>
          <w:numId w:val="2"/>
        </w:numPr>
        <w:spacing w:after="60"/>
      </w:pPr>
      <w:r>
        <w:rPr>
          <w:b w:val="false"/>
          <w:bCs w:val="false"/>
        </w:rPr>
        <w:t xml:space="preserve">Required for Design Sign-off (Section 17.1); version-bumped at every Release Sign-off (Section 17.2) where its shape changes.</w:t>
      </w:r>
    </w:p>
    <w:p>
      <w:pPr>
        <w:pStyle w:val="Heading3"/>
        <w:spacing w:after="100" w:before="180"/>
      </w:pPr>
      <w:r>
        <w:t xml:space="preserve">YAML Template</w:t>
      </w:r>
    </w:p>
    <w:p>
      <w:pPr>
        <w:spacing w:after="160"/>
      </w:pPr>
      <w:r>
        <w:rPr>
          <w:i/>
          <w:iCs/>
          <w:color w:val="555555"/>
          <w:sz w:val="20"/>
          <w:szCs w:val="20"/>
        </w:rPr>
        <w:t xml:space="preserve">Structure mirrors the reference contract format, extended with the BIS readiness answers, delete handling, and quality thresholds discussed above.</w:t>
      </w:r>
    </w:p>
    <w:p>
      <w:pPr>
        <w:shd w:fill="F5F5F5" w:val="clear"/>
        <w:spacing w:after="40"/>
      </w:pPr>
      <w:r>
        <w:rPr>
          <w:rFonts w:ascii="Consolas" w:cs="Consolas" w:eastAsia="Consolas" w:hAnsi="Consolas"/>
          <w:color w:val="1F3864"/>
          <w:sz w:val="18"/>
          <w:szCs w:val="18"/>
        </w:rPr>
        <w:t xml:space="preserve"># What this product promises the teams that read it.</w:t>
      </w:r>
    </w:p>
    <w:p>
      <w:pPr>
        <w:shd w:fill="F5F5F5" w:val="clear"/>
        <w:spacing w:after="40"/>
      </w:pPr>
      <w:r>
        <w:rPr>
          <w:rFonts w:ascii="Consolas" w:cs="Consolas" w:eastAsia="Consolas" w:hAnsi="Consolas"/>
          <w:color w:val="1F3864"/>
          <w:sz w:val="18"/>
          <w:szCs w:val="18"/>
        </w:rPr>
        <w:t xml:space="preserve"/>
      </w:r>
    </w:p>
    <w:p>
      <w:pPr>
        <w:shd w:fill="F5F5F5" w:val="clear"/>
        <w:spacing w:after="40"/>
      </w:pPr>
      <w:r>
        <w:rPr>
          <w:rFonts w:ascii="Consolas" w:cs="Consolas" w:eastAsia="Consolas" w:hAnsi="Consolas"/>
          <w:color w:val="1F3864"/>
          <w:sz w:val="18"/>
          <w:szCs w:val="18"/>
        </w:rPr>
        <w:t xml:space="preserve">id: gold.&lt;subject_area&gt;</w:t>
      </w:r>
    </w:p>
    <w:p>
      <w:pPr>
        <w:shd w:fill="F5F5F5" w:val="clear"/>
        <w:spacing w:after="40"/>
      </w:pPr>
      <w:r>
        <w:rPr>
          <w:rFonts w:ascii="Consolas" w:cs="Consolas" w:eastAsia="Consolas" w:hAnsi="Consolas"/>
          <w:color w:val="1F3864"/>
          <w:sz w:val="18"/>
          <w:szCs w:val="18"/>
        </w:rPr>
        <w:t xml:space="preserve">version: 1.0.0</w:t>
      </w:r>
    </w:p>
    <w:p>
      <w:pPr>
        <w:shd w:fill="F5F5F5" w:val="clear"/>
        <w:spacing w:after="40"/>
      </w:pPr>
      <w:r>
        <w:rPr>
          <w:rFonts w:ascii="Consolas" w:cs="Consolas" w:eastAsia="Consolas" w:hAnsi="Consolas"/>
          <w:color w:val="1F3864"/>
          <w:sz w:val="18"/>
          <w:szCs w:val="18"/>
        </w:rPr>
        <w:t xml:space="preserve">grain: "one row per ..."</w:t>
      </w:r>
    </w:p>
    <w:p>
      <w:pPr>
        <w:shd w:fill="F5F5F5" w:val="clear"/>
        <w:spacing w:after="40"/>
      </w:pPr>
      <w:r>
        <w:rPr>
          <w:rFonts w:ascii="Consolas" w:cs="Consolas" w:eastAsia="Consolas" w:hAnsi="Consolas"/>
          <w:color w:val="1F3864"/>
          <w:sz w:val="18"/>
          <w:szCs w:val="18"/>
        </w:rPr>
        <w:t xml:space="preserve"/>
      </w:r>
    </w:p>
    <w:p>
      <w:pPr>
        <w:shd w:fill="F5F5F5" w:val="clear"/>
        <w:spacing w:after="40"/>
      </w:pPr>
      <w:r>
        <w:rPr>
          <w:rFonts w:ascii="Consolas" w:cs="Consolas" w:eastAsia="Consolas" w:hAnsi="Consolas"/>
          <w:color w:val="1F3864"/>
          <w:sz w:val="18"/>
          <w:szCs w:val="18"/>
        </w:rPr>
        <w:t xml:space="preserve">owner:</w:t>
      </w:r>
    </w:p>
    <w:p>
      <w:pPr>
        <w:shd w:fill="F5F5F5" w:val="clear"/>
        <w:spacing w:after="40"/>
      </w:pPr>
      <w:r>
        <w:rPr>
          <w:rFonts w:ascii="Consolas" w:cs="Consolas" w:eastAsia="Consolas" w:hAnsi="Consolas"/>
          <w:color w:val="1F3864"/>
          <w:sz w:val="18"/>
          <w:szCs w:val="18"/>
        </w:rPr>
        <w:t xml:space="preserve">  team: &lt;DE team name&gt;</w:t>
      </w:r>
    </w:p>
    <w:p>
      <w:pPr>
        <w:shd w:fill="F5F5F5" w:val="clear"/>
        <w:spacing w:after="40"/>
      </w:pPr>
      <w:r>
        <w:rPr>
          <w:rFonts w:ascii="Consolas" w:cs="Consolas" w:eastAsia="Consolas" w:hAnsi="Consolas"/>
          <w:color w:val="1F3864"/>
          <w:sz w:val="18"/>
          <w:szCs w:val="18"/>
        </w:rPr>
        <w:t xml:space="preserve">  slack: "#&lt;channel&gt;"</w:t>
      </w:r>
    </w:p>
    <w:p>
      <w:pPr>
        <w:shd w:fill="F5F5F5" w:val="clear"/>
        <w:spacing w:after="40"/>
      </w:pPr>
      <w:r>
        <w:rPr>
          <w:rFonts w:ascii="Consolas" w:cs="Consolas" w:eastAsia="Consolas" w:hAnsi="Consolas"/>
          <w:color w:val="1F3864"/>
          <w:sz w:val="18"/>
          <w:szCs w:val="18"/>
        </w:rPr>
        <w:t xml:space="preserve"/>
      </w:r>
    </w:p>
    <w:p>
      <w:pPr>
        <w:shd w:fill="F5F5F5" w:val="clear"/>
        <w:spacing w:after="40"/>
      </w:pPr>
      <w:r>
        <w:rPr>
          <w:rFonts w:ascii="Consolas" w:cs="Consolas" w:eastAsia="Consolas" w:hAnsi="Consolas"/>
          <w:color w:val="1F3864"/>
          <w:sz w:val="18"/>
          <w:szCs w:val="18"/>
        </w:rPr>
        <w:t xml:space="preserve">source:</w:t>
      </w:r>
    </w:p>
    <w:p>
      <w:pPr>
        <w:shd w:fill="F5F5F5" w:val="clear"/>
        <w:spacing w:after="40"/>
      </w:pPr>
      <w:r>
        <w:rPr>
          <w:rFonts w:ascii="Consolas" w:cs="Consolas" w:eastAsia="Consolas" w:hAnsi="Consolas"/>
          <w:color w:val="1F3864"/>
          <w:sz w:val="18"/>
          <w:szCs w:val="18"/>
        </w:rPr>
        <w:t xml:space="preserve">  origin: bis | direct_excel | direct_api</w:t>
      </w:r>
    </w:p>
    <w:p>
      <w:pPr>
        <w:shd w:fill="F5F5F5" w:val="clear"/>
        <w:spacing w:after="40"/>
      </w:pPr>
      <w:r>
        <w:rPr>
          <w:rFonts w:ascii="Consolas" w:cs="Consolas" w:eastAsia="Consolas" w:hAnsi="Consolas"/>
          <w:color w:val="1F3864"/>
          <w:sz w:val="18"/>
          <w:szCs w:val="18"/>
        </w:rPr>
        <w:t xml:space="preserve">  bis_table: "&lt;catalog&gt;.&lt;schema&gt;.&lt;bis_prod_silver_table&gt;"   # if origin: bis</w:t>
      </w:r>
    </w:p>
    <w:p>
      <w:pPr>
        <w:shd w:fill="F5F5F5" w:val="clear"/>
        <w:spacing w:after="40"/>
      </w:pPr>
      <w:r>
        <w:rPr>
          <w:rFonts w:ascii="Consolas" w:cs="Consolas" w:eastAsia="Consolas" w:hAnsi="Consolas"/>
          <w:color w:val="1F3864"/>
          <w:sz w:val="18"/>
          <w:szCs w:val="18"/>
        </w:rPr>
        <w:t xml:space="preserve">  build_path: materialized_view_on_bis | de_silver_then_gold</w:t>
      </w:r>
    </w:p>
    <w:p>
      <w:pPr>
        <w:shd w:fill="F5F5F5" w:val="clear"/>
        <w:spacing w:after="40"/>
      </w:pPr>
      <w:r>
        <w:rPr>
          <w:rFonts w:ascii="Consolas" w:cs="Consolas" w:eastAsia="Consolas" w:hAnsi="Consolas"/>
          <w:color w:val="1F3864"/>
          <w:sz w:val="18"/>
          <w:szCs w:val="18"/>
        </w:rPr>
        <w:t xml:space="preserve">  readiness_checklist:</w:t>
      </w:r>
    </w:p>
    <w:p>
      <w:pPr>
        <w:shd w:fill="F5F5F5" w:val="clear"/>
        <w:spacing w:after="40"/>
      </w:pPr>
      <w:r>
        <w:rPr>
          <w:rFonts w:ascii="Consolas" w:cs="Consolas" w:eastAsia="Consolas" w:hAnsi="Consolas"/>
          <w:color w:val="1F3864"/>
          <w:sz w:val="18"/>
          <w:szCs w:val="18"/>
        </w:rPr>
        <w:t xml:space="preserve">    history: full_history | append_only | overwrite_in_place</w:t>
      </w:r>
    </w:p>
    <w:p>
      <w:pPr>
        <w:shd w:fill="F5F5F5" w:val="clear"/>
        <w:spacing w:after="40"/>
      </w:pPr>
      <w:r>
        <w:rPr>
          <w:rFonts w:ascii="Consolas" w:cs="Consolas" w:eastAsia="Consolas" w:hAnsi="Consolas"/>
          <w:color w:val="1F3864"/>
          <w:sz w:val="18"/>
          <w:szCs w:val="18"/>
        </w:rPr>
        <w:t xml:space="preserve">    delete_handling: soft_delete_flag | hard_delete</w:t>
      </w:r>
    </w:p>
    <w:p>
      <w:pPr>
        <w:shd w:fill="F5F5F5" w:val="clear"/>
        <w:spacing w:after="40"/>
      </w:pPr>
      <w:r>
        <w:rPr>
          <w:rFonts w:ascii="Consolas" w:cs="Consolas" w:eastAsia="Consolas" w:hAnsi="Consolas"/>
          <w:color w:val="1F3864"/>
          <w:sz w:val="18"/>
          <w:szCs w:val="18"/>
        </w:rPr>
        <w:t xml:space="preserve">    delete_flag_column: is_deleted</w:t>
      </w:r>
    </w:p>
    <w:p>
      <w:pPr>
        <w:shd w:fill="F5F5F5" w:val="clear"/>
        <w:spacing w:after="40"/>
      </w:pPr>
      <w:r>
        <w:rPr>
          <w:rFonts w:ascii="Consolas" w:cs="Consolas" w:eastAsia="Consolas" w:hAnsi="Consolas"/>
          <w:color w:val="1F3864"/>
          <w:sz w:val="18"/>
          <w:szCs w:val="18"/>
        </w:rPr>
        <w:t xml:space="preserve">    load_pattern: cdc | daily_snapshot | incremental_merge</w:t>
      </w:r>
    </w:p>
    <w:p>
      <w:pPr>
        <w:shd w:fill="F5F5F5" w:val="clear"/>
        <w:spacing w:after="40"/>
      </w:pPr>
      <w:r>
        <w:rPr>
          <w:rFonts w:ascii="Consolas" w:cs="Consolas" w:eastAsia="Consolas" w:hAnsi="Consolas"/>
          <w:color w:val="1F3864"/>
          <w:sz w:val="18"/>
          <w:szCs w:val="18"/>
        </w:rPr>
        <w:t xml:space="preserve">    business_key_guaranteed_by_source: true | false</w:t>
      </w:r>
    </w:p>
    <w:p>
      <w:pPr>
        <w:shd w:fill="F5F5F5" w:val="clear"/>
        <w:spacing w:after="40"/>
      </w:pPr>
      <w:r>
        <w:rPr>
          <w:rFonts w:ascii="Consolas" w:cs="Consolas" w:eastAsia="Consolas" w:hAnsi="Consolas"/>
          <w:color w:val="1F3864"/>
          <w:sz w:val="18"/>
          <w:szCs w:val="18"/>
        </w:rPr>
        <w:t xml:space="preserve">    backup: nightly_deep_clone</w:t>
      </w:r>
    </w:p>
    <w:p>
      <w:pPr>
        <w:shd w:fill="F5F5F5" w:val="clear"/>
        <w:spacing w:after="40"/>
      </w:pPr>
      <w:r>
        <w:rPr>
          <w:rFonts w:ascii="Consolas" w:cs="Consolas" w:eastAsia="Consolas" w:hAnsi="Consolas"/>
          <w:color w:val="1F3864"/>
          <w:sz w:val="18"/>
          <w:szCs w:val="18"/>
        </w:rPr>
        <w:t xml:space="preserve"/>
      </w:r>
    </w:p>
    <w:p>
      <w:pPr>
        <w:shd w:fill="F5F5F5" w:val="clear"/>
        <w:spacing w:after="40"/>
      </w:pPr>
      <w:r>
        <w:rPr>
          <w:rFonts w:ascii="Consolas" w:cs="Consolas" w:eastAsia="Consolas" w:hAnsi="Consolas"/>
          <w:color w:val="1F3864"/>
          <w:sz w:val="18"/>
          <w:szCs w:val="18"/>
        </w:rPr>
        <w:t xml:space="preserve">interface:</w:t>
      </w:r>
    </w:p>
    <w:p>
      <w:pPr>
        <w:shd w:fill="F5F5F5" w:val="clear"/>
        <w:spacing w:after="40"/>
      </w:pPr>
      <w:r>
        <w:rPr>
          <w:rFonts w:ascii="Consolas" w:cs="Consolas" w:eastAsia="Consolas" w:hAnsi="Consolas"/>
          <w:color w:val="1F3864"/>
          <w:sz w:val="18"/>
          <w:szCs w:val="18"/>
        </w:rPr>
        <w:t xml:space="preserve">  type: delta</w:t>
      </w:r>
    </w:p>
    <w:p>
      <w:pPr>
        <w:shd w:fill="F5F5F5" w:val="clear"/>
        <w:spacing w:after="40"/>
      </w:pPr>
      <w:r>
        <w:rPr>
          <w:rFonts w:ascii="Consolas" w:cs="Consolas" w:eastAsia="Consolas" w:hAnsi="Consolas"/>
          <w:color w:val="1F3864"/>
          <w:sz w:val="18"/>
          <w:szCs w:val="18"/>
        </w:rPr>
        <w:t xml:space="preserve">  location: "&lt;catalog&gt;.&lt;schema&gt;.&lt;table&gt;"</w:t>
      </w:r>
    </w:p>
    <w:p>
      <w:pPr>
        <w:shd w:fill="F5F5F5" w:val="clear"/>
        <w:spacing w:after="40"/>
      </w:pPr>
      <w:r>
        <w:rPr>
          <w:rFonts w:ascii="Consolas" w:cs="Consolas" w:eastAsia="Consolas" w:hAnsi="Consolas"/>
          <w:color w:val="1F3864"/>
          <w:sz w:val="18"/>
          <w:szCs w:val="18"/>
        </w:rPr>
        <w:t xml:space="preserve"/>
      </w:r>
    </w:p>
    <w:p>
      <w:pPr>
        <w:shd w:fill="F5F5F5" w:val="clear"/>
        <w:spacing w:after="40"/>
      </w:pPr>
      <w:r>
        <w:rPr>
          <w:rFonts w:ascii="Consolas" w:cs="Consolas" w:eastAsia="Consolas" w:hAnsi="Consolas"/>
          <w:color w:val="1F3864"/>
          <w:sz w:val="18"/>
          <w:szCs w:val="18"/>
        </w:rPr>
        <w:t xml:space="preserve">history:</w:t>
      </w:r>
    </w:p>
    <w:p>
      <w:pPr>
        <w:shd w:fill="F5F5F5" w:val="clear"/>
        <w:spacing w:after="40"/>
      </w:pPr>
      <w:r>
        <w:rPr>
          <w:rFonts w:ascii="Consolas" w:cs="Consolas" w:eastAsia="Consolas" w:hAnsi="Consolas"/>
          <w:color w:val="1F3864"/>
          <w:sz w:val="18"/>
          <w:szCs w:val="18"/>
        </w:rPr>
        <w:t xml:space="preserve">  pattern: snapshot_fact | scd2 | append_only | current_state_only</w:t>
      </w:r>
    </w:p>
    <w:p>
      <w:pPr>
        <w:shd w:fill="F5F5F5" w:val="clear"/>
        <w:spacing w:after="40"/>
      </w:pPr>
      <w:r>
        <w:rPr>
          <w:rFonts w:ascii="Consolas" w:cs="Consolas" w:eastAsia="Consolas" w:hAnsi="Consolas"/>
          <w:color w:val="1F3864"/>
          <w:sz w:val="18"/>
          <w:szCs w:val="18"/>
        </w:rPr>
        <w:t xml:space="preserve">  retention: "&lt;n years&gt;"</w:t>
      </w:r>
    </w:p>
    <w:p>
      <w:pPr>
        <w:shd w:fill="F5F5F5" w:val="clear"/>
        <w:spacing w:after="40"/>
      </w:pPr>
      <w:r>
        <w:rPr>
          <w:rFonts w:ascii="Consolas" w:cs="Consolas" w:eastAsia="Consolas" w:hAnsi="Consolas"/>
          <w:color w:val="1F3864"/>
          <w:sz w:val="18"/>
          <w:szCs w:val="18"/>
        </w:rPr>
        <w:t xml:space="preserve"/>
      </w:r>
    </w:p>
    <w:p>
      <w:pPr>
        <w:shd w:fill="F5F5F5" w:val="clear"/>
        <w:spacing w:after="40"/>
      </w:pPr>
      <w:r>
        <w:rPr>
          <w:rFonts w:ascii="Consolas" w:cs="Consolas" w:eastAsia="Consolas" w:hAnsi="Consolas"/>
          <w:color w:val="1F3864"/>
          <w:sz w:val="18"/>
          <w:szCs w:val="18"/>
        </w:rPr>
        <w:t xml:space="preserve">schema:</w:t>
      </w:r>
    </w:p>
    <w:p>
      <w:pPr>
        <w:shd w:fill="F5F5F5" w:val="clear"/>
        <w:spacing w:after="40"/>
      </w:pPr>
      <w:r>
        <w:rPr>
          <w:rFonts w:ascii="Consolas" w:cs="Consolas" w:eastAsia="Consolas" w:hAnsi="Consolas"/>
          <w:color w:val="1F3864"/>
          <w:sz w:val="18"/>
          <w:szCs w:val="18"/>
        </w:rPr>
        <w:t xml:space="preserve">  - name: &lt;field&gt;        type: &lt;type&gt;   required: true   unique: true/false   masked: true/false</w:t>
      </w:r>
    </w:p>
    <w:p>
      <w:pPr>
        <w:shd w:fill="F5F5F5" w:val="clear"/>
        <w:spacing w:after="40"/>
      </w:pPr>
      <w:r>
        <w:rPr>
          <w:rFonts w:ascii="Consolas" w:cs="Consolas" w:eastAsia="Consolas" w:hAnsi="Consolas"/>
          <w:color w:val="1F3864"/>
          <w:sz w:val="18"/>
          <w:szCs w:val="18"/>
        </w:rPr>
        <w:t xml:space="preserve"/>
      </w:r>
    </w:p>
    <w:p>
      <w:pPr>
        <w:shd w:fill="F5F5F5" w:val="clear"/>
        <w:spacing w:after="40"/>
      </w:pPr>
      <w:r>
        <w:rPr>
          <w:rFonts w:ascii="Consolas" w:cs="Consolas" w:eastAsia="Consolas" w:hAnsi="Consolas"/>
          <w:color w:val="1F3864"/>
          <w:sz w:val="18"/>
          <w:szCs w:val="18"/>
        </w:rPr>
        <w:t xml:space="preserve">service_levels:</w:t>
      </w:r>
    </w:p>
    <w:p>
      <w:pPr>
        <w:shd w:fill="F5F5F5" w:val="clear"/>
        <w:spacing w:after="40"/>
      </w:pPr>
      <w:r>
        <w:rPr>
          <w:rFonts w:ascii="Consolas" w:cs="Consolas" w:eastAsia="Consolas" w:hAnsi="Consolas"/>
          <w:color w:val="1F3864"/>
          <w:sz w:val="18"/>
          <w:szCs w:val="18"/>
        </w:rPr>
        <w:t xml:space="preserve">  ready_by: "&lt;time&gt; &lt;timezone&gt;"   # working days</w:t>
      </w:r>
    </w:p>
    <w:p>
      <w:pPr>
        <w:shd w:fill="F5F5F5" w:val="clear"/>
        <w:spacing w:after="40"/>
      </w:pPr>
      <w:r>
        <w:rPr>
          <w:rFonts w:ascii="Consolas" w:cs="Consolas" w:eastAsia="Consolas" w:hAnsi="Consolas"/>
          <w:color w:val="1F3864"/>
          <w:sz w:val="18"/>
          <w:szCs w:val="18"/>
        </w:rPr>
        <w:t xml:space="preserve">  availability: "&lt;percent&gt; a month"</w:t>
      </w:r>
    </w:p>
    <w:p>
      <w:pPr>
        <w:shd w:fill="F5F5F5" w:val="clear"/>
        <w:spacing w:after="40"/>
      </w:pPr>
      <w:r>
        <w:rPr>
          <w:rFonts w:ascii="Consolas" w:cs="Consolas" w:eastAsia="Consolas" w:hAnsi="Consolas"/>
          <w:color w:val="1F3864"/>
          <w:sz w:val="18"/>
          <w:szCs w:val="18"/>
        </w:rPr>
        <w:t xml:space="preserve"/>
      </w:r>
    </w:p>
    <w:p>
      <w:pPr>
        <w:shd w:fill="F5F5F5" w:val="clear"/>
        <w:spacing w:after="40"/>
      </w:pPr>
      <w:r>
        <w:rPr>
          <w:rFonts w:ascii="Consolas" w:cs="Consolas" w:eastAsia="Consolas" w:hAnsi="Consolas"/>
          <w:color w:val="1F3864"/>
          <w:sz w:val="18"/>
          <w:szCs w:val="18"/>
        </w:rPr>
        <w:t xml:space="preserve">quality:</w:t>
      </w:r>
    </w:p>
    <w:p>
      <w:pPr>
        <w:shd w:fill="F5F5F5" w:val="clear"/>
        <w:spacing w:after="40"/>
      </w:pPr>
      <w:r>
        <w:rPr>
          <w:rFonts w:ascii="Consolas" w:cs="Consolas" w:eastAsia="Consolas" w:hAnsi="Consolas"/>
          <w:color w:val="1F3864"/>
          <w:sz w:val="18"/>
          <w:szCs w:val="18"/>
        </w:rPr>
        <w:t xml:space="preserve">  rules:</w:t>
      </w:r>
    </w:p>
    <w:p>
      <w:pPr>
        <w:shd w:fill="F5F5F5" w:val="clear"/>
        <w:spacing w:after="40"/>
      </w:pPr>
      <w:r>
        <w:rPr>
          <w:rFonts w:ascii="Consolas" w:cs="Consolas" w:eastAsia="Consolas" w:hAnsi="Consolas"/>
          <w:color w:val="1F3864"/>
          <w:sz w:val="18"/>
          <w:szCs w:val="18"/>
        </w:rPr>
        <w:t xml:space="preserve">    - &lt;business key&gt; is unique</w:t>
      </w:r>
    </w:p>
    <w:p>
      <w:pPr>
        <w:shd w:fill="F5F5F5" w:val="clear"/>
        <w:spacing w:after="40"/>
      </w:pPr>
      <w:r>
        <w:rPr>
          <w:rFonts w:ascii="Consolas" w:cs="Consolas" w:eastAsia="Consolas" w:hAnsi="Consolas"/>
          <w:color w:val="1F3864"/>
          <w:sz w:val="18"/>
          <w:szCs w:val="18"/>
        </w:rPr>
        <w:t xml:space="preserve">    - &lt;fk&gt; resolves in &lt;dim table&gt;</w:t>
      </w:r>
    </w:p>
    <w:p>
      <w:pPr>
        <w:shd w:fill="F5F5F5" w:val="clear"/>
        <w:spacing w:after="40"/>
      </w:pPr>
      <w:r>
        <w:rPr>
          <w:rFonts w:ascii="Consolas" w:cs="Consolas" w:eastAsia="Consolas" w:hAnsi="Consolas"/>
          <w:color w:val="1F3864"/>
          <w:sz w:val="18"/>
          <w:szCs w:val="18"/>
        </w:rPr>
        <w:t xml:space="preserve">  thresholds:</w:t>
      </w:r>
    </w:p>
    <w:p>
      <w:pPr>
        <w:shd w:fill="F5F5F5" w:val="clear"/>
        <w:spacing w:after="40"/>
      </w:pPr>
      <w:r>
        <w:rPr>
          <w:rFonts w:ascii="Consolas" w:cs="Consolas" w:eastAsia="Consolas" w:hAnsi="Consolas"/>
          <w:color w:val="1F3864"/>
          <w:sz w:val="18"/>
          <w:szCs w:val="18"/>
        </w:rPr>
        <w:t xml:space="preserve">    warn_pct: &lt;n&gt;        # log only</w:t>
      </w:r>
    </w:p>
    <w:p>
      <w:pPr>
        <w:shd w:fill="F5F5F5" w:val="clear"/>
        <w:spacing w:after="40"/>
      </w:pPr>
      <w:r>
        <w:rPr>
          <w:rFonts w:ascii="Consolas" w:cs="Consolas" w:eastAsia="Consolas" w:hAnsi="Consolas"/>
          <w:color w:val="1F3864"/>
          <w:sz w:val="18"/>
          <w:szCs w:val="18"/>
        </w:rPr>
        <w:t xml:space="preserve">    quarantine_pct: &lt;n&gt;  # route to _quarantine + notify power users</w:t>
      </w:r>
    </w:p>
    <w:p>
      <w:pPr>
        <w:shd w:fill="F5F5F5" w:val="clear"/>
        <w:spacing w:after="40"/>
      </w:pPr>
      <w:r>
        <w:rPr>
          <w:rFonts w:ascii="Consolas" w:cs="Consolas" w:eastAsia="Consolas" w:hAnsi="Consolas"/>
          <w:color w:val="1F3864"/>
          <w:sz w:val="18"/>
          <w:szCs w:val="18"/>
        </w:rPr>
        <w:t xml:space="preserve">    fail_pct: &lt;n&gt;        # halt pipeline</w:t>
      </w:r>
    </w:p>
    <w:p>
      <w:pPr>
        <w:shd w:fill="F5F5F5" w:val="clear"/>
        <w:spacing w:after="40"/>
      </w:pPr>
      <w:r>
        <w:rPr>
          <w:rFonts w:ascii="Consolas" w:cs="Consolas" w:eastAsia="Consolas" w:hAnsi="Consolas"/>
          <w:color w:val="1F3864"/>
          <w:sz w:val="18"/>
          <w:szCs w:val="18"/>
        </w:rPr>
        <w:t xml:space="preserve">  notify_on_quarantine: ["&lt;power-user-group / webhook&gt;"]</w:t>
      </w:r>
    </w:p>
    <w:p>
      <w:pPr>
        <w:shd w:fill="F5F5F5" w:val="clear"/>
        <w:spacing w:after="40"/>
      </w:pPr>
      <w:r>
        <w:rPr>
          <w:rFonts w:ascii="Consolas" w:cs="Consolas" w:eastAsia="Consolas" w:hAnsi="Consolas"/>
          <w:color w:val="1F3864"/>
          <w:sz w:val="18"/>
          <w:szCs w:val="18"/>
        </w:rPr>
        <w:t xml:space="preserve"/>
      </w:r>
    </w:p>
    <w:p>
      <w:pPr>
        <w:shd w:fill="F5F5F5" w:val="clear"/>
        <w:spacing w:after="40"/>
      </w:pPr>
      <w:r>
        <w:rPr>
          <w:rFonts w:ascii="Consolas" w:cs="Consolas" w:eastAsia="Consolas" w:hAnsi="Consolas"/>
          <w:color w:val="1F3864"/>
          <w:sz w:val="18"/>
          <w:szCs w:val="18"/>
        </w:rPr>
        <w:t xml:space="preserve">consumers_may_not:</w:t>
      </w:r>
    </w:p>
    <w:p>
      <w:pPr>
        <w:shd w:fill="F5F5F5" w:val="clear"/>
        <w:spacing w:after="40"/>
      </w:pPr>
      <w:r>
        <w:rPr>
          <w:rFonts w:ascii="Consolas" w:cs="Consolas" w:eastAsia="Consolas" w:hAnsi="Consolas"/>
          <w:color w:val="1F3864"/>
          <w:sz w:val="18"/>
          <w:szCs w:val="18"/>
        </w:rPr>
        <w:t xml:space="preserve">  onward_sharing: not outside the group</w:t>
      </w:r>
    </w:p>
    <w:p>
      <w:pPr>
        <w:shd w:fill="F5F5F5" w:val="clear"/>
        <w:spacing w:after="40"/>
      </w:pPr>
      <w:r>
        <w:rPr>
          <w:rFonts w:ascii="Consolas" w:cs="Consolas" w:eastAsia="Consolas" w:hAnsi="Consolas"/>
          <w:color w:val="1F3864"/>
          <w:sz w:val="18"/>
          <w:szCs w:val="18"/>
        </w:rPr>
        <w:t xml:space="preserve">  person_data: already masked, no re-identification</w:t>
      </w:r>
    </w:p>
    <w:p>
      <w:pPr>
        <w:shd w:fill="F5F5F5" w:val="clear"/>
        <w:spacing w:after="40"/>
      </w:pPr>
      <w:r>
        <w:rPr>
          <w:rFonts w:ascii="Consolas" w:cs="Consolas" w:eastAsia="Consolas" w:hAnsi="Consolas"/>
          <w:color w:val="1F3864"/>
          <w:sz w:val="18"/>
          <w:szCs w:val="18"/>
        </w:rPr>
        <w:t xml:space="preserve"/>
      </w:r>
    </w:p>
    <w:p>
      <w:pPr>
        <w:shd w:fill="F5F5F5" w:val="clear"/>
        <w:spacing w:after="40"/>
      </w:pPr>
      <w:r>
        <w:rPr>
          <w:rFonts w:ascii="Consolas" w:cs="Consolas" w:eastAsia="Consolas" w:hAnsi="Consolas"/>
          <w:color w:val="1F3864"/>
          <w:sz w:val="18"/>
          <w:szCs w:val="18"/>
        </w:rPr>
        <w:t xml:space="preserve">change_policy:</w:t>
      </w:r>
    </w:p>
    <w:p>
      <w:pPr>
        <w:shd w:fill="F5F5F5" w:val="clear"/>
        <w:spacing w:after="40"/>
      </w:pPr>
      <w:r>
        <w:rPr>
          <w:rFonts w:ascii="Consolas" w:cs="Consolas" w:eastAsia="Consolas" w:hAnsi="Consolas"/>
          <w:color w:val="1F3864"/>
          <w:sz w:val="18"/>
          <w:szCs w:val="18"/>
        </w:rPr>
        <w:t xml:space="preserve">  breaking: "&lt;n&gt; days notice, new major version"</w:t>
      </w:r>
    </w:p>
    <w:p>
      <w:pPr>
        <w:shd w:fill="F5F5F5" w:val="clear"/>
        <w:spacing w:after="40"/>
      </w:pPr>
      <w:r>
        <w:rPr>
          <w:rFonts w:ascii="Consolas" w:cs="Consolas" w:eastAsia="Consolas" w:hAnsi="Consolas"/>
          <w:color w:val="1F3864"/>
          <w:sz w:val="18"/>
          <w:szCs w:val="18"/>
        </w:rPr>
        <w:t xml:space="preserve">  deprecation: "previous major supported for &lt;n&gt; days"</w:t>
      </w:r>
    </w:p>
    <w:p>
      <w:pPr>
        <w:shd w:fill="F5F5F5" w:val="clear"/>
        <w:spacing w:after="40"/>
      </w:pPr>
      <w:r>
        <w:rPr>
          <w:rFonts w:ascii="Consolas" w:cs="Consolas" w:eastAsia="Consolas" w:hAnsi="Consolas"/>
          <w:color w:val="1F3864"/>
          <w:sz w:val="18"/>
          <w:szCs w:val="18"/>
        </w:rPr>
        <w:t xml:space="preserve">  last_reviewed: "&lt;date&gt;"</w:t>
      </w:r>
    </w:p>
    <w:p>
      <w:pPr>
        <w:shd w:fill="F5F5F5" w:val="clear"/>
        <w:spacing w:after="40"/>
      </w:pPr>
      <w:r>
        <w:rPr>
          <w:rFonts w:ascii="Consolas" w:cs="Consolas" w:eastAsia="Consolas" w:hAnsi="Consolas"/>
          <w:color w:val="1F3864"/>
          <w:sz w:val="18"/>
          <w:szCs w:val="18"/>
        </w:rPr>
        <w:t xml:space="preserve">  reviewed_by: "&lt;name/team&gt;"</w:t>
      </w:r>
    </w:p>
    <w:p>
      <w:pPr>
        <w:spacing w:after="160"/>
      </w:pPr>
      <w:r>
        <w:rPr>
          <w:i/>
          <w:iCs/>
          <w:color w:val="555555"/>
          <w:sz w:val="20"/>
          <w:szCs w:val="20"/>
        </w:rPr>
        <w:t xml:space="preserve">Keep the human-readable page and the YAML in sync and short — if a field needs a paragraph to explain, that belongs in the business glossary, linked from the contract.</w:t>
      </w:r>
    </w:p>
    <w:p>
      <w:pPr>
        <w:pStyle w:val="Heading1"/>
        <w:spacing w:after="160" w:before="320"/>
      </w:pPr>
      <w:r>
        <w:t xml:space="preserve">4. Environment &amp; Catalog Strategy</w:t>
      </w:r>
    </w:p>
    <w:p>
      <w:pPr>
        <w:spacing w:after="120"/>
      </w:pPr>
      <w:r>
        <w:t xml:space="preserve">Three environments. Catalog and schema naming for BIS-sourced data is owned by BIS, not DE — values below are left blank for the team to complete once confirmed.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800"/>
      </w:tblGrid>
      <w:tr>
        <w:tc>
          <w:tcPr>
            <w:tcW w:type="dxa" w:w="2000"/>
            <w:shd w:fill="1F3864" w:val="clear"/>
            <w:tcMar>
              <w:top w:type="dxa" w:w="80"/>
              <w:left w:type="dxa" w:w="100"/>
              <w:bottom w:type="dxa" w:w="80"/>
              <w:right w:type="dxa" w:w="100"/>
            </w:tcMar>
            <w:vAlign w:val="center"/>
          </w:tcPr>
          <w:p>
            <w:pPr>
              <w:jc w:val="left"/>
            </w:pPr>
            <w:r>
              <w:rPr>
                <w:b/>
                <w:bCs/>
                <w:color w:val="FFFFFF"/>
                <w:sz w:val="20"/>
                <w:szCs w:val="20"/>
              </w:rPr>
              <w:t xml:space="preserve">Environment</w:t>
            </w:r>
          </w:p>
        </w:tc>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BIS Catalog ID</w:t>
            </w:r>
          </w:p>
        </w:tc>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Catalog Name</w:t>
            </w:r>
          </w:p>
        </w:tc>
        <w:tc>
          <w:tcPr>
            <w:tcW w:type="dxa" w:w="2800"/>
            <w:shd w:fill="1F3864" w:val="clear"/>
            <w:tcMar>
              <w:top w:type="dxa" w:w="80"/>
              <w:left w:type="dxa" w:w="100"/>
              <w:bottom w:type="dxa" w:w="80"/>
              <w:right w:type="dxa" w:w="100"/>
            </w:tcMar>
            <w:vAlign w:val="center"/>
          </w:tcPr>
          <w:p>
            <w:pPr>
              <w:jc w:val="left"/>
            </w:pPr>
            <w:r>
              <w:rPr>
                <w:b/>
                <w:bCs/>
                <w:color w:val="FFFFFF"/>
                <w:sz w:val="20"/>
                <w:szCs w:val="20"/>
              </w:rPr>
              <w:t xml:space="preserve">Schema(s)</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Dev</w:t>
            </w:r>
          </w:p>
        </w:tc>
        <w:tc>
          <w:tcPr>
            <w:tcW w:type="dxa" w:w="2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name-601</w:t>
            </w:r>
          </w:p>
        </w:tc>
        <w:tc>
          <w:tcPr>
            <w:tcW w:type="dxa" w:w="2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____________</w:t>
            </w:r>
          </w:p>
        </w:tc>
        <w:tc>
          <w:tcPr>
            <w:tcW w:type="dxa" w:w="2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____________</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QA</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name-301</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____________</w:t>
            </w:r>
          </w:p>
        </w:tc>
        <w:tc>
          <w:tcPr>
            <w:tcW w:type="dxa" w:w="2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____________</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Prod</w:t>
            </w:r>
          </w:p>
        </w:tc>
        <w:tc>
          <w:tcPr>
            <w:tcW w:type="dxa" w:w="2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name-101</w:t>
            </w:r>
          </w:p>
        </w:tc>
        <w:tc>
          <w:tcPr>
            <w:tcW w:type="dxa" w:w="2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____________</w:t>
            </w:r>
          </w:p>
        </w:tc>
        <w:tc>
          <w:tcPr>
            <w:tcW w:type="dxa" w:w="2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____________</w:t>
            </w:r>
          </w:p>
        </w:tc>
      </w:tr>
    </w:tbl>
    <w:p>
      <w:pPr>
        <w:spacing w:after="160"/>
      </w:pPr>
      <w:r>
        <w:rPr>
          <w:i/>
          <w:iCs/>
          <w:color w:val="555555"/>
          <w:sz w:val="20"/>
          <w:szCs w:val="20"/>
        </w:rPr>
        <w:t xml:space="preserve">If a new schema is required in future, DE raises a request to BIS rather than creating one directly — naming convention for BIS-owned catalogs/schemas is out of DE's control.</w:t>
      </w:r>
    </w:p>
    <w:p>
      <w:pPr>
        <w:spacing w:after="120"/>
      </w:pPr>
      <w:r>
        <w:t xml:space="preserve">DE-owned objects (Silver where built, Gold, audit, lineage, quarantine, backup) still follow DE's own naming convention (Section 5) within whichever catalog BIS assigns.</w:t>
      </w:r>
    </w:p>
    <w:p>
      <w:pPr>
        <w:pStyle w:val="Heading1"/>
        <w:spacing w:after="160" w:before="320"/>
      </w:pPr>
      <w:r>
        <w:t xml:space="preserve">5. Naming Conventions</w:t>
      </w:r>
    </w:p>
    <w:p>
      <w:pPr>
        <w:pStyle w:val="Heading2"/>
        <w:spacing w:after="120" w:before="240"/>
      </w:pPr>
      <w:r>
        <w:t xml:space="preserve">5.1 DE-Owned Schema / Table (within the BIS-assigned catalog)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800"/>
      </w:tblGrid>
      <w:t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Object</w:t>
            </w:r>
          </w:p>
        </w:tc>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Pattern</w:t>
            </w:r>
          </w:p>
        </w:tc>
        <w:tc>
          <w:tcPr>
            <w:tcW w:type="dxa" w:w="3800"/>
            <w:shd w:fill="1F3864" w:val="clear"/>
            <w:tcMar>
              <w:top w:type="dxa" w:w="80"/>
              <w:left w:type="dxa" w:w="100"/>
              <w:bottom w:type="dxa" w:w="80"/>
              <w:right w:type="dxa" w:w="100"/>
            </w:tcMar>
            <w:vAlign w:val="center"/>
          </w:tcPr>
          <w:p>
            <w:pPr>
              <w:jc w:val="left"/>
            </w:pPr>
            <w:r>
              <w:rPr>
                <w:b/>
                <w:bCs/>
                <w:color w:val="FFFFFF"/>
                <w:sz w:val="20"/>
                <w:szCs w:val="20"/>
              </w:rPr>
              <w:t xml:space="preserve">Example</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Schema (layer)</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bronze_backup | silver | gold | quarantine</w:t>
            </w:r>
          </w:p>
        </w:tc>
        <w:tc>
          <w:tcPr>
            <w:tcW w:type="dxa" w:w="3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&lt;catalog&gt;.silver</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Table (Silver)</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silver_&lt;source&gt;_&lt;variant&gt;</w:t>
            </w:r>
          </w:p>
        </w:tc>
        <w:tc>
          <w:tcPr>
            <w:tcW w:type="dxa" w:w="3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silver_sap_material_master</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Table (Gold)</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gold_&lt;subject_area&gt;</w:t>
            </w:r>
          </w:p>
        </w:tc>
        <w:tc>
          <w:tcPr>
            <w:tcW w:type="dxa" w:w="3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gold_finance_gl_summary</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Quarantine table</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quarantine.&lt;table&gt;_quarantine</w:t>
            </w:r>
          </w:p>
        </w:tc>
        <w:tc>
          <w:tcPr>
            <w:tcW w:type="dxa" w:w="3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quarantine.material_master_quarantine</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Audit table</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_audit.&lt;pipeline_name&gt;_audit</w:t>
            </w:r>
          </w:p>
        </w:tc>
        <w:tc>
          <w:tcPr>
            <w:tcW w:type="dxa" w:w="3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_audit.material_master_audit</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Lineage table</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_lineage.table_lineage</w:t>
            </w:r>
          </w:p>
        </w:tc>
        <w:tc>
          <w:tcPr>
            <w:tcW w:type="dxa" w:w="3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_lineage.table_lineage</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Backup (BIS deep clone)</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bronze_backup.&lt;source&gt;_&lt;table&gt;</w:t>
            </w:r>
          </w:p>
        </w:tc>
        <w:tc>
          <w:tcPr>
            <w:tcW w:type="dxa" w:w="3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bronze_backup.sap_material_master</w:t>
            </w:r>
          </w:p>
        </w:tc>
      </w:tr>
    </w:tbl>
    <w:p>
      <w:pPr>
        <w:pStyle w:val="Heading2"/>
        <w:spacing w:after="120" w:before="240"/>
      </w:pPr>
      <w:r>
        <w:t xml:space="preserve">5.2 Repos, Code, Jobs &amp; Notebooks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800"/>
      </w:tblGrid>
      <w:t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Object</w:t>
            </w:r>
          </w:p>
        </w:tc>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Pattern</w:t>
            </w:r>
          </w:p>
        </w:tc>
        <w:tc>
          <w:tcPr>
            <w:tcW w:type="dxa" w:w="3800"/>
            <w:shd w:fill="1F3864" w:val="clear"/>
            <w:tcMar>
              <w:top w:type="dxa" w:w="80"/>
              <w:left w:type="dxa" w:w="100"/>
              <w:bottom w:type="dxa" w:w="80"/>
              <w:right w:type="dxa" w:w="100"/>
            </w:tcMar>
            <w:vAlign w:val="center"/>
          </w:tcPr>
          <w:p>
            <w:pPr>
              <w:jc w:val="left"/>
            </w:pPr>
            <w:r>
              <w:rPr>
                <w:b/>
                <w:bCs/>
                <w:color w:val="FFFFFF"/>
                <w:sz w:val="20"/>
                <w:szCs w:val="20"/>
              </w:rPr>
              <w:t xml:space="preserve">Example</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Project umbrella</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aftermarketdbx</w:t>
            </w:r>
          </w:p>
        </w:tc>
        <w:tc>
          <w:tcPr>
            <w:tcW w:type="dxa" w:w="3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aftermarketdbx</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Source repo</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aftermarketdbx-&lt;source&gt;</w:t>
            </w:r>
          </w:p>
        </w:tc>
        <w:tc>
          <w:tcPr>
            <w:tcW w:type="dxa" w:w="3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aftermarketdbx-sap, aftermarketdbx-cio, aftermarketdbx-excel, aftermarketdbx-api</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Shared framework repo</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aftermarketdbx-framework</w:t>
            </w:r>
          </w:p>
        </w:tc>
        <w:tc>
          <w:tcPr>
            <w:tcW w:type="dxa" w:w="3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aftermarketdbx-framework</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Contract path (inside a source repo)</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contracts/&lt;catalog&gt;.&lt;schema&gt;.&lt;table&gt;/contract.yaml</w:t>
            </w:r>
          </w:p>
        </w:tc>
        <w:tc>
          <w:tcPr>
            <w:tcW w:type="dxa" w:w="3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contracts/name-101.gold.gold_finance_gl_summary/contract.yaml</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Notebook/module</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&lt;layer&gt;_&lt;variant&gt;_&lt;action&gt;</w:t>
            </w:r>
          </w:p>
        </w:tc>
        <w:tc>
          <w:tcPr>
            <w:tcW w:type="dxa" w:w="3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silver_material_master_transform</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Databricks Job</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&lt;env&gt;_&lt;layer&gt;_&lt;variant&gt;_job</w:t>
            </w:r>
          </w:p>
        </w:tc>
        <w:tc>
          <w:tcPr>
            <w:tcW w:type="dxa" w:w="3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prod_silver_material_master_job</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Branch</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feature/&lt;ticket-id&gt;-&lt;short-desc&gt;</w:t>
            </w:r>
          </w:p>
        </w:tc>
        <w:tc>
          <w:tcPr>
            <w:tcW w:type="dxa" w:w="3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feature/DE-102-scd2-vendor</w:t>
            </w:r>
          </w:p>
        </w:tc>
      </w:tr>
    </w:tbl>
    <w:p>
      <w:pPr>
        <w:spacing w:after="160"/>
      </w:pPr>
      <w:r>
        <w:rPr>
          <w:i/>
          <w:iCs/>
          <w:color w:val="555555"/>
          <w:sz w:val="20"/>
          <w:szCs w:val="20"/>
        </w:rPr>
        <w:t xml:space="preserve">All names lower_snake_case, no spaces, no special characters. Catalog/schema names themselves follow BIS's convention (Section 4), outside DE's control.</w:t>
      </w:r>
    </w:p>
    <w:p>
      <w:pPr>
        <w:pStyle w:val="Heading1"/>
        <w:spacing w:after="160" w:before="320"/>
      </w:pPr>
      <w:r>
        <w:t xml:space="preserve">6. Storage &amp; Clustering Standard</w:t>
      </w:r>
    </w:p>
    <w:p>
      <w:pPr>
        <w:pStyle w:val="ListParagraph"/>
        <w:numPr>
          <w:ilvl w:val="0"/>
          <w:numId w:val="2"/>
        </w:numPr>
        <w:spacing w:after="60"/>
      </w:pPr>
      <w:r>
        <w:rPr>
          <w:b/>
          <w:bCs/>
        </w:rPr>
        <w:t xml:space="preserve">Default to Liquid Clustering on all DE-managed Delta tables (Silver, Gold, quarantine, backup). Do not define hard partitions by default.</w:t>
      </w:r>
    </w:p>
    <w:p>
      <w:pPr>
        <w:pStyle w:val="ListParagraph"/>
        <w:numPr>
          <w:ilvl w:val="0"/>
          <w:numId w:val="2"/>
        </w:numPr>
        <w:spacing w:after="60"/>
      </w:pPr>
      <w:r>
        <w:rPr>
          <w:b w:val="false"/>
          <w:bCs w:val="false"/>
        </w:rPr>
        <w:t xml:space="preserve">Choose clustering keys based on actual query/filter patterns (e.g. business date, region_key, material_key) — record the chosen columns in the table's Data Contract under interface, not as a separate undocumented setting.</w:t>
      </w:r>
    </w:p>
    <w:p>
      <w:pPr>
        <w:pStyle w:val="ListParagraph"/>
        <w:numPr>
          <w:ilvl w:val="0"/>
          <w:numId w:val="2"/>
        </w:numPr>
        <w:spacing w:after="60"/>
      </w:pPr>
      <w:r>
        <w:rPr>
          <w:b w:val="false"/>
          <w:bCs w:val="false"/>
        </w:rPr>
        <w:t xml:space="preserve">Hard partitioning is revisited only if a specific table shows a real performance or file-management need Liquid Clustering doesn't address — decided case by case, not as a starting default.</w:t>
      </w:r>
    </w:p>
    <w:p>
      <w:pPr>
        <w:spacing w:after="120"/>
      </w:pPr>
      <w:r>
        <w:rPr>
          <w:b/>
          <w:bCs/>
          <w:color w:val="B03A2E"/>
          <w:sz w:val="20"/>
          <w:szCs w:val="20"/>
        </w:rPr>
        <w:t xml:space="preserve">TBD — pending team discussion: </w:t>
      </w:r>
      <w:r>
        <w:rPr>
          <w:color w:val="B03A2E"/>
          <w:sz w:val="20"/>
          <w:szCs w:val="20"/>
        </w:rPr>
        <w:t xml:space="preserve">full cluster-sizing / compute-policy standard (job cluster sizing, autoscaling limits, autotermination) — flagged in Section 18 for team discussion.</w:t>
      </w:r>
    </w:p>
    <w:p>
      <w:pPr>
        <w:pStyle w:val="Heading1"/>
        <w:spacing w:after="160" w:before="320"/>
      </w:pPr>
      <w:r>
        <w:t xml:space="preserve">7. Git, Branching &amp; CI/CD</w:t>
      </w:r>
    </w:p>
    <w:p>
      <w:pPr>
        <w:pStyle w:val="Heading2"/>
        <w:spacing w:after="120" w:before="240"/>
      </w:pPr>
      <w:r>
        <w:t xml:space="preserve">7.1 Branching Strategy</w:t>
      </w:r>
    </w:p>
    <w:p>
      <w:pPr>
        <w:spacing w:after="120"/>
      </w:pPr>
      <w:r>
        <w:t xml:space="preserve">Three long-lived, protected branches map 1:1 to the three environments. No one commits directly to dev, qa, or main — every change lands through an approved PR.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600"/>
      </w:tblGrid>
      <w:tr>
        <w:tc>
          <w:tcPr>
            <w:tcW w:type="dxa" w:w="1800"/>
            <w:shd w:fill="1F3864" w:val="clear"/>
            <w:tcMar>
              <w:top w:type="dxa" w:w="80"/>
              <w:left w:type="dxa" w:w="100"/>
              <w:bottom w:type="dxa" w:w="80"/>
              <w:right w:type="dxa" w:w="100"/>
            </w:tcMar>
            <w:vAlign w:val="center"/>
          </w:tcPr>
          <w:p>
            <w:pPr>
              <w:jc w:val="left"/>
            </w:pPr>
            <w:r>
              <w:rPr>
                <w:b/>
                <w:bCs/>
                <w:color w:val="FFFFFF"/>
                <w:sz w:val="20"/>
                <w:szCs w:val="20"/>
              </w:rPr>
              <w:t xml:space="preserve">Branch</w:t>
            </w:r>
          </w:p>
        </w:tc>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Fed by</w:t>
            </w:r>
          </w:p>
        </w:tc>
        <w:tc>
          <w:tcPr>
            <w:tcW w:type="dxa" w:w="4600"/>
            <w:shd w:fill="1F3864" w:val="clear"/>
            <w:tcMar>
              <w:top w:type="dxa" w:w="80"/>
              <w:left w:type="dxa" w:w="100"/>
              <w:bottom w:type="dxa" w:w="80"/>
              <w:right w:type="dxa" w:w="100"/>
            </w:tcMar>
            <w:vAlign w:val="center"/>
          </w:tcPr>
          <w:p>
            <w:pPr>
              <w:jc w:val="left"/>
            </w:pPr>
            <w:r>
              <w:rPr>
                <w:b/>
                <w:bCs/>
                <w:color w:val="FFFFFF"/>
                <w:sz w:val="20"/>
                <w:szCs w:val="20"/>
              </w:rPr>
              <w:t xml:space="preserve">Deploys to (on merge, via DAB)</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dev</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feature/&lt;ticket-id&gt;-&lt;desc&gt; branches, via PR</w:t>
            </w:r>
          </w:p>
        </w:tc>
        <w:tc>
          <w:tcPr>
            <w:tcW w:type="dxa" w:w="4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Dev workspace / Dev catalog — target: dev</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qa</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PR from dev, after Dev sign-off</w:t>
            </w:r>
          </w:p>
        </w:tc>
        <w:tc>
          <w:tcPr>
            <w:tcW w:type="dxa" w:w="4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QA workspace / QA catalog — target: qa</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main (prod)</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PR from qa, after UAT sign-off</w:t>
            </w:r>
          </w:p>
        </w:tc>
        <w:tc>
          <w:tcPr>
            <w:tcW w:type="dxa" w:w="4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Prod workspace / Prod catalog — target: prod</w:t>
            </w:r>
          </w:p>
        </w:tc>
      </w:tr>
    </w:tbl>
    <w:p>
      <w:pPr>
        <w:pStyle w:val="ListParagraph"/>
        <w:numPr>
          <w:ilvl w:val="0"/>
          <w:numId w:val="2"/>
        </w:numPr>
        <w:spacing w:after="60"/>
      </w:pPr>
      <w:r>
        <w:rPr>
          <w:b w:val="false"/>
          <w:bCs w:val="false"/>
        </w:rPr>
        <w:t xml:space="preserve">Flow: feature → PR → dev (deploy on merge) → PR → qa (deploy on merge) → PR → main (deploy on merge). Nothing skips a stage.</w:t>
      </w:r>
    </w:p>
    <w:p>
      <w:pPr>
        <w:jc w:val="center"/>
      </w:pPr>
      <w:r>
        <w:drawing>
          <wp:inline distT="0" distB="0" distL="0" distR="0">
            <wp:extent cx="590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952500"/>
                    </a:xfrm>
                    <a:prstGeom prst="rect">
                      <a:avLst/>
                    </a:prstGeom>
                  </pic:spPr>
                </pic:pic>
              </a:graphicData>
            </a:graphic>
          </wp:inline>
        </w:drawing>
      </w:r>
    </w:p>
    <w:p>
      <w:pPr>
        <w:spacing w:after="160"/>
        <w:jc w:val="center"/>
      </w:pPr>
      <w:r>
        <w:rPr>
          <w:i/>
          <w:iCs/>
          <w:color w:val="666666"/>
          <w:sz w:val="18"/>
          <w:szCs w:val="18"/>
        </w:rPr>
        <w:t xml:space="preserve">Figure 2 — Branch, PR, and deploy flow, including hotfix back-merge (also given as mermaid in Appendix A).</w:t>
      </w:r>
    </w:p>
    <w:p>
      <w:pPr>
        <w:pStyle w:val="Heading2"/>
        <w:spacing w:after="120" w:before="240"/>
      </w:pPr>
      <w:r>
        <w:t xml:space="preserve">7.2 Databricks Asset Bundle (DAB) Standard</w:t>
      </w:r>
    </w:p>
    <w:p>
      <w:pPr>
        <w:pStyle w:val="ListParagraph"/>
        <w:numPr>
          <w:ilvl w:val="0"/>
          <w:numId w:val="2"/>
        </w:numPr>
        <w:spacing w:after="60"/>
      </w:pPr>
      <w:r>
        <w:rPr>
          <w:b w:val="false"/>
          <w:bCs w:val="false"/>
        </w:rPr>
        <w:t xml:space="preserve">One databricks.yml per repo defining three targets — dev, qa, prod — each bound to its own workspace/host and catalog (Section 4).</w:t>
      </w:r>
    </w:p>
    <w:p>
      <w:pPr>
        <w:pStyle w:val="ListParagraph"/>
        <w:numPr>
          <w:ilvl w:val="0"/>
          <w:numId w:val="2"/>
        </w:numPr>
        <w:spacing w:after="60"/>
      </w:pPr>
      <w:r>
        <w:rPr>
          <w:b w:val="false"/>
          <w:bCs w:val="false"/>
        </w:rPr>
        <w:t xml:space="preserve">databricks bundle validate runs in CI on every PR; databricks bundle deploy only ever runs in CD, on merge — never manually into qa or prod.</w:t>
      </w:r>
    </w:p>
    <w:p>
      <w:pPr>
        <w:pStyle w:val="Heading2"/>
        <w:spacing w:after="120" w:before="240"/>
      </w:pPr>
      <w:r>
        <w:t xml:space="preserve">7.3 Pull Request (PR) Rules</w:t>
      </w:r>
    </w:p>
    <w:p>
      <w:pPr>
        <w:pStyle w:val="ListParagraph"/>
        <w:numPr>
          <w:ilvl w:val="0"/>
          <w:numId w:val="2"/>
        </w:numPr>
        <w:spacing w:after="60"/>
      </w:pPr>
      <w:r>
        <w:rPr>
          <w:b w:val="false"/>
          <w:bCs w:val="false"/>
        </w:rPr>
        <w:t xml:space="preserve">Minimum 1 reviewer for feature→dev and dev→qa; 2 reviewers (incl. DE Lead) for qa→main and any Gold/SCD2/contract-breaking change.</w:t>
      </w:r>
    </w:p>
    <w:p>
      <w:pPr>
        <w:pStyle w:val="ListParagraph"/>
        <w:numPr>
          <w:ilvl w:val="0"/>
          <w:numId w:val="2"/>
        </w:numPr>
        <w:spacing w:after="60"/>
      </w:pPr>
      <w:r>
        <w:rPr>
          <w:b w:val="false"/>
          <w:bCs w:val="false"/>
        </w:rPr>
        <w:t xml:space="preserve">PR must link a work item; PR checklist completed (Section 17) before merge.</w:t>
      </w:r>
    </w:p>
    <w:p>
      <w:pPr>
        <w:pStyle w:val="ListParagraph"/>
        <w:numPr>
          <w:ilvl w:val="0"/>
          <w:numId w:val="2"/>
        </w:numPr>
        <w:spacing w:after="60"/>
      </w:pPr>
      <w:r>
        <w:rPr>
          <w:b w:val="false"/>
          <w:bCs w:val="false"/>
        </w:rPr>
        <w:t xml:space="preserve">Required CI checks on every branch: bundle validate, lint, unit tests, DQX dry-run, contract schema-diff.</w:t>
      </w:r>
    </w:p>
    <w:p>
      <w:pPr>
        <w:pStyle w:val="ListParagraph"/>
        <w:numPr>
          <w:ilvl w:val="0"/>
          <w:numId w:val="2"/>
        </w:numPr>
        <w:spacing w:after="60"/>
      </w:pPr>
      <w:r>
        <w:rPr>
          <w:b w:val="false"/>
          <w:bCs w:val="false"/>
        </w:rPr>
        <w:t xml:space="preserve">Squash-merge; no direct pushes, no force-push to dev/qa/main.</w:t>
      </w:r>
    </w:p>
    <w:p>
      <w:pPr>
        <w:pStyle w:val="Heading2"/>
        <w:spacing w:after="120" w:before="240"/>
      </w:pPr>
      <w:r>
        <w:t xml:space="preserve">7.4 Hotfix Procedure</w:t>
      </w:r>
    </w:p>
    <w:p>
      <w:pPr>
        <w:pStyle w:val="ListParagraph"/>
        <w:numPr>
          <w:ilvl w:val="0"/>
          <w:numId w:val="2"/>
        </w:numPr>
        <w:spacing w:after="60"/>
      </w:pPr>
      <w:r>
        <w:rPr>
          <w:b/>
          <w:bCs/>
        </w:rPr>
        <w:t xml:space="preserve">Branch hotfix/&lt;ticket-id&gt;-&lt;desc&gt; directly from main.</w:t>
      </w:r>
    </w:p>
    <w:p>
      <w:pPr>
        <w:pStyle w:val="ListParagraph"/>
        <w:numPr>
          <w:ilvl w:val="0"/>
          <w:numId w:val="2"/>
        </w:numPr>
        <w:spacing w:after="60"/>
      </w:pPr>
      <w:r>
        <w:rPr>
          <w:b w:val="false"/>
          <w:bCs w:val="false"/>
        </w:rPr>
        <w:t xml:space="preserve">Minimal fix only; expedited PR directly into main — DE Lead approval required, all CI checks still run, none skipped.</w:t>
      </w:r>
    </w:p>
    <w:p>
      <w:pPr>
        <w:pStyle w:val="ListParagraph"/>
        <w:numPr>
          <w:ilvl w:val="0"/>
          <w:numId w:val="2"/>
        </w:numPr>
        <w:spacing w:after="60"/>
      </w:pPr>
      <w:r>
        <w:rPr>
          <w:b w:val="false"/>
          <w:bCs w:val="false"/>
        </w:rPr>
        <w:t xml:space="preserve">On merge, CD deploys immediately to prod.</w:t>
      </w:r>
    </w:p>
    <w:p>
      <w:pPr>
        <w:pStyle w:val="ListParagraph"/>
        <w:numPr>
          <w:ilvl w:val="0"/>
          <w:numId w:val="2"/>
        </w:numPr>
        <w:spacing w:after="60"/>
      </w:pPr>
      <w:r>
        <w:rPr>
          <w:b w:val="false"/>
          <w:bCs w:val="false"/>
        </w:rPr>
        <w:t xml:space="preserve">Same day: back-merge into qa and dev so both branches stay in sync and the next promotion doesn't reintroduce the bug.</w:t>
      </w:r>
    </w:p>
    <w:p>
      <w:pPr>
        <w:pStyle w:val="ListParagraph"/>
        <w:numPr>
          <w:ilvl w:val="0"/>
          <w:numId w:val="2"/>
        </w:numPr>
        <w:spacing w:after="60"/>
      </w:pPr>
      <w:r>
        <w:rPr>
          <w:b w:val="false"/>
          <w:bCs w:val="false"/>
        </w:rPr>
        <w:t xml:space="preserve">Logged as an incident/ticket with a short root-cause note, reviewed at the next sprint retro.</w:t>
      </w:r>
    </w:p>
    <w:p>
      <w:pPr>
        <w:pStyle w:val="Heading2"/>
        <w:spacing w:after="120" w:before="240"/>
      </w:pPr>
      <w:r>
        <w:t xml:space="preserve">7.5 CI/CD Standards Table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Stage</w:t>
            </w:r>
          </w:p>
        </w:tc>
        <w:tc>
          <w:tcPr>
            <w:tcW w:type="dxa" w:w="7600"/>
            <w:shd w:fill="1F3864" w:val="clear"/>
            <w:tcMar>
              <w:top w:type="dxa" w:w="80"/>
              <w:left w:type="dxa" w:w="100"/>
              <w:bottom w:type="dxa" w:w="80"/>
              <w:right w:type="dxa" w:w="100"/>
            </w:tcMar>
            <w:vAlign w:val="center"/>
          </w:tcPr>
          <w:p>
            <w:pPr>
              <w:jc w:val="left"/>
            </w:pPr>
            <w:r>
              <w:rPr>
                <w:b/>
                <w:bCs/>
                <w:color w:val="FFFFFF"/>
                <w:sz w:val="20"/>
                <w:szCs w:val="20"/>
              </w:rPr>
              <w:t xml:space="preserve">Standard</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Build (CI)</w:t>
            </w:r>
          </w:p>
        </w:tc>
        <w:tc>
          <w:tcPr>
            <w:tcW w:type="dxa" w:w="7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Triggered on every PR. Runs bundle validate, lint, unit tests, DQX dry-run, contract schema-diff.</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Release (CD) – Dev</w:t>
            </w:r>
          </w:p>
        </w:tc>
        <w:tc>
          <w:tcPr>
            <w:tcW w:type="dxa" w:w="7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Auto-deploy on merge to dev: databricks bundle deploy -t dev.</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Release (CD) – QA</w:t>
            </w:r>
          </w:p>
        </w:tc>
        <w:tc>
          <w:tcPr>
            <w:tcW w:type="dxa" w:w="7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Auto-deploy on merge to qa, after Dev sign-off: databricks bundle deploy -t qa.</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Release (CD) – Prod</w:t>
            </w:r>
          </w:p>
        </w:tc>
        <w:tc>
          <w:tcPr>
            <w:tcW w:type="dxa" w:w="7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Auto-deploy on merge to main only, after UAT sign-off and DE Lead approval: databricks bundle deploy -t prod.</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Rollback</w:t>
            </w:r>
          </w:p>
        </w:tc>
        <w:tc>
          <w:tcPr>
            <w:tcW w:type="dxa" w:w="7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Each release is a versioned bundle artifact; prior release redeployed by re-running against the previous commit/tag.</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Secrets/config</w:t>
            </w:r>
          </w:p>
        </w:tc>
        <w:tc>
          <w:tcPr>
            <w:tcW w:type="dxa" w:w="7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No hardcoded connection strings/paths; Databricks secret scopes and per-target bundle variables.</w:t>
            </w:r>
          </w:p>
        </w:tc>
      </w:tr>
    </w:tbl>
    <w:p>
      <w:pPr>
        <w:pStyle w:val="Heading2"/>
        <w:spacing w:after="120" w:before="240"/>
      </w:pPr>
      <w:r>
        <w:t xml:space="preserve">7.6 Azure Boards Usage</w:t>
      </w:r>
    </w:p>
    <w:p>
      <w:pPr>
        <w:pStyle w:val="ListParagraph"/>
        <w:numPr>
          <w:ilvl w:val="0"/>
          <w:numId w:val="2"/>
        </w:numPr>
        <w:spacing w:after="60"/>
      </w:pPr>
      <w:r>
        <w:rPr>
          <w:b w:val="false"/>
          <w:bCs w:val="false"/>
        </w:rPr>
        <w:t xml:space="preserve">Hierarchy: Epic = aftermarketdbx (the migration project itself) → Feature = per source system (SAP / CIO / Excel / API) or per wave → User Story = per table → Task = dev/test/deploy.</w:t>
      </w:r>
    </w:p>
    <w:p>
      <w:pPr>
        <w:pStyle w:val="ListParagraph"/>
        <w:numPr>
          <w:ilvl w:val="0"/>
          <w:numId w:val="2"/>
        </w:numPr>
        <w:spacing w:after="60"/>
      </w:pPr>
      <w:r>
        <w:rPr>
          <w:b w:val="false"/>
          <w:bCs w:val="false"/>
        </w:rPr>
        <w:t xml:space="preserve">Every Silver/Gold table build = one User Story minimum, acceptance criteria referencing the Requirement Template (Section 16).</w:t>
      </w:r>
    </w:p>
    <w:p>
      <w:pPr>
        <w:pStyle w:val="ListParagraph"/>
        <w:numPr>
          <w:ilvl w:val="0"/>
          <w:numId w:val="2"/>
        </w:numPr>
        <w:spacing w:after="60"/>
      </w:pPr>
      <w:r>
        <w:rPr>
          <w:b w:val="false"/>
          <w:bCs w:val="false"/>
        </w:rPr>
        <w:t xml:space="preserve">Bugs raised against the pipeline/table, tagged with environment (dev/qa/prod).</w:t>
      </w:r>
    </w:p>
    <w:p>
      <w:pPr>
        <w:pStyle w:val="ListParagraph"/>
        <w:numPr>
          <w:ilvl w:val="0"/>
          <w:numId w:val="2"/>
        </w:numPr>
        <w:spacing w:after="60"/>
      </w:pPr>
      <w:r>
        <w:rPr>
          <w:b w:val="false"/>
          <w:bCs w:val="false"/>
        </w:rPr>
        <w:t xml:space="preserve">Sprint board columns: To Do → In Progress → In PR Review → In QA → Done.</w:t>
      </w:r>
    </w:p>
    <w:p>
      <w:pPr>
        <w:spacing w:after="160"/>
      </w:pPr>
      <w:r>
        <w:rPr>
          <w:i/>
          <w:iCs/>
          <w:color w:val="555555"/>
          <w:sz w:val="20"/>
          <w:szCs w:val="20"/>
        </w:rPr>
        <w:t xml:space="preserve">A worked example board layout and a wave-based rollout plan are provided in the separate Migration Approach &amp; Suggestions document, not repeated here.</w:t>
      </w:r>
    </w:p>
    <w:p>
      <w:pPr>
        <w:pStyle w:val="Heading1"/>
        <w:spacing w:after="160" w:before="320"/>
      </w:pPr>
      <w:r>
        <w:t xml:space="preserve">8. DE vs. Analyst Access Boundaries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700"/>
      </w:tblGrid>
      <w:t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Persona</w:t>
            </w:r>
          </w:p>
        </w:tc>
        <w:tc>
          <w:tcPr>
            <w:tcW w:type="dxa" w:w="3500"/>
            <w:shd w:fill="1F3864" w:val="clear"/>
            <w:tcMar>
              <w:top w:type="dxa" w:w="80"/>
              <w:left w:type="dxa" w:w="100"/>
              <w:bottom w:type="dxa" w:w="80"/>
              <w:right w:type="dxa" w:w="100"/>
            </w:tcMar>
            <w:vAlign w:val="center"/>
          </w:tcPr>
          <w:p>
            <w:pPr>
              <w:jc w:val="left"/>
            </w:pPr>
            <w:r>
              <w:rPr>
                <w:b/>
                <w:bCs/>
                <w:color w:val="FFFFFF"/>
                <w:sz w:val="20"/>
                <w:szCs w:val="20"/>
              </w:rPr>
              <w:t xml:space="preserve">Can Access</w:t>
            </w:r>
          </w:p>
        </w:tc>
        <w:tc>
          <w:tcPr>
            <w:tcW w:type="dxa" w:w="3700"/>
            <w:shd w:fill="1F3864" w:val="clear"/>
            <w:tcMar>
              <w:top w:type="dxa" w:w="80"/>
              <w:left w:type="dxa" w:w="100"/>
              <w:bottom w:type="dxa" w:w="80"/>
              <w:right w:type="dxa" w:w="100"/>
            </w:tcMar>
            <w:vAlign w:val="center"/>
          </w:tcPr>
          <w:p>
            <w:pPr>
              <w:jc w:val="left"/>
            </w:pPr>
            <w:r>
              <w:rPr>
                <w:b/>
                <w:bCs/>
                <w:color w:val="FFFFFF"/>
                <w:sz w:val="20"/>
                <w:szCs w:val="20"/>
              </w:rPr>
              <w:t xml:space="preserve">Cannot Access</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Data Engineer</w:t>
            </w:r>
          </w:p>
        </w:tc>
        <w:tc>
          <w:tcPr>
            <w:tcW w:type="dxa" w:w="35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Silver (where built), Gold, backup schema (read/write); Dev/QA freely, Prod via pipeline only</w:t>
            </w:r>
          </w:p>
        </w:tc>
        <w:tc>
          <w:tcPr>
            <w:tcW w:type="dxa" w:w="37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BIS source write access; direct manual writes to Prod outside CI/CD</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Analyst</w:t>
            </w:r>
          </w:p>
        </w:tc>
        <w:tc>
          <w:tcPr>
            <w:tcW w:type="dxa" w:w="3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Gold only (read), plus a dedicated Databricks sandbox folder/workspace for their own notebooks</w:t>
            </w:r>
          </w:p>
        </w:tc>
        <w:tc>
          <w:tcPr>
            <w:tcW w:type="dxa" w:w="37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BIS raw tables, DE Silver, and any DE production job/repo folders</w:t>
            </w:r>
          </w:p>
        </w:tc>
      </w:tr>
    </w:tbl>
    <w:p>
      <w:pPr>
        <w:spacing w:after="120"/>
      </w:pPr>
      <w:r>
        <w:t xml:space="preserve">For analysts who need to work directly in Databricks, DE provisions a dedicated folder/workspace (e.g. /Workspace/Analysts/&lt;team&gt;/) limited to Gold. Actual AAD group/permission setup remains with Central IT/Platform team.</w:t>
      </w:r>
    </w:p>
    <w:p>
      <w:pPr>
        <w:pStyle w:val="Heading1"/>
        <w:spacing w:after="160" w:before="320"/>
      </w:pPr>
      <w:r>
        <w:t xml:space="preserve">9. Data Quality &amp; Monitoring Standards (DQX)</w:t>
      </w:r>
    </w:p>
    <w:p>
      <w:pPr>
        <w:pStyle w:val="ListParagraph"/>
        <w:numPr>
          <w:ilvl w:val="0"/>
          <w:numId w:val="2"/>
        </w:numPr>
        <w:spacing w:after="60"/>
      </w:pPr>
      <w:r>
        <w:rPr>
          <w:b w:val="false"/>
          <w:bCs w:val="false"/>
        </w:rPr>
        <w:t xml:space="preserve">DQX rules defined per Silver/Gold table as part of the build, referenced in that table's Data Contract.</w:t>
      </w:r>
    </w:p>
    <w:p>
      <w:pPr>
        <w:pStyle w:val="ListParagraph"/>
        <w:numPr>
          <w:ilvl w:val="0"/>
          <w:numId w:val="2"/>
        </w:numPr>
        <w:spacing w:after="60"/>
      </w:pPr>
      <w:r>
        <w:rPr>
          <w:b w:val="false"/>
          <w:bCs w:val="false"/>
        </w:rPr>
        <w:t xml:space="preserve">Minimum rule set: not-null on keys, uniqueness on business key, referential check to source count, freshness/recency check.</w:t>
      </w:r>
    </w:p>
    <w:p>
      <w:pPr>
        <w:pStyle w:val="Heading2"/>
        <w:spacing w:after="120" w:before="240"/>
      </w:pPr>
      <w:r>
        <w:t xml:space="preserve">9.1 Quarantine, Thresholds &amp; Alerting</w:t>
      </w:r>
    </w:p>
    <w:p>
      <w:pPr>
        <w:spacing w:after="120"/>
      </w:pPr>
      <w:r>
        <w:t xml:space="preserve">Every Data Contract documents its own thresholds and actions — no hardcoded global threshold, since tolerances differ by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Level</w:t>
            </w:r>
          </w:p>
        </w:tc>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Trigger</w:t>
            </w:r>
          </w:p>
        </w:tc>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Action</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Warn</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Failed-record % below warn_pct</w:t>
            </w:r>
          </w:p>
        </w:tc>
        <w:tc>
          <w:tcPr>
            <w:tcW w:type="dxa" w:w="3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Logged to _dq_results only; pipeline continues</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Quarantine</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Failed-record % between warn_pct and quarantine_pct</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Failing rows routed to a _quarantine table; power users/stewards named in the contract are notified (Teams/email webhook); pipeline continues for passing records</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Fail</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Failed-record % above fail_pct</w:t>
            </w:r>
          </w:p>
        </w:tc>
        <w:tc>
          <w:tcPr>
            <w:tcW w:type="dxa" w:w="3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Pipeline run flagged failed; DE on-call alerted; downstream Gold not refreshed for that run</w:t>
            </w:r>
          </w:p>
        </w:tc>
      </w:tr>
    </w:tbl>
    <w:p>
      <w:pPr>
        <w:pStyle w:val="ListParagraph"/>
        <w:numPr>
          <w:ilvl w:val="0"/>
          <w:numId w:val="2"/>
        </w:numPr>
        <w:spacing w:after="60"/>
      </w:pPr>
      <w:r>
        <w:rPr>
          <w:b w:val="false"/>
          <w:bCs w:val="false"/>
        </w:rPr>
        <w:t xml:space="preserve">DQX results written to a shared _dq_results table for trend monitoring.</w:t>
      </w:r>
    </w:p>
    <w:p>
      <w:pPr>
        <w:pStyle w:val="ListParagraph"/>
        <w:numPr>
          <w:ilvl w:val="0"/>
          <w:numId w:val="2"/>
        </w:numPr>
        <w:spacing w:after="60"/>
      </w:pPr>
      <w:r>
        <w:rPr>
          <w:b w:val="false"/>
          <w:bCs w:val="false"/>
        </w:rPr>
        <w:t xml:space="preserve">A check on % of newly-deleted rows per run is standard on every table (Section 3.6).</w:t>
      </w:r>
    </w:p>
    <w:p>
      <w:pPr>
        <w:pStyle w:val="Heading1"/>
        <w:spacing w:after="160" w:before="320"/>
      </w:pPr>
      <w:r>
        <w:t xml:space="preserve">10. SCD2 Standard (where the pattern applies)</w:t>
      </w:r>
    </w:p>
    <w:p>
      <w:pPr>
        <w:pStyle w:val="ListParagraph"/>
        <w:numPr>
          <w:ilvl w:val="0"/>
          <w:numId w:val="2"/>
        </w:numPr>
        <w:spacing w:after="60"/>
      </w:pPr>
      <w:r>
        <w:rPr>
          <w:b w:val="false"/>
          <w:bCs w:val="false"/>
        </w:rPr>
        <w:t xml:space="preserve">Used only where Section 3.3 selects it — typically slowly-changing reference/master data, not high-volume facts or snapshot-style reports.</w:t>
      </w:r>
    </w:p>
    <w:p>
      <w:pPr>
        <w:pStyle w:val="ListParagraph"/>
        <w:numPr>
          <w:ilvl w:val="0"/>
          <w:numId w:val="2"/>
        </w:numPr>
        <w:spacing w:after="60"/>
      </w:pPr>
      <w:r>
        <w:rPr>
          <w:b w:val="false"/>
          <w:bCs w:val="false"/>
        </w:rPr>
        <w:t xml:space="preserve">Standard columns: effective_start_ts, effective_end_ts, is_current_flag, record_hash/checksum, source_batch_id.</w:t>
      </w:r>
    </w:p>
    <w:p>
      <w:pPr>
        <w:pStyle w:val="ListParagraph"/>
        <w:numPr>
          <w:ilvl w:val="0"/>
          <w:numId w:val="2"/>
        </w:numPr>
        <w:spacing w:after="60"/>
      </w:pPr>
      <w:r>
        <w:rPr>
          <w:b w:val="false"/>
          <w:bCs w:val="false"/>
        </w:rPr>
        <w:t xml:space="preserve">SCD2 merge logic implemented via one reusable framework function (Section 12), not hand-coded per table.</w:t>
      </w:r>
    </w:p>
    <w:p>
      <w:pPr>
        <w:pStyle w:val="ListParagraph"/>
        <w:numPr>
          <w:ilvl w:val="0"/>
          <w:numId w:val="2"/>
        </w:numPr>
        <w:spacing w:after="60"/>
      </w:pPr>
      <w:r>
        <w:rPr>
          <w:b w:val="false"/>
          <w:bCs w:val="false"/>
        </w:rPr>
        <w:t xml:space="preserve">A source delete closes the current record (Section 3.6) rather than removing the row.</w:t>
      </w:r>
    </w:p>
    <w:p>
      <w:pPr>
        <w:pStyle w:val="Heading1"/>
        <w:spacing w:after="160" w:before="320"/>
      </w:pPr>
      <w:r>
        <w:t xml:space="preserve">11. Audit &amp; Lineage Standards</w:t>
      </w:r>
    </w:p>
    <w:p>
      <w:pPr>
        <w:pStyle w:val="Heading2"/>
        <w:spacing w:after="120" w:before="240"/>
      </w:pPr>
      <w:r>
        <w:t xml:space="preserve">11.1 Audit Table (per pipeline run)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Column</w:t>
            </w:r>
          </w:p>
        </w:tc>
        <w:tc>
          <w:tcPr>
            <w:tcW w:type="dxa" w:w="6600"/>
            <w:shd w:fill="1F3864"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pipeline_name</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Job/notebook identifier</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run_id / job_run_id</w:t>
            </w:r>
          </w:p>
        </w:tc>
        <w:tc>
          <w:tcPr>
            <w:tcW w:type="dxa" w:w="6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Databricks job run ID</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source_table(s)</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BIS or DE input table(s)</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target_table</w:t>
            </w:r>
          </w:p>
        </w:tc>
        <w:tc>
          <w:tcPr>
            <w:tcW w:type="dxa" w:w="6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Silver/Gold output table</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start_ts / end_ts</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Run start and end timestamp</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status</w:t>
            </w:r>
          </w:p>
        </w:tc>
        <w:tc>
          <w:tcPr>
            <w:tcW w:type="dxa" w:w="6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Success / Failed / Partial</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records_read / records_written / records_quarantined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Row counters</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dq_pass_rate</w:t>
            </w:r>
          </w:p>
        </w:tc>
        <w:tc>
          <w:tcPr>
            <w:tcW w:type="dxa" w:w="6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records passing DQX checks</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environment</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dev / qa / prod</w:t>
            </w:r>
          </w:p>
        </w:tc>
      </w:tr>
    </w:tbl>
    <w:p>
      <w:pPr>
        <w:pStyle w:val="Heading2"/>
        <w:spacing w:after="120" w:before="240"/>
      </w:pPr>
      <w:r>
        <w:t xml:space="preserve">11.2 Lineage &amp; Contract Registry</w:t>
      </w:r>
    </w:p>
    <w:p>
      <w:pPr>
        <w:spacing w:after="120"/>
      </w:pPr>
      <w:r>
        <w:t xml:space="preserve">Lineage is captured primarily via Unity Catalog's built-in lineage graph, supplemented by a lightweight custom table for mappings UC doesn't see (e.g. source-system report name to Gold table). A Contract Registry — a simple index of every published Data Contract, generated from each repo's contracts/ folder — lets analysts find a table's contract without asking DE directly.</w:t>
      </w:r>
    </w:p>
    <w:p>
      <w:pPr>
        <w:pStyle w:val="Heading1"/>
        <w:spacing w:after="160" w:before="320"/>
      </w:pPr>
      <w:r>
        <w:t xml:space="preserve">12. Reusable Code &amp; Framework Standards</w:t>
      </w:r>
    </w:p>
    <w:p>
      <w:pPr>
        <w:pStyle w:val="ListParagraph"/>
        <w:numPr>
          <w:ilvl w:val="0"/>
          <w:numId w:val="2"/>
        </w:numPr>
        <w:spacing w:after="60"/>
      </w:pPr>
      <w:r>
        <w:rPr>
          <w:b w:val="false"/>
          <w:bCs w:val="false"/>
        </w:rPr>
        <w:t xml:space="preserve">Shared aftermarketdbx-framework repo for common functions: ingestion helper, DQX wrapper, SCD2 merge, snapshot-fact merge, audit logger, config reader, quarantine/notify helper.</w:t>
      </w:r>
    </w:p>
    <w:p>
      <w:pPr>
        <w:pStyle w:val="ListParagraph"/>
        <w:numPr>
          <w:ilvl w:val="0"/>
          <w:numId w:val="2"/>
        </w:numPr>
        <w:spacing w:after="60"/>
      </w:pPr>
      <w:r>
        <w:rPr>
          <w:b w:val="false"/>
          <w:bCs w:val="false"/>
        </w:rPr>
        <w:t xml:space="preserve">Config-driven pipelines: each Silver/Gold table has a config (YAML/JSON) defining source, target, keys, DQX rules, history pattern — not separate hardcoded notebooks per table where avoidable.</w:t>
      </w:r>
    </w:p>
    <w:p>
      <w:pPr>
        <w:pStyle w:val="ListParagraph"/>
        <w:numPr>
          <w:ilvl w:val="0"/>
          <w:numId w:val="2"/>
        </w:numPr>
        <w:spacing w:after="60"/>
      </w:pPr>
      <w:r>
        <w:rPr>
          <w:b w:val="false"/>
          <w:bCs w:val="false"/>
        </w:rPr>
        <w:t xml:space="preserve">New tables reuse the framework and add only configuration + business-rule logic specific to that variant.</w:t>
      </w:r>
    </w:p>
    <w:p>
      <w:pPr>
        <w:pStyle w:val="Heading1"/>
        <w:spacing w:after="160" w:before="320"/>
      </w:pPr>
      <w:r>
        <w:t xml:space="preserve">13. Auto-Generated Data Dictionary</w:t>
      </w:r>
    </w:p>
    <w:p>
      <w:pPr>
        <w:spacing w:after="120"/>
      </w:pPr>
      <w:r>
        <w:t xml:space="preserve">A scheduled job reads Unity Catalog's information_schema (table/column comments, types) together with each table's contract.yaml, and publishes a combined, always-current dictionary — comments typed directly on the table via COMMENT ON COLUMN are the source of truth, so the dictionary never drifts from the real schema.</w:t>
      </w:r>
    </w:p>
    <w:p>
      <w:pPr>
        <w:pStyle w:val="ListParagraph"/>
        <w:numPr>
          <w:ilvl w:val="0"/>
          <w:numId w:val="2"/>
        </w:numPr>
        <w:spacing w:after="60"/>
      </w:pPr>
      <w:r>
        <w:rPr>
          <w:b w:val="false"/>
          <w:bCs w:val="false"/>
        </w:rPr>
        <w:t xml:space="preserve">Minimum fields published per table: business name, technical name, grain, owner, last-updated, link to full Data Contract.</w:t>
      </w:r>
    </w:p>
    <w:p>
      <w:pPr>
        <w:spacing w:after="120"/>
      </w:pPr>
      <w:r>
        <w:rPr>
          <w:b/>
          <w:bCs/>
          <w:color w:val="B03A2E"/>
          <w:sz w:val="20"/>
          <w:szCs w:val="20"/>
        </w:rPr>
        <w:t xml:space="preserve">TBD — pending team discussion: </w:t>
      </w:r>
      <w:r>
        <w:rPr>
          <w:color w:val="B03A2E"/>
          <w:sz w:val="20"/>
          <w:szCs w:val="20"/>
        </w:rPr>
        <w:t xml:space="preserve">which tool hosts the published dictionary (a simple published page vs. an existing catalog/Purview-style tool, if one exists in the org) — confirm before building the job.</w:t>
      </w:r>
    </w:p>
    <w:p>
      <w:pPr>
        <w:pStyle w:val="Heading1"/>
        <w:spacing w:after="160" w:before="320"/>
      </w:pPr>
      <w:r>
        <w:t xml:space="preserve">14. Roles &amp; Responsibilities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Role</w:t>
            </w:r>
          </w:p>
        </w:tc>
        <w:tc>
          <w:tcPr>
            <w:tcW w:type="dxa" w:w="6800"/>
            <w:shd w:fill="1F3864" w:val="clear"/>
            <w:tcMar>
              <w:top w:type="dxa" w:w="80"/>
              <w:left w:type="dxa" w:w="100"/>
              <w:bottom w:type="dxa" w:w="80"/>
              <w:right w:type="dxa" w:w="100"/>
            </w:tcMar>
            <w:vAlign w:val="center"/>
          </w:tcPr>
          <w:p>
            <w:pPr>
              <w:jc w:val="left"/>
            </w:pPr>
            <w:r>
              <w:rPr>
                <w:b/>
                <w:bCs/>
                <w:color w:val="FFFFFF"/>
                <w:sz w:val="20"/>
                <w:szCs w:val="20"/>
              </w:rPr>
              <w:t xml:space="preserve">Responsibility</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Data Architect / DE Lead</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Owns this standards document, design sign-off, PR approval for Gold/SCD2/qa→main changes, release approval for Prod</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Data Engineer</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Runs the BIS readiness checklist, builds pipelines per standards, writes DQX rules and contracts, raises PRs</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Analyst</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Defines Gold requirements, consumes Gold/sandbox, raises data issues via board</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BIS Team</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Extracts source systems into prod_silver; confirms readiness-checklist answers and schema-change notice</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Central IT / Platform</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AAD/workspace access, infra provisioning</w:t>
            </w:r>
          </w:p>
        </w:tc>
      </w:tr>
    </w:tbl>
    <w:p>
      <w:pPr>
        <w:pStyle w:val="Heading1"/>
        <w:spacing w:after="160" w:before="320"/>
      </w:pPr>
      <w:r>
        <w:t xml:space="preserve">15. Requirement Gathering Template</w:t>
      </w:r>
    </w:p>
    <w:p>
      <w:pPr>
        <w:spacing w:after="120"/>
      </w:pPr>
      <w:r>
        <w:t xml:space="preserve">Completed by DE with the requesting Analyst/Business team for every new Silver or Gold table, before development:</w:t>
      </w:r>
    </w:p>
    <w:p>
      <w:pPr>
        <w:pStyle w:val="ListParagraph"/>
        <w:numPr>
          <w:ilvl w:val="0"/>
          <w:numId w:val="2"/>
        </w:numPr>
        <w:spacing w:after="60"/>
      </w:pPr>
      <w:r>
        <w:rPr>
          <w:b w:val="false"/>
          <w:bCs w:val="false"/>
        </w:rPr>
        <w:t xml:space="preserve">Source system (SAP / CIO / Excel / API) and, if BIS-sourced, the BIS prod_silver table name</w:t>
      </w:r>
    </w:p>
    <w:p>
      <w:pPr>
        <w:pStyle w:val="ListParagraph"/>
        <w:numPr>
          <w:ilvl w:val="0"/>
          <w:numId w:val="2"/>
        </w:numPr>
        <w:spacing w:after="60"/>
      </w:pPr>
      <w:r>
        <w:rPr>
          <w:b w:val="false"/>
          <w:bCs w:val="false"/>
        </w:rPr>
        <w:t xml:space="preserve">BIS Source Readiness Checklist answers (Section 3.2), if applicable</w:t>
      </w:r>
    </w:p>
    <w:p>
      <w:pPr>
        <w:pStyle w:val="ListParagraph"/>
        <w:numPr>
          <w:ilvl w:val="0"/>
          <w:numId w:val="2"/>
        </w:numPr>
        <w:spacing w:after="60"/>
      </w:pPr>
      <w:r>
        <w:rPr>
          <w:b w:val="false"/>
          <w:bCs w:val="false"/>
        </w:rPr>
        <w:t xml:space="preserve">Business purpose and consuming team/report</w:t>
      </w:r>
    </w:p>
    <w:p>
      <w:pPr>
        <w:pStyle w:val="ListParagraph"/>
        <w:numPr>
          <w:ilvl w:val="0"/>
          <w:numId w:val="2"/>
        </w:numPr>
        <w:spacing w:after="60"/>
      </w:pPr>
      <w:r>
        <w:rPr>
          <w:b w:val="false"/>
          <w:bCs w:val="false"/>
        </w:rPr>
        <w:t xml:space="preserve">Required fields, business keys, and transformation/enrichment rules</w:t>
      </w:r>
    </w:p>
    <w:p>
      <w:pPr>
        <w:pStyle w:val="ListParagraph"/>
        <w:numPr>
          <w:ilvl w:val="0"/>
          <w:numId w:val="2"/>
        </w:numPr>
        <w:spacing w:after="60"/>
      </w:pPr>
      <w:r>
        <w:rPr>
          <w:b w:val="false"/>
          <w:bCs w:val="false"/>
        </w:rPr>
        <w:t xml:space="preserve">History pattern required: none / snapshot / SCD2 / append-only (Section 3.3), and which fields drive it if SCD2</w:t>
      </w:r>
    </w:p>
    <w:p>
      <w:pPr>
        <w:pStyle w:val="ListParagraph"/>
        <w:numPr>
          <w:ilvl w:val="0"/>
          <w:numId w:val="2"/>
        </w:numPr>
        <w:spacing w:after="60"/>
      </w:pPr>
      <w:r>
        <w:rPr>
          <w:b w:val="false"/>
          <w:bCs w:val="false"/>
        </w:rPr>
        <w:t xml:space="preserve">Deleted-record visibility requirement (default hidden, or explicitly needed for this report)</w:t>
      </w:r>
    </w:p>
    <w:p>
      <w:pPr>
        <w:pStyle w:val="ListParagraph"/>
        <w:numPr>
          <w:ilvl w:val="0"/>
          <w:numId w:val="2"/>
        </w:numPr>
        <w:spacing w:after="60"/>
      </w:pPr>
      <w:r>
        <w:rPr>
          <w:b w:val="false"/>
          <w:bCs w:val="false"/>
        </w:rPr>
        <w:t xml:space="preserve">Data quality expectations and thresholds (warn / quarantine / fail %, who gets notified on quarantine)</w:t>
      </w:r>
    </w:p>
    <w:p>
      <w:pPr>
        <w:pStyle w:val="ListParagraph"/>
        <w:numPr>
          <w:ilvl w:val="0"/>
          <w:numId w:val="2"/>
        </w:numPr>
        <w:spacing w:after="60"/>
      </w:pPr>
      <w:r>
        <w:rPr>
          <w:b w:val="false"/>
          <w:bCs w:val="false"/>
        </w:rPr>
        <w:t xml:space="preserve">Refresh frequency and expected volume</w:t>
      </w:r>
    </w:p>
    <w:p>
      <w:pPr>
        <w:pStyle w:val="ListParagraph"/>
        <w:numPr>
          <w:ilvl w:val="0"/>
          <w:numId w:val="2"/>
        </w:numPr>
        <w:spacing w:after="60"/>
      </w:pPr>
      <w:r>
        <w:rPr>
          <w:b w:val="false"/>
          <w:bCs w:val="false"/>
        </w:rPr>
        <w:t xml:space="preserve">Target environment(s) and go-live date</w:t>
      </w:r>
    </w:p>
    <w:p>
      <w:pPr>
        <w:pStyle w:val="Heading1"/>
        <w:spacing w:after="160" w:before="320"/>
      </w:pPr>
      <w:r>
        <w:t xml:space="preserve">16. Sign-off Checklists</w:t>
      </w:r>
    </w:p>
    <w:p>
      <w:pPr>
        <w:pStyle w:val="Heading2"/>
        <w:spacing w:after="120" w:before="240"/>
      </w:pPr>
      <w:r>
        <w:t xml:space="preserve">16.1 Design Sign-off</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1600"/>
        <w:gridCol w:w="1200"/>
      </w:tblGrid>
      <w:tr>
        <w:tc>
          <w:tcPr>
            <w:tcW w:type="dxa" w:w="700"/>
            <w:shd w:fill="1F3864"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6300"/>
            <w:shd w:fill="1F3864" w:val="clear"/>
            <w:tcMar>
              <w:top w:type="dxa" w:w="80"/>
              <w:left w:type="dxa" w:w="100"/>
              <w:bottom w:type="dxa" w:w="80"/>
              <w:right w:type="dxa" w:w="100"/>
            </w:tcMar>
            <w:vAlign w:val="center"/>
          </w:tcPr>
          <w:p>
            <w:pPr>
              <w:jc w:val="left"/>
            </w:pPr>
            <w:r>
              <w:rPr>
                <w:b/>
                <w:bCs/>
                <w:color w:val="FFFFFF"/>
                <w:sz w:val="20"/>
                <w:szCs w:val="20"/>
              </w:rPr>
              <w:t xml:space="preserve">Item</w:t>
            </w:r>
          </w:p>
        </w:tc>
        <w:tc>
          <w:tcPr>
            <w:tcW w:type="dxa" w:w="1600"/>
            <w:shd w:fill="1F3864" w:val="clear"/>
            <w:tcMar>
              <w:top w:type="dxa" w:w="80"/>
              <w:left w:type="dxa" w:w="100"/>
              <w:bottom w:type="dxa" w:w="80"/>
              <w:right w:type="dxa" w:w="100"/>
            </w:tcMar>
            <w:vAlign w:val="center"/>
          </w:tcPr>
          <w:p>
            <w:pPr>
              <w:jc w:val="left"/>
            </w:pPr>
            <w:r>
              <w:rPr>
                <w:b/>
                <w:bCs/>
                <w:color w:val="FFFFFF"/>
                <w:sz w:val="20"/>
                <w:szCs w:val="20"/>
              </w:rPr>
              <w:t xml:space="preserve">Owner</w:t>
            </w:r>
          </w:p>
        </w:tc>
        <w:tc>
          <w:tcPr>
            <w:tcW w:type="dxa" w:w="1200"/>
            <w:shd w:fill="1F3864" w:val="clear"/>
            <w:tcMar>
              <w:top w:type="dxa" w:w="80"/>
              <w:left w:type="dxa" w:w="100"/>
              <w:bottom w:type="dxa" w:w="80"/>
              <w:right w:type="dxa" w:w="100"/>
            </w:tcMar>
            <w:vAlign w:val="center"/>
          </w:tcPr>
          <w:p>
            <w:pPr>
              <w:jc w:val="center"/>
            </w:pPr>
            <w:r>
              <w:rPr>
                <w:b/>
                <w:bCs/>
                <w:color w:val="FFFFFF"/>
                <w:sz w:val="20"/>
                <w:szCs w:val="20"/>
              </w:rPr>
              <w:t xml:space="preserve">Status</w:t>
            </w:r>
          </w:p>
        </w:tc>
      </w:tr>
      <w:tr>
        <w:tc>
          <w:tcPr>
            <w:tcW w:type="dxa" w:w="7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1</w:t>
            </w:r>
          </w:p>
        </w:tc>
        <w:tc>
          <w:tcPr>
            <w:tcW w:type="dxa" w:w="6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Source confirmed: BIS table + readiness checklist, or DE-direct ingestion plan (Excel/API)</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DE Lead</w:t>
            </w:r>
          </w:p>
        </w:tc>
        <w:tc>
          <w:tcPr>
            <w:tcW w:type="dxa" w:w="12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2</w:t>
            </w:r>
          </w:p>
        </w:tc>
        <w:tc>
          <w:tcPr>
            <w:tcW w:type="dxa" w:w="6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Business/transformation rules documented and agreed with Analyst</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 + Analyst</w:t>
            </w:r>
          </w:p>
        </w:tc>
        <w:tc>
          <w:tcPr>
            <w:tcW w:type="dxa" w:w="1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3</w:t>
            </w:r>
          </w:p>
        </w:tc>
        <w:tc>
          <w:tcPr>
            <w:tcW w:type="dxa" w:w="6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Target Gold schema and grain agreed with consuming team</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DE + Analyst</w:t>
            </w:r>
          </w:p>
        </w:tc>
        <w:tc>
          <w:tcPr>
            <w:tcW w:type="dxa" w:w="12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4</w:t>
            </w:r>
          </w:p>
        </w:tc>
        <w:tc>
          <w:tcPr>
            <w:tcW w:type="dxa" w:w="6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History pattern selected and justified (Section 3.3)</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 Lead</w:t>
            </w:r>
          </w:p>
        </w:tc>
        <w:tc>
          <w:tcPr>
            <w:tcW w:type="dxa" w:w="1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6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Deleted-record handling defined (is_deleted visibility in Gold)</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DE + Analyst</w:t>
            </w:r>
          </w:p>
        </w:tc>
        <w:tc>
          <w:tcPr>
            <w:tcW w:type="dxa" w:w="12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6</w:t>
            </w:r>
          </w:p>
        </w:tc>
        <w:tc>
          <w:tcPr>
            <w:tcW w:type="dxa" w:w="6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DQX rule set + quarantine thresholds defined for the table</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w:t>
            </w:r>
          </w:p>
        </w:tc>
        <w:tc>
          <w:tcPr>
            <w:tcW w:type="dxa" w:w="1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7</w:t>
            </w:r>
          </w:p>
        </w:tc>
        <w:tc>
          <w:tcPr>
            <w:tcW w:type="dxa" w:w="6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Naming convention applied (schema/table/job); clustering columns identified</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DE</w:t>
            </w:r>
          </w:p>
        </w:tc>
        <w:tc>
          <w:tcPr>
            <w:tcW w:type="dxa" w:w="12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8</w:t>
            </w:r>
          </w:p>
        </w:tc>
        <w:tc>
          <w:tcPr>
            <w:tcW w:type="dxa" w:w="6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Data Contract drafted (contract.yaml) and reviewed with consumer</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 + Analyst</w:t>
            </w:r>
          </w:p>
        </w:tc>
        <w:tc>
          <w:tcPr>
            <w:tcW w:type="dxa" w:w="1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9</w:t>
            </w:r>
          </w:p>
        </w:tc>
        <w:tc>
          <w:tcPr>
            <w:tcW w:type="dxa" w:w="6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Environment/catalog values confirmed with BIS (Section 4)</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DE Lead</w:t>
            </w:r>
          </w:p>
        </w:tc>
        <w:tc>
          <w:tcPr>
            <w:tcW w:type="dxa" w:w="12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10</w:t>
            </w:r>
          </w:p>
        </w:tc>
        <w:tc>
          <w:tcPr>
            <w:tcW w:type="dxa" w:w="6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Work item(s) created in Azure Boards with acceptance criteria</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w:t>
            </w:r>
          </w:p>
        </w:tc>
        <w:tc>
          <w:tcPr>
            <w:tcW w:type="dxa" w:w="1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bl>
    <w:p>
      <w:pPr>
        <w:pStyle w:val="Heading2"/>
        <w:spacing w:after="120" w:before="240"/>
      </w:pPr>
      <w:r>
        <w:t xml:space="preserve">16.2 Release Sign-off</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1600"/>
        <w:gridCol w:w="1200"/>
      </w:tblGrid>
      <w:tr>
        <w:tc>
          <w:tcPr>
            <w:tcW w:type="dxa" w:w="700"/>
            <w:shd w:fill="1F3864"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6300"/>
            <w:shd w:fill="1F3864" w:val="clear"/>
            <w:tcMar>
              <w:top w:type="dxa" w:w="80"/>
              <w:left w:type="dxa" w:w="100"/>
              <w:bottom w:type="dxa" w:w="80"/>
              <w:right w:type="dxa" w:w="100"/>
            </w:tcMar>
            <w:vAlign w:val="center"/>
          </w:tcPr>
          <w:p>
            <w:pPr>
              <w:jc w:val="left"/>
            </w:pPr>
            <w:r>
              <w:rPr>
                <w:b/>
                <w:bCs/>
                <w:color w:val="FFFFFF"/>
                <w:sz w:val="20"/>
                <w:szCs w:val="20"/>
              </w:rPr>
              <w:t xml:space="preserve">Item</w:t>
            </w:r>
          </w:p>
        </w:tc>
        <w:tc>
          <w:tcPr>
            <w:tcW w:type="dxa" w:w="1600"/>
            <w:shd w:fill="1F3864" w:val="clear"/>
            <w:tcMar>
              <w:top w:type="dxa" w:w="80"/>
              <w:left w:type="dxa" w:w="100"/>
              <w:bottom w:type="dxa" w:w="80"/>
              <w:right w:type="dxa" w:w="100"/>
            </w:tcMar>
            <w:vAlign w:val="center"/>
          </w:tcPr>
          <w:p>
            <w:pPr>
              <w:jc w:val="left"/>
            </w:pPr>
            <w:r>
              <w:rPr>
                <w:b/>
                <w:bCs/>
                <w:color w:val="FFFFFF"/>
                <w:sz w:val="20"/>
                <w:szCs w:val="20"/>
              </w:rPr>
              <w:t xml:space="preserve">Owner</w:t>
            </w:r>
          </w:p>
        </w:tc>
        <w:tc>
          <w:tcPr>
            <w:tcW w:type="dxa" w:w="1200"/>
            <w:shd w:fill="1F3864" w:val="clear"/>
            <w:tcMar>
              <w:top w:type="dxa" w:w="80"/>
              <w:left w:type="dxa" w:w="100"/>
              <w:bottom w:type="dxa" w:w="80"/>
              <w:right w:type="dxa" w:w="100"/>
            </w:tcMar>
            <w:vAlign w:val="center"/>
          </w:tcPr>
          <w:p>
            <w:pPr>
              <w:jc w:val="center"/>
            </w:pPr>
            <w:r>
              <w:rPr>
                <w:b/>
                <w:bCs/>
                <w:color w:val="FFFFFF"/>
                <w:sz w:val="20"/>
                <w:szCs w:val="20"/>
              </w:rPr>
              <w:t xml:space="preserve">Status</w:t>
            </w:r>
          </w:p>
        </w:tc>
      </w:tr>
      <w:tr>
        <w:tc>
          <w:tcPr>
            <w:tcW w:type="dxa" w:w="7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1</w:t>
            </w:r>
          </w:p>
        </w:tc>
        <w:tc>
          <w:tcPr>
            <w:tcW w:type="dxa" w:w="6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Unit tests, DQX dry-run and contract schema-diff passed in CI</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DE</w:t>
            </w:r>
          </w:p>
        </w:tc>
        <w:tc>
          <w:tcPr>
            <w:tcW w:type="dxa" w:w="12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2</w:t>
            </w:r>
          </w:p>
        </w:tc>
        <w:tc>
          <w:tcPr>
            <w:tcW w:type="dxa" w:w="6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PR reviewed and approved (2 approvers for qa→main / Gold / SCD2)</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Reviewer(s)</w:t>
            </w:r>
          </w:p>
        </w:tc>
        <w:tc>
          <w:tcPr>
            <w:tcW w:type="dxa" w:w="1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3</w:t>
            </w:r>
          </w:p>
        </w:tc>
        <w:tc>
          <w:tcPr>
            <w:tcW w:type="dxa" w:w="6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Successfully deployed and validated in QA</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DE</w:t>
            </w:r>
          </w:p>
        </w:tc>
        <w:tc>
          <w:tcPr>
            <w:tcW w:type="dxa" w:w="12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4</w:t>
            </w:r>
          </w:p>
        </w:tc>
        <w:tc>
          <w:tcPr>
            <w:tcW w:type="dxa" w:w="6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Audit and lineage entries confirmed populating</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w:t>
            </w:r>
          </w:p>
        </w:tc>
        <w:tc>
          <w:tcPr>
            <w:tcW w:type="dxa" w:w="1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6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Data Contract version bumped and consumer notified if breaking</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DE</w:t>
            </w:r>
          </w:p>
        </w:tc>
        <w:tc>
          <w:tcPr>
            <w:tcW w:type="dxa" w:w="12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6</w:t>
            </w:r>
          </w:p>
        </w:tc>
        <w:tc>
          <w:tcPr>
            <w:tcW w:type="dxa" w:w="6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Analyst UAT sign-off obtained on Gold output</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Analyst</w:t>
            </w:r>
          </w:p>
        </w:tc>
        <w:tc>
          <w:tcPr>
            <w:tcW w:type="dxa" w:w="1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7</w:t>
            </w:r>
          </w:p>
        </w:tc>
        <w:tc>
          <w:tcPr>
            <w:tcW w:type="dxa" w:w="6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Prod release approved by DE Lead</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DE Lead</w:t>
            </w:r>
          </w:p>
        </w:tc>
        <w:tc>
          <w:tcPr>
            <w:tcW w:type="dxa" w:w="12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r>
        <w:tc>
          <w:tcPr>
            <w:tcW w:type="dxa" w:w="7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8</w:t>
            </w:r>
          </w:p>
        </w:tc>
        <w:tc>
          <w:tcPr>
            <w:tcW w:type="dxa" w:w="6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Rollback plan confirmed</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 Lead</w:t>
            </w:r>
          </w:p>
        </w:tc>
        <w:tc>
          <w:tcPr>
            <w:tcW w:type="dxa" w:w="12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w:t>
            </w:r>
          </w:p>
        </w:tc>
      </w:tr>
    </w:tbl>
    <w:p>
      <w:pPr>
        <w:pStyle w:val="Heading1"/>
        <w:spacing w:after="160" w:before="320"/>
      </w:pPr>
      <w:r>
        <w:t xml:space="preserve">17. Additional Standards Suggested</w:t>
      </w:r>
    </w:p>
    <w:p>
      <w:pPr>
        <w:pStyle w:val="ListParagraph"/>
        <w:numPr>
          <w:ilvl w:val="0"/>
          <w:numId w:val="2"/>
        </w:numPr>
        <w:spacing w:after="60"/>
      </w:pPr>
      <w:r>
        <w:rPr>
          <w:b w:val="false"/>
          <w:bCs w:val="false"/>
        </w:rPr>
        <w:t xml:space="preserve">Documentation: auto-generated data dictionary (Section 13).</w:t>
      </w:r>
    </w:p>
    <w:p>
      <w:pPr>
        <w:pStyle w:val="ListParagraph"/>
        <w:numPr>
          <w:ilvl w:val="0"/>
          <w:numId w:val="2"/>
        </w:numPr>
        <w:spacing w:after="60"/>
      </w:pPr>
      <w:r>
        <w:rPr>
          <w:b w:val="false"/>
          <w:bCs w:val="false"/>
        </w:rPr>
        <w:t xml:space="preserve">Contract registry (Section 11.2).</w:t>
      </w:r>
    </w:p>
    <w:p>
      <w:pPr>
        <w:pStyle w:val="ListParagraph"/>
        <w:numPr>
          <w:ilvl w:val="0"/>
          <w:numId w:val="2"/>
        </w:numPr>
        <w:spacing w:after="60"/>
      </w:pPr>
      <w:r>
        <w:rPr>
          <w:b w:val="false"/>
          <w:bCs w:val="false"/>
        </w:rPr>
        <w:t xml:space="preserve">Monitoring &amp; alerting with quarantine thresholds per contract (Section 9.1).</w:t>
      </w:r>
    </w:p>
    <w:p>
      <w:pPr>
        <w:pStyle w:val="ListParagraph"/>
        <w:numPr>
          <w:ilvl w:val="0"/>
          <w:numId w:val="2"/>
        </w:numPr>
        <w:spacing w:after="60"/>
      </w:pPr>
      <w:r>
        <w:rPr>
          <w:b w:val="false"/>
          <w:bCs w:val="false"/>
        </w:rPr>
        <w:t xml:space="preserve">Storage/clustering default of Liquid Clustering (Section 6).</w:t>
      </w:r>
    </w:p>
    <w:p>
      <w:pPr>
        <w:pStyle w:val="ListParagraph"/>
        <w:numPr>
          <w:ilvl w:val="0"/>
          <w:numId w:val="2"/>
        </w:numPr>
        <w:spacing w:after="60"/>
      </w:pPr>
      <w:r>
        <w:rPr>
          <w:b w:val="false"/>
          <w:bCs w:val="false"/>
        </w:rPr>
        <w:t xml:space="preserve">Semantic/glossary alignment: shared glossary of source-system business terms so naming stays consistent across DEs.</w:t>
      </w:r>
    </w:p>
    <w:p>
      <w:pPr>
        <w:pStyle w:val="Heading1"/>
        <w:spacing w:after="160" w:before="320"/>
      </w:pPr>
      <w:r>
        <w:t xml:space="preserve">18. Items to Discuss With the Team (Not Yet Decided)</w:t>
      </w:r>
    </w:p>
    <w:p>
      <w:pPr>
        <w:spacing w:after="120"/>
      </w:pPr>
      <w:r>
        <w:t xml:space="preserve">These are intentionally left open rather than guessed at — each needs a short team conversation before it becomes a standard:</w:t>
      </w:r>
    </w:p>
    <w:p>
      <w:pPr>
        <w:spacing w:after="120"/>
      </w:pPr>
      <w:r>
        <w:rPr>
          <w:b/>
          <w:bCs/>
          <w:color w:val="B03A2E"/>
          <w:sz w:val="20"/>
          <w:szCs w:val="20"/>
        </w:rPr>
        <w:t xml:space="preserve">TBD — pending team discussion: </w:t>
      </w:r>
      <w:r>
        <w:rPr>
          <w:color w:val="B03A2E"/>
          <w:sz w:val="20"/>
          <w:szCs w:val="20"/>
        </w:rPr>
        <w:t xml:space="preserve">Reprocessing/backfill standard — a documented, tested way to reprocess a date range without duplicating data (idempotent merge keys), including how it interacts with the good-shape materialized-view path (can a backfill be triggered on BIS's table, or only on DE-owned Silver?).</w:t>
      </w:r>
    </w:p>
    <w:p>
      <w:pPr>
        <w:spacing w:after="120"/>
      </w:pPr>
      <w:r>
        <w:rPr>
          <w:b/>
          <w:bCs/>
          <w:color w:val="B03A2E"/>
          <w:sz w:val="20"/>
          <w:szCs w:val="20"/>
        </w:rPr>
        <w:t xml:space="preserve">TBD — pending team discussion: </w:t>
      </w:r>
      <w:r>
        <w:rPr>
          <w:color w:val="B03A2E"/>
          <w:sz w:val="20"/>
          <w:szCs w:val="20"/>
        </w:rPr>
        <w:t xml:space="preserve">Cluster/compute standard — job cluster sizing, autoscaling limits, autotermination policy for interactive clusters, and whether/when hard partitioning gets added on top of Liquid Clustering (Section 6).</w:t>
      </w:r>
    </w:p>
    <w:p>
      <w:pPr>
        <w:spacing w:after="120"/>
      </w:pPr>
      <w:r>
        <w:rPr>
          <w:b/>
          <w:bCs/>
          <w:color w:val="B03A2E"/>
          <w:sz w:val="20"/>
          <w:szCs w:val="20"/>
        </w:rPr>
        <w:t xml:space="preserve">TBD — pending team discussion: </w:t>
      </w:r>
      <w:r>
        <w:rPr>
          <w:color w:val="B03A2E"/>
          <w:sz w:val="20"/>
          <w:szCs w:val="20"/>
        </w:rPr>
        <w:t xml:space="preserve">Change management — process for notifying analysts of a schema/grain change beyond the contract's own change_policy (who signs off, how much lead time in practice).</w:t>
      </w:r>
    </w:p>
    <w:p>
      <w:pPr>
        <w:spacing w:after="120"/>
      </w:pPr>
      <w:r>
        <w:rPr>
          <w:b/>
          <w:bCs/>
          <w:color w:val="B03A2E"/>
          <w:sz w:val="20"/>
          <w:szCs w:val="20"/>
        </w:rPr>
        <w:t xml:space="preserve">TBD — pending team discussion: </w:t>
      </w:r>
      <w:r>
        <w:rPr>
          <w:color w:val="B03A2E"/>
          <w:sz w:val="20"/>
          <w:szCs w:val="20"/>
        </w:rPr>
        <w:t xml:space="preserve">Data retention &amp; archival — retention period per layer (BIS backup, DE Silver where built, Gold) and whether/how cold data is archived out of active catalogs.</w:t>
      </w:r>
    </w:p>
    <w:p>
      <w:pPr>
        <w:pStyle w:val="Heading1"/>
        <w:spacing w:after="160" w:before="320"/>
      </w:pPr>
      <w:r>
        <w:t xml:space="preserve">19. Appendix A — Diagram Source (Mermaid)</w:t>
      </w:r>
    </w:p>
    <w:p>
      <w:pPr>
        <w:spacing w:after="120"/>
      </w:pPr>
      <w:r>
        <w:t xml:space="preserve">Rendered versions appear in Sections 2 and 7. Mermaid source is provided here (and as separate .mmd files) so diagrams can be edited directly in any mermaid-compatible tool.</w:t>
      </w:r>
    </w:p>
    <w:p>
      <w:pPr>
        <w:pStyle w:val="Heading2"/>
        <w:spacing w:after="120" w:before="240"/>
      </w:pPr>
      <w:r>
        <w:t xml:space="preserve">A.1 High-Level Architecture</w:t>
      </w:r>
    </w:p>
    <w:p>
      <w:pPr>
        <w:shd w:fill="F5F5F5" w:val="clear"/>
        <w:spacing w:after="40"/>
      </w:pPr>
      <w:r>
        <w:rPr>
          <w:rFonts w:ascii="Consolas" w:cs="Consolas" w:eastAsia="Consolas" w:hAnsi="Consolas"/>
          <w:color w:val="1F3864"/>
          <w:sz w:val="18"/>
          <w:szCs w:val="18"/>
        </w:rPr>
        <w:t xml:space="preserve">flowchart LR</w:t>
      </w:r>
    </w:p>
    <w:p>
      <w:pPr>
        <w:shd w:fill="F5F5F5" w:val="clear"/>
        <w:spacing w:after="40"/>
      </w:pPr>
      <w:r>
        <w:rPr>
          <w:rFonts w:ascii="Consolas" w:cs="Consolas" w:eastAsia="Consolas" w:hAnsi="Consolas"/>
          <w:color w:val="1F3864"/>
          <w:sz w:val="18"/>
          <w:szCs w:val="18"/>
        </w:rPr>
        <w:t xml:space="preserve">  SAP --&gt; BIS[BIS Extraction]</w:t>
      </w:r>
    </w:p>
    <w:p>
      <w:pPr>
        <w:shd w:fill="F5F5F5" w:val="clear"/>
        <w:spacing w:after="40"/>
      </w:pPr>
      <w:r>
        <w:rPr>
          <w:rFonts w:ascii="Consolas" w:cs="Consolas" w:eastAsia="Consolas" w:hAnsi="Consolas"/>
          <w:color w:val="1F3864"/>
          <w:sz w:val="18"/>
          <w:szCs w:val="18"/>
        </w:rPr>
        <w:t xml:space="preserve">  CIO --&gt; BIS</w:t>
      </w:r>
    </w:p>
    <w:p>
      <w:pPr>
        <w:shd w:fill="F5F5F5" w:val="clear"/>
        <w:spacing w:after="40"/>
      </w:pPr>
      <w:r>
        <w:rPr>
          <w:rFonts w:ascii="Consolas" w:cs="Consolas" w:eastAsia="Consolas" w:hAnsi="Consolas"/>
          <w:color w:val="1F3864"/>
          <w:sz w:val="18"/>
          <w:szCs w:val="18"/>
        </w:rPr>
        <w:t xml:space="preserve">  Excel[Raw Excel] --&gt; BIS</w:t>
      </w:r>
    </w:p>
    <w:p>
      <w:pPr>
        <w:shd w:fill="F5F5F5" w:val="clear"/>
        <w:spacing w:after="40"/>
      </w:pPr>
      <w:r>
        <w:rPr>
          <w:rFonts w:ascii="Consolas" w:cs="Consolas" w:eastAsia="Consolas" w:hAnsi="Consolas"/>
          <w:color w:val="1F3864"/>
          <w:sz w:val="18"/>
          <w:szCs w:val="18"/>
        </w:rPr>
        <w:t xml:space="preserve">  API --&gt; BIS</w:t>
      </w:r>
    </w:p>
    <w:p>
      <w:pPr>
        <w:shd w:fill="F5F5F5" w:val="clear"/>
        <w:spacing w:after="40"/>
      </w:pPr>
      <w:r>
        <w:rPr>
          <w:rFonts w:ascii="Consolas" w:cs="Consolas" w:eastAsia="Consolas" w:hAnsi="Consolas"/>
          <w:color w:val="1F3864"/>
          <w:sz w:val="18"/>
          <w:szCs w:val="18"/>
        </w:rPr>
        <w:t xml:space="preserve">  BIS --&gt; RAW[(BIS prod_silver = our RAW)]</w:t>
      </w:r>
    </w:p>
    <w:p>
      <w:pPr>
        <w:shd w:fill="F5F5F5" w:val="clear"/>
        <w:spacing w:after="40"/>
      </w:pPr>
      <w:r>
        <w:rPr>
          <w:rFonts w:ascii="Consolas" w:cs="Consolas" w:eastAsia="Consolas" w:hAnsi="Consolas"/>
          <w:color w:val="1F3864"/>
          <w:sz w:val="18"/>
          <w:szCs w:val="18"/>
        </w:rPr>
        <w:t xml:space="preserve">  RAW -.nightly.-&gt; BACKUP[(Nightly Backup - deep clone)]</w:t>
      </w:r>
    </w:p>
    <w:p>
      <w:pPr>
        <w:shd w:fill="F5F5F5" w:val="clear"/>
        <w:spacing w:after="40"/>
      </w:pPr>
      <w:r>
        <w:rPr>
          <w:rFonts w:ascii="Consolas" w:cs="Consolas" w:eastAsia="Consolas" w:hAnsi="Consolas"/>
          <w:color w:val="1F3864"/>
          <w:sz w:val="18"/>
          <w:szCs w:val="18"/>
        </w:rPr>
        <w:t xml:space="preserve">  RAW --&gt; CHECK{Readiness Checklist}</w:t>
      </w:r>
    </w:p>
    <w:p>
      <w:pPr>
        <w:shd w:fill="F5F5F5" w:val="clear"/>
        <w:spacing w:after="40"/>
      </w:pPr>
      <w:r>
        <w:rPr>
          <w:rFonts w:ascii="Consolas" w:cs="Consolas" w:eastAsia="Consolas" w:hAnsi="Consolas"/>
          <w:color w:val="1F3864"/>
          <w:sz w:val="18"/>
          <w:szCs w:val="18"/>
        </w:rPr>
        <w:t xml:space="preserve">  CHECK --&gt;|good shape| MV[DE Gold - DLT Materialized View on BIS silver]</w:t>
      </w:r>
    </w:p>
    <w:p>
      <w:pPr>
        <w:shd w:fill="F5F5F5" w:val="clear"/>
        <w:spacing w:after="40"/>
      </w:pPr>
      <w:r>
        <w:rPr>
          <w:rFonts w:ascii="Consolas" w:cs="Consolas" w:eastAsia="Consolas" w:hAnsi="Consolas"/>
          <w:color w:val="1F3864"/>
          <w:sz w:val="18"/>
          <w:szCs w:val="18"/>
        </w:rPr>
        <w:t xml:space="preserve">  CHECK --&gt;|not good| SILVER[DE Silver - cleansed]</w:t>
      </w:r>
    </w:p>
    <w:p>
      <w:pPr>
        <w:shd w:fill="F5F5F5" w:val="clear"/>
        <w:spacing w:after="40"/>
      </w:pPr>
      <w:r>
        <w:rPr>
          <w:rFonts w:ascii="Consolas" w:cs="Consolas" w:eastAsia="Consolas" w:hAnsi="Consolas"/>
          <w:color w:val="1F3864"/>
          <w:sz w:val="18"/>
          <w:szCs w:val="18"/>
        </w:rPr>
        <w:t xml:space="preserve">  SILVER --&gt; GOLD[DE Gold]</w:t>
      </w:r>
    </w:p>
    <w:p>
      <w:pPr>
        <w:shd w:fill="F5F5F5" w:val="clear"/>
        <w:spacing w:after="40"/>
      </w:pPr>
      <w:r>
        <w:rPr>
          <w:rFonts w:ascii="Consolas" w:cs="Consolas" w:eastAsia="Consolas" w:hAnsi="Consolas"/>
          <w:color w:val="1F3864"/>
          <w:sz w:val="18"/>
          <w:szCs w:val="18"/>
        </w:rPr>
        <w:t xml:space="preserve">  MV --&gt; ANALYSTS[Analysts / Reporting]</w:t>
      </w:r>
    </w:p>
    <w:p>
      <w:pPr>
        <w:shd w:fill="F5F5F5" w:val="clear"/>
        <w:spacing w:after="40"/>
      </w:pPr>
      <w:r>
        <w:rPr>
          <w:rFonts w:ascii="Consolas" w:cs="Consolas" w:eastAsia="Consolas" w:hAnsi="Consolas"/>
          <w:color w:val="1F3864"/>
          <w:sz w:val="18"/>
          <w:szCs w:val="18"/>
        </w:rPr>
        <w:t xml:space="preserve">  GOLD --&gt; ANALYSTS</w:t>
      </w:r>
    </w:p>
    <w:p>
      <w:pPr>
        <w:pStyle w:val="Heading2"/>
        <w:spacing w:after="120" w:before="240"/>
      </w:pPr>
      <w:r>
        <w:t xml:space="preserve">A.2 CI/CD Branching &amp; Deploy</w:t>
      </w:r>
    </w:p>
    <w:p>
      <w:pPr>
        <w:shd w:fill="F5F5F5" w:val="clear"/>
        <w:spacing w:after="40"/>
      </w:pPr>
      <w:r>
        <w:rPr>
          <w:rFonts w:ascii="Consolas" w:cs="Consolas" w:eastAsia="Consolas" w:hAnsi="Consolas"/>
          <w:color w:val="1F3864"/>
          <w:sz w:val="18"/>
          <w:szCs w:val="18"/>
        </w:rPr>
        <w:t xml:space="preserve">flowchart LR</w:t>
      </w:r>
    </w:p>
    <w:p>
      <w:pPr>
        <w:shd w:fill="F5F5F5" w:val="clear"/>
        <w:spacing w:after="40"/>
      </w:pPr>
      <w:r>
        <w:rPr>
          <w:rFonts w:ascii="Consolas" w:cs="Consolas" w:eastAsia="Consolas" w:hAnsi="Consolas"/>
          <w:color w:val="1F3864"/>
          <w:sz w:val="18"/>
          <w:szCs w:val="18"/>
        </w:rPr>
        <w:t xml:space="preserve">  FEAT[feature/ticket-id-desc] --&gt; CI1[PR + CI checks] --&gt; DEV[(dev branch)]</w:t>
      </w:r>
    </w:p>
    <w:p>
      <w:pPr>
        <w:shd w:fill="F5F5F5" w:val="clear"/>
        <w:spacing w:after="40"/>
      </w:pPr>
      <w:r>
        <w:rPr>
          <w:rFonts w:ascii="Consolas" w:cs="Consolas" w:eastAsia="Consolas" w:hAnsi="Consolas"/>
          <w:color w:val="1F3864"/>
          <w:sz w:val="18"/>
          <w:szCs w:val="18"/>
        </w:rPr>
        <w:t xml:space="preserve">  DEV --&gt;|on merge| DDEV[bundle deploy -t dev]</w:t>
      </w:r>
    </w:p>
    <w:p>
      <w:pPr>
        <w:shd w:fill="F5F5F5" w:val="clear"/>
        <w:spacing w:after="40"/>
      </w:pPr>
      <w:r>
        <w:rPr>
          <w:rFonts w:ascii="Consolas" w:cs="Consolas" w:eastAsia="Consolas" w:hAnsi="Consolas"/>
          <w:color w:val="1F3864"/>
          <w:sz w:val="18"/>
          <w:szCs w:val="18"/>
        </w:rPr>
        <w:t xml:space="preserve">  DEV --&gt; CI2[PR + CI checks] --&gt; QA[(qa branch)]</w:t>
      </w:r>
    </w:p>
    <w:p>
      <w:pPr>
        <w:shd w:fill="F5F5F5" w:val="clear"/>
        <w:spacing w:after="40"/>
      </w:pPr>
      <w:r>
        <w:rPr>
          <w:rFonts w:ascii="Consolas" w:cs="Consolas" w:eastAsia="Consolas" w:hAnsi="Consolas"/>
          <w:color w:val="1F3864"/>
          <w:sz w:val="18"/>
          <w:szCs w:val="18"/>
        </w:rPr>
        <w:t xml:space="preserve">  QA --&gt;|on merge| DQA[bundle deploy -t qa]</w:t>
      </w:r>
    </w:p>
    <w:p>
      <w:pPr>
        <w:shd w:fill="F5F5F5" w:val="clear"/>
        <w:spacing w:after="40"/>
      </w:pPr>
      <w:r>
        <w:rPr>
          <w:rFonts w:ascii="Consolas" w:cs="Consolas" w:eastAsia="Consolas" w:hAnsi="Consolas"/>
          <w:color w:val="1F3864"/>
          <w:sz w:val="18"/>
          <w:szCs w:val="18"/>
        </w:rPr>
        <w:t xml:space="preserve">  QA --&gt; CI3[PR + CI checks - 2 approvers] --&gt; MAIN[(main / prod branch)]</w:t>
      </w:r>
    </w:p>
    <w:p>
      <w:pPr>
        <w:shd w:fill="F5F5F5" w:val="clear"/>
        <w:spacing w:after="40"/>
      </w:pPr>
      <w:r>
        <w:rPr>
          <w:rFonts w:ascii="Consolas" w:cs="Consolas" w:eastAsia="Consolas" w:hAnsi="Consolas"/>
          <w:color w:val="1F3864"/>
          <w:sz w:val="18"/>
          <w:szCs w:val="18"/>
        </w:rPr>
        <w:t xml:space="preserve">  MAIN --&gt;|on merge| DPROD[bundle deploy -t prod]</w:t>
      </w:r>
    </w:p>
    <w:p>
      <w:pPr>
        <w:shd w:fill="F5F5F5" w:val="clear"/>
        <w:spacing w:after="40"/>
      </w:pPr>
      <w:r>
        <w:rPr>
          <w:rFonts w:ascii="Consolas" w:cs="Consolas" w:eastAsia="Consolas" w:hAnsi="Consolas"/>
          <w:color w:val="1F3864"/>
          <w:sz w:val="18"/>
          <w:szCs w:val="18"/>
        </w:rPr>
        <w:t xml:space="preserve">  HOTFIX[hotfix/ticket-id-desc] --&gt; CI4[Expedited PR - DE Lead approval] --&gt; MAIN</w:t>
      </w:r>
    </w:p>
    <w:p>
      <w:pPr>
        <w:shd w:fill="F5F5F5" w:val="clear"/>
        <w:spacing w:after="40"/>
      </w:pPr>
      <w:r>
        <w:rPr>
          <w:rFonts w:ascii="Consolas" w:cs="Consolas" w:eastAsia="Consolas" w:hAnsi="Consolas"/>
          <w:color w:val="1F3864"/>
          <w:sz w:val="18"/>
          <w:szCs w:val="18"/>
        </w:rPr>
        <w:t xml:space="preserve">  MAIN -.back-merge same day.-&gt; QA</w:t>
      </w:r>
    </w:p>
    <w:p>
      <w:pPr>
        <w:shd w:fill="F5F5F5" w:val="clear"/>
        <w:spacing w:after="40"/>
      </w:pPr>
      <w:r>
        <w:rPr>
          <w:rFonts w:ascii="Consolas" w:cs="Consolas" w:eastAsia="Consolas" w:hAnsi="Consolas"/>
          <w:color w:val="1F3864"/>
          <w:sz w:val="18"/>
          <w:szCs w:val="18"/>
        </w:rPr>
        <w:t xml:space="preserve">  QA -.back-merge.-&gt; DEV</w:t>
      </w:r>
    </w:p>
    <w:p>
      <w:pPr>
        <w:spacing w:before="300"/>
      </w:pPr>
    </w:p>
    <w:p>
      <w:pPr>
        <w:spacing w:after="160"/>
      </w:pPr>
      <w:r>
        <w:rPr>
          <w:i/>
          <w:iCs/>
          <w:color w:val="555555"/>
          <w:sz w:val="20"/>
          <w:szCs w:val="20"/>
        </w:rPr>
        <w:t xml:space="preserve">End of document. Living standard — review quarterly, after major incidents, or when a new source is onboarded.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aftermarketdbx — DE Standards &amp; Governance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a01f437113f93f7a7023e5da89d9fed678aa62.png"/><Relationship Id="rId10" Type="http://schemas.openxmlformats.org/officeDocument/2006/relationships/image" Target="media/193d95f69a87de0e20ebfac326dcd9229dbf9b1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2026-09-17T23:50:07.148Z</dcterms:created>
  <dcterms:modified xsi:type="dcterms:W3CDTF">2026-09-17T23:50:07.148Z</dcterms:modified>
</cp:coreProperties>
</file>

<file path=docProps/custom.xml><?xml version="1.0" encoding="utf-8"?>
<Properties xmlns="http://schemas.openxmlformats.org/officeDocument/2006/custom-properties" xmlns:vt="http://schemas.openxmlformats.org/officeDocument/2006/docPropsVTypes"/>
</file>