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864"/>
          <w:sz w:val="40"/>
          <w:szCs w:val="40"/>
        </w:rPr>
        <w:t xml:space="preserve">Migration Approach &amp; Suggestions</w:t>
      </w:r>
    </w:p>
    <w:p>
      <w:pPr>
        <w:spacing w:after="100" w:before="200"/>
        <w:jc w:val="center"/>
      </w:pPr>
      <w:r>
        <w:rPr>
          <w:color w:val="2E5395"/>
          <w:sz w:val="22"/>
          <w:szCs w:val="22"/>
        </w:rPr>
        <w:t xml:space="preserve">aftermarketdbx — For Discussion / Showcase (companion to the DE Standards document, not itself a standard)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Version 1.0  |  2026-09-17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20"/>
      </w:pPr>
      <w:r>
        <w:t xml:space="preserve">This is a separate, non-binding companion to the DE Standards &amp; Governance Framework. It captures suggested planning tools — a migration methodology, a wave sequencing approach, and a worked Azure Boards example — for team discussion and stakeholder showcase. Nothing here needs sign-off; it's a starting point to react to.</w:t>
      </w:r>
    </w:p>
    <w:p>
      <w:pPr>
        <w:pStyle w:val="Heading1"/>
        <w:spacing w:after="160" w:before="320"/>
      </w:pPr>
      <w:r>
        <w:t xml:space="preserve">2. Recommended 5-Phase Migration Methodology</w:t>
      </w:r>
    </w:p>
    <w:p>
      <w:pPr>
        <w:spacing w:after="120"/>
      </w:pPr>
      <w:r>
        <w:t xml:space="preserve">Based on Databricks' published migration methodology ("Databricks Migration Strategy: Lessons Learned", Databricks Blog, Oct 2024), which reflects patterns from their Professional Services team across many customer migrations.</w:t>
      </w:r>
    </w:p>
    <w:p>
      <w:pPr>
        <w:jc w:val="center"/>
      </w:pPr>
      <w:r>
        <w:drawing>
          <wp:inline distT="0" distB="0" distL="0" distR="0">
            <wp:extent cx="53340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00"/>
      </w:tblGrid>
      <w:t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Discovery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 why we're migrating and the constraints of the current system; stakeholder Q&amp;A and architecture discussions; profile the legacy workload to estimate scope and cost.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Assessment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complexity of existing code/pipelines in depth; refine scope; identify what can be retired outright rather than migrated.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Strategy &amp; Design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Finalize target architecture and detailed design for data migration, transformation logic, and reporting; map source-to-target; agree tooling and delivery approach.</w:t>
            </w:r>
          </w:p>
        </w:tc>
      </w:tr>
      <w:tr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Production Pilot</w:t>
            </w:r>
          </w:p>
        </w:tc>
        <w:tc>
          <w:tcPr>
            <w:tcW w:type="dxa" w:w="7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Migrate one clearly defined, valuable end-to-end use case first (data, code, and reports) to prove the pattern and surface real issues early; capture lessons in a retro before scaling.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Execution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Repeat the pilot pattern at scale across remaining sources/tables, applying lessons learned, typically in parallel agile sprints.</w:t>
            </w:r>
          </w:p>
        </w:tc>
      </w:tr>
    </w:tbl>
    <w:p>
      <w:pPr>
        <w:pStyle w:val="Heading2"/>
        <w:spacing w:after="120" w:before="240"/>
      </w:pPr>
      <w:r>
        <w:t xml:space="preserve">Key lessons worth carrying into this 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Think big, start small: pick one meaningful, end-to-end use case for the pilot rather than a trivial one — a real reporting dashboard end-to-end tells you more than a toy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Automate discovery where possible: use profiling/metadata scans rather than relying only on interviews, to get an honest picture of usage and complexity.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 migration is separate work from code/pipeline migration — plan historic/catch-up loads and ongoing ingestion as their own workstream, not an afterthought.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Don't skip governance: Unity Catalog access control, auditing, and lineage should be part of the design from the start, not retrofitted.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Validate with business SMEs: real user-acceptance testing and data reconciliation against the old system builds the trust needed to decommission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Operationalize before declaring done: quality checks, exception handling, reprocessing, and pipeline observability are what make a migration "real" in production, not just a one-time load.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Source: Komninos, Shah, Bhatt, Sharma &amp; Léturgez, "Databricks Migration Strategy: Lessons Learned," Databricks Blog, Oct 23, 2024 — databricks.com/blog/databricks-migration-strategy-lessons-learned.</w:t>
      </w:r>
    </w:p>
    <w:p>
      <w:pPr>
        <w:pStyle w:val="Heading1"/>
        <w:spacing w:after="160" w:before="320"/>
      </w:pPr>
      <w:r>
        <w:t xml:space="preserve">3. Wave-Based Rollout Strategy</w:t>
      </w:r>
    </w:p>
    <w:p>
      <w:pPr>
        <w:spacing w:after="120"/>
      </w:pPr>
      <w:r>
        <w:t xml:space="preserve">Rather than migrating all ~100+ tables/pipelines at once, group them into waves by business criticality and complexity. This keeps the Production Pilot (Phase 4 above) contained, and lets Wave 1 double as the pilot.</w:t>
      </w:r>
    </w:p>
    <w:p>
      <w:pPr>
        <w:jc w:val="center"/>
      </w:pPr>
      <w:r>
        <w:drawing>
          <wp:inline distT="0" distB="0" distL="0" distR="0">
            <wp:extent cx="49530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0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candidates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 1 — Critical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business criticality, relatively well-understood source, clear consuming team ready for UAT. Doubles as the pilot.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on Hand, Finance GL summary — anything with a well-known BIS source and an eager analyst partner.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 2 — Important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Meaningful business value, moderate complexity; benefits directly from Wave 1's lessons/framework reuse.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Procurement, sales reporting variants.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Wave 3 — Remaining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urgency, long-tail or low-usage tables; good fit once the framework and standards are stable.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Everything else, including newly onboarded Excel/API sources.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Wave assignment should be a short workshop with business stakeholders, not a purely technical call — criticality is a business judgment.</w:t>
      </w:r>
    </w:p>
    <w:p>
      <w:pPr>
        <w:pStyle w:val="Heading1"/>
        <w:spacing w:after="160" w:before="320"/>
      </w:pPr>
      <w:r>
        <w:t xml:space="preserve">4. Azure Boards — Worked Example</w:t>
      </w:r>
    </w:p>
    <w:p>
      <w:pPr>
        <w:spacing w:after="120"/>
      </w:pPr>
      <w:r>
        <w:t xml:space="preserve">Illustrates the hierarchy set in the Standards document (Section 7.6): Epic = the migration project itself, Feature = per source system, User Story = per table, Task = per delivery step.</w:t>
      </w:r>
    </w:p>
    <w:p>
      <w:pPr>
        <w:jc w:val="center"/>
      </w:pPr>
      <w:r>
        <w:drawing>
          <wp:inline distT="0" distB="0" distL="0" distR="0">
            <wp:extent cx="4953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Example board (Sprint view)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 Do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PR Review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 QA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gold_vendor_master (SAP)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gold_material_master (SAP)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gold_gl_summary (SAP)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gold_stock_on_hand (SAP)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 Excel: pricing file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DQX rules: gold_customer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review: gold_sales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UAT: gold_finance_gl</w:t>
            </w:r>
          </w:p>
        </w:tc>
      </w:tr>
    </w:tbl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"Done" column omitted here for space — in practice it lists items deployed to Prod with sign-off recorded per the Release Checklist.</w:t>
      </w:r>
    </w:p>
    <w:p>
      <w:pPr>
        <w:spacing w:before="30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This document is a discussion aid — update freely without going through the standards change-control process.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5"/>
        <w:szCs w:val="15"/>
      </w:rPr>
      <w:t xml:space="preserve">aftermarketdbx — Migration Approach &amp; Suggestions (companion, not a standard)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e28210b05ee109a044e4019f5f713b9085052d5.png"/><Relationship Id="rId10" Type="http://schemas.openxmlformats.org/officeDocument/2006/relationships/image" Target="media/68825f18ce3702d1b2d14552eecbe0452f0ff751.png"/><Relationship Id="rId11" Type="http://schemas.openxmlformats.org/officeDocument/2006/relationships/image" Target="media/39138331f9f73d9bb77db9d24beaeb2e515b86b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2026-09-17T23:51:36.148Z</dcterms:created>
  <dcterms:modified xsi:type="dcterms:W3CDTF">2026-09-17T23:51:36.148Z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