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864"/>
          <w:sz w:val="44"/>
          <w:szCs w:val="44"/>
        </w:rPr>
        <w:t xml:space="preserve">Data Engineering Standards &amp; Governance Framework</w:t>
      </w:r>
    </w:p>
    <w:p>
      <w:pPr>
        <w:spacing w:after="100" w:before="200"/>
        <w:jc w:val="center"/>
      </w:pPr>
      <w:r>
        <w:rPr>
          <w:color w:val="2E5395"/>
          <w:sz w:val="26"/>
          <w:szCs w:val="26"/>
        </w:rPr>
        <w:t xml:space="preserve">aftermarketdbx — Synapse to Databricks Migration</w:t>
      </w:r>
    </w:p>
    <w:p>
      <w:pPr>
        <w:spacing w:before="400"/>
        <w:jc w:val="center"/>
      </w:pPr>
      <w:r>
        <w:rPr>
          <w:color w:val="666666"/>
          <w:sz w:val="22"/>
          <w:szCs w:val="22"/>
        </w:rPr>
        <w:t xml:space="preserve">Version 3.1  |  Draft  |  2026-10-13</w:t>
      </w:r>
    </w:p>
    <w:p>
      <w:r>
        <w:br w:type="page"/>
      </w:r>
    </w:p>
    <w:p>
      <w:pPr>
        <w:pStyle w:val="Heading1"/>
        <w:spacing w:after="160" w:before="32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Purpose &amp; Scope</w:t>
      </w:r>
    </w:p>
    <w:p>
      <w:pPr>
        <w:spacing w:after="120"/>
      </w:pPr>
      <w:r>
        <w:t xml:space="preserve">This document defines the minimum standards the Data Engineering (DE) team follows to migrate the existing Synapse pipelines and views to Databricks. It is the single reference for design, build, and release.</w:t>
      </w:r>
    </w:p>
    <w:p>
      <w:pPr>
        <w:pStyle w:val="ListParagraph"/>
        <w:numPr>
          <w:ilvl w:val="0"/>
          <w:numId w:val="2"/>
        </w:numPr>
        <w:spacing w:after="60"/>
      </w:pPr>
      <w:r>
        <w:rPr>
          <w:b w:val="false"/>
          <w:bCs w:val="false"/>
        </w:rPr>
        <w:t xml:space="preserve">In scope: migrating Synapse items (pipelines and views) to Databricks, and the standards those migrated items must follow.</w:t>
      </w:r>
    </w:p>
    <w:p>
      <w:pPr>
        <w:pStyle w:val="ListParagraph"/>
        <w:numPr>
          <w:ilvl w:val="0"/>
          <w:numId w:val="2"/>
        </w:numPr>
        <w:spacing w:after="60"/>
      </w:pPr>
      <w:r>
        <w:rPr>
          <w:b w:val="false"/>
          <w:bCs w:val="false"/>
        </w:rPr>
        <w:t xml:space="preserve">Out of scope: Azure AD / group and workspace access setup, and compute (SQL warehouse) provisioning — owned by BIS / Central IT.</w:t>
      </w:r>
    </w:p>
    <w:p>
      <w:pPr>
        <w:pStyle w:val="Heading1"/>
        <w:spacing w:after="160" w:before="320"/>
      </w:pPr>
      <w:r>
        <w:t xml:space="preserve">2. Current vs. Proposed Architecture</w:t>
      </w:r>
    </w:p>
    <w:p>
      <w:pPr>
        <w:pStyle w:val="Heading2"/>
        <w:spacing w:after="120" w:before="240"/>
      </w:pPr>
      <w:r>
        <w:t xml:space="preserve">2.1 Current State — Synapse</w:t>
      </w:r>
    </w:p>
    <w:p>
      <w:pPr>
        <w:spacing w:after="120"/>
      </w:pPr>
      <w:r>
        <w:t xml:space="preserve">SAP GUI exports land on a network drive, an Auto Loader job moves them into Azure Storage, Synapse pipelines transform them into Silver parquet files, and analysts query views built on those files.</w:t>
      </w:r>
    </w:p>
    <w:p>
      <w:pPr>
        <w:jc w:val="center"/>
      </w:pPr>
      <w:r>
        <w:drawing>
          <wp:inline distT="0" distB="0" distL="0" distR="0">
            <wp:extent cx="59055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14325"/>
                    </a:xfrm>
                    <a:prstGeom prst="rect">
                      <a:avLst/>
                    </a:prstGeom>
                  </pic:spPr>
                </pic:pic>
              </a:graphicData>
            </a:graphic>
          </wp:inline>
        </w:drawing>
      </w:r>
    </w:p>
    <w:p>
      <w:pPr>
        <w:pStyle w:val="Heading2"/>
        <w:spacing w:after="120" w:before="240"/>
      </w:pPr>
      <w:r>
        <w:t xml:space="preserve">2.2 Proposed State — Databricks</w:t>
      </w:r>
    </w:p>
    <w:p>
      <w:pPr>
        <w:spacing w:after="120"/>
      </w:pPr>
      <w:r>
        <w:t xml:space="preserve">BIS extracts the source systems into its own prod_silver tables, which DE treats as raw input. If the BIS table is in good shape, DE builds Gold as a materialized view directly on it; if not, DE builds its own Silver first and then Gold. Analysts consume Gold only.</w:t>
      </w:r>
    </w:p>
    <w:p>
      <w:pPr>
        <w:jc w:val="center"/>
      </w:pPr>
      <w:r>
        <w:drawing>
          <wp:inline distT="0" distB="0" distL="0" distR="0">
            <wp:extent cx="59055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619250"/>
                    </a:xfrm>
                    <a:prstGeom prst="rect">
                      <a:avLst/>
                    </a:prstGeom>
                  </pic:spPr>
                </pic:pic>
              </a:graphicData>
            </a:graphic>
          </wp:inline>
        </w:drawing>
      </w:r>
    </w:p>
    <w:p>
      <w:pPr>
        <w:pStyle w:val="Heading1"/>
        <w:spacing w:after="160" w:before="320"/>
      </w:pPr>
      <w:r>
        <w:t xml:space="preserve">3. Layer &amp; Design Standards</w:t>
      </w:r>
    </w:p>
    <w:p>
      <w:pPr>
        <w:pStyle w:val="Heading2"/>
        <w:spacing w:after="120" w:before="240"/>
      </w:pPr>
      <w:r>
        <w:t xml:space="preserve">3.1 Raw (BIS prod_silver)</w:t>
      </w:r>
    </w:p>
    <w:p>
      <w:pPr>
        <w:pStyle w:val="ListParagraph"/>
        <w:numPr>
          <w:ilvl w:val="0"/>
          <w:numId w:val="2"/>
        </w:numPr>
        <w:spacing w:after="60"/>
      </w:pPr>
      <w:r>
        <w:rPr>
          <w:b w:val="false"/>
          <w:bCs w:val="false"/>
        </w:rPr>
        <w:t xml:space="preserve">Treated as read-only input. DE does not write to BIS tables.</w:t>
      </w:r>
    </w:p>
    <w:p>
      <w:pPr>
        <w:pStyle w:val="Heading2"/>
        <w:spacing w:after="120" w:before="240"/>
      </w:pPr>
      <w:r>
        <w:t xml:space="preserve">3.2 Silver (DE-owned, only when needed)</w:t>
      </w:r>
    </w:p>
    <w:p>
      <w:pPr>
        <w:pStyle w:val="ListParagraph"/>
        <w:numPr>
          <w:ilvl w:val="0"/>
          <w:numId w:val="2"/>
        </w:numPr>
        <w:spacing w:after="60"/>
      </w:pPr>
      <w:r>
        <w:rPr>
          <w:b w:val="false"/>
          <w:bCs w:val="false"/>
        </w:rPr>
        <w:t xml:space="preserve">Built only when the BIS table is not in good shape (dirty keys, unreliable schema, unclear delete behavior).</w:t>
      </w:r>
    </w:p>
    <w:p>
      <w:pPr>
        <w:pStyle w:val="ListParagraph"/>
        <w:numPr>
          <w:ilvl w:val="0"/>
          <w:numId w:val="2"/>
        </w:numPr>
        <w:spacing w:after="60"/>
      </w:pPr>
      <w:r>
        <w:rPr>
          <w:b w:val="false"/>
          <w:bCs w:val="false"/>
        </w:rPr>
        <w:t xml:space="preserve">Holds cleansing, standard data types, deduplication, and conformed keys. DQX checks run on write (Section 10).</w:t>
      </w:r>
    </w:p>
    <w:p>
      <w:pPr>
        <w:pStyle w:val="Heading2"/>
        <w:spacing w:after="120" w:before="240"/>
      </w:pPr>
      <w:r>
        <w:t xml:space="preserve">3.3 Gold (DE-owned, analyst-facing)</w:t>
      </w:r>
    </w:p>
    <w:p>
      <w:pPr>
        <w:pStyle w:val="ListParagraph"/>
        <w:numPr>
          <w:ilvl w:val="0"/>
          <w:numId w:val="2"/>
        </w:numPr>
        <w:spacing w:after="60"/>
      </w:pPr>
      <w:r>
        <w:rPr>
          <w:b w:val="false"/>
          <w:bCs w:val="false"/>
        </w:rPr>
        <w:t xml:space="preserve">Materialized views are the default for Gold. Build on BIS silver directly when it is in good shape, otherwise on DE Silver.</w:t>
      </w:r>
    </w:p>
    <w:p>
      <w:pPr>
        <w:pStyle w:val="ListParagraph"/>
        <w:numPr>
          <w:ilvl w:val="0"/>
          <w:numId w:val="2"/>
        </w:numPr>
        <w:spacing w:after="60"/>
      </w:pPr>
      <w:r>
        <w:rPr>
          <w:b w:val="false"/>
          <w:bCs w:val="false"/>
        </w:rPr>
        <w:t xml:space="preserve">Every Gold object has a data contract (Section 4) before go-live.</w:t>
      </w:r>
    </w:p>
    <w:p>
      <w:pPr>
        <w:spacing w:after="120"/>
      </w:pPr>
      <w:r>
        <w:t xml:space="preserve">Standard materialized view pattern, using automatic liquid clustering by default, or explicit columns when the query pattern is known:</w:t>
      </w:r>
    </w:p>
    <w:p>
      <w:pPr>
        <w:shd w:fill="F5F5F5" w:val="clear"/>
        <w:spacing w:after="0"/>
      </w:pPr>
      <w:r>
        <w:rPr>
          <w:rFonts w:ascii="Consolas" w:cs="Consolas" w:eastAsia="Consolas" w:hAnsi="Consolas"/>
          <w:color w:val="1F3864"/>
          <w:sz w:val="18"/>
          <w:szCs w:val="18"/>
        </w:rPr>
        <w:t xml:space="preserve">CREATE OR REPLACE MATERIALIZED VIEW &lt;catalog&gt;.&lt;schema&gt;.mv_&lt;business_entity&gt;</w:t>
      </w:r>
    </w:p>
    <w:p>
      <w:pPr>
        <w:shd w:fill="F5F5F5" w:val="clear"/>
        <w:spacing w:after="0"/>
      </w:pPr>
      <w:r>
        <w:rPr>
          <w:rFonts w:ascii="Consolas" w:cs="Consolas" w:eastAsia="Consolas" w:hAnsi="Consolas"/>
          <w:color w:val="1F3864"/>
          <w:sz w:val="18"/>
          <w:szCs w:val="18"/>
        </w:rPr>
        <w:t xml:space="preserve">CLUSTER BY AUTO          -- or: CLUSTER BY (&lt;column_1&gt;, &lt;column_2&gt;)</w:t>
      </w:r>
    </w:p>
    <w:p>
      <w:pPr>
        <w:shd w:fill="F5F5F5" w:val="clear"/>
        <w:spacing w:after="0"/>
      </w:pPr>
      <w:r>
        <w:rPr>
          <w:rFonts w:ascii="Consolas" w:cs="Consolas" w:eastAsia="Consolas" w:hAnsi="Consolas"/>
          <w:color w:val="1F3864"/>
          <w:sz w:val="18"/>
          <w:szCs w:val="18"/>
        </w:rPr>
        <w:t xml:space="preserve">AS</w:t>
      </w:r>
    </w:p>
    <w:p>
      <w:pPr>
        <w:shd w:fill="F5F5F5" w:val="clear"/>
        <w:spacing w:after="0"/>
      </w:pPr>
      <w:r>
        <w:rPr>
          <w:rFonts w:ascii="Consolas" w:cs="Consolas" w:eastAsia="Consolas" w:hAnsi="Consolas"/>
          <w:color w:val="1F3864"/>
          <w:sz w:val="18"/>
          <w:szCs w:val="18"/>
        </w:rPr>
        <w:t xml:space="preserve">SELECT ...</w:t>
      </w:r>
    </w:p>
    <w:p>
      <w:pPr>
        <w:shd w:fill="F5F5F5" w:val="clear"/>
        <w:spacing w:after="0"/>
      </w:pPr>
      <w:r>
        <w:rPr>
          <w:rFonts w:ascii="Consolas" w:cs="Consolas" w:eastAsia="Consolas" w:hAnsi="Consolas"/>
          <w:color w:val="1F3864"/>
          <w:sz w:val="18"/>
          <w:szCs w:val="18"/>
        </w:rPr>
        <w:t xml:space="preserve">FROM &lt;source_table&gt;;</w:t>
      </w:r>
    </w:p>
    <w:p>
      <w:pPr>
        <w:spacing w:after="160"/>
      </w:pPr>
      <w:r>
        <w:rPr>
          <w:i/>
          <w:iCs/>
          <w:color w:val="555555"/>
          <w:sz w:val="20"/>
          <w:szCs w:val="20"/>
        </w:rPr>
        <w:t xml:space="preserve">Hard partitioning is not used by default; revisit per table only if a real need appears.</w:t>
      </w:r>
    </w:p>
    <w:p>
      <w:pPr>
        <w:pStyle w:val="Heading2"/>
        <w:spacing w:after="120" w:before="240"/>
      </w:pPr>
      <w:r>
        <w:t xml:space="preserve">3.4 Soft-Deleted Records</w:t>
      </w:r>
    </w:p>
    <w:p>
      <w:pPr>
        <w:pStyle w:val="ListParagraph"/>
        <w:numPr>
          <w:ilvl w:val="0"/>
          <w:numId w:val="2"/>
        </w:numPr>
        <w:spacing w:after="60"/>
      </w:pPr>
      <w:r>
        <w:rPr>
          <w:b w:val="false"/>
          <w:bCs w:val="false"/>
        </w:rPr>
        <w:t xml:space="preserve">Where the source marks deletes with a flag instead of removing rows, deletes are carried through as state (is_deleted), never hard-deleted on ingestion.</w:t>
      </w:r>
    </w:p>
    <w:p>
      <w:pPr>
        <w:pStyle w:val="ListParagraph"/>
        <w:numPr>
          <w:ilvl w:val="0"/>
          <w:numId w:val="2"/>
        </w:numPr>
        <w:spacing w:after="60"/>
      </w:pPr>
      <w:r>
        <w:rPr>
          <w:b w:val="false"/>
          <w:bCs w:val="false"/>
        </w:rPr>
        <w:t xml:space="preserve">Gold hides deleted rows by default (is_deleted = false) unless the contract states otherwise.</w:t>
      </w:r>
    </w:p>
    <w:p>
      <w:pPr>
        <w:pStyle w:val="Heading2"/>
        <w:spacing w:after="120" w:before="240"/>
      </w:pPr>
      <w:r>
        <w:t xml:space="preserve">3.5 Date &amp; Time</w:t>
      </w:r>
    </w:p>
    <w:p>
      <w:pPr>
        <w:pStyle w:val="ListParagraph"/>
        <w:numPr>
          <w:ilvl w:val="0"/>
          <w:numId w:val="2"/>
        </w:numPr>
        <w:spacing w:after="60"/>
      </w:pPr>
      <w:r>
        <w:rPr>
          <w:b/>
          <w:bCs/>
        </w:rPr>
        <w:t xml:space="preserve">All dates and datetimes are stored in UTC, unless BIS specifies otherwise for a given source (confirmed by BIS).</w:t>
      </w:r>
    </w:p>
    <w:p>
      <w:pPr>
        <w:pStyle w:val="ListParagraph"/>
        <w:numPr>
          <w:ilvl w:val="0"/>
          <w:numId w:val="2"/>
        </w:numPr>
        <w:spacing w:after="60"/>
      </w:pPr>
      <w:r>
        <w:rPr>
          <w:b w:val="false"/>
          <w:bCs w:val="false"/>
        </w:rPr>
        <w:t xml:space="preserve">Any non-UTC value must be declared in that table's data contract.</w:t>
      </w:r>
    </w:p>
    <w:p>
      <w:pPr>
        <w:pStyle w:val="Heading1"/>
        <w:spacing w:after="160" w:before="320"/>
      </w:pPr>
      <w:r>
        <w:t xml:space="preserve">4. Data Contract (Mandatory)</w:t>
      </w:r>
    </w:p>
    <w:p>
      <w:pPr>
        <w:spacing w:after="120"/>
      </w:pPr>
      <w:r>
        <w:t xml:space="preserve">Every Gold table must have a data contract before it is released. No contract, no release. The contract is a YAML file that states what the table promises its consumers: owner, grain, schema, refresh timing, quality rules and thresholds, and change policy.</w:t>
      </w:r>
    </w:p>
    <w:p>
      <w:pPr>
        <w:pStyle w:val="ListParagraph"/>
        <w:numPr>
          <w:ilvl w:val="0"/>
          <w:numId w:val="2"/>
        </w:numPr>
        <w:spacing w:after="60"/>
      </w:pPr>
      <w:r>
        <w:rPr>
          <w:b w:val="false"/>
          <w:bCs w:val="false"/>
        </w:rPr>
        <w:t xml:space="preserve">Location: contracts/&lt;catalog&gt;.&lt;schema&gt;.&lt;table&gt;/contract.yaml, at the root of the bundle repo (Section 8), so it is versioned and reviewed with the code.</w:t>
      </w:r>
    </w:p>
    <w:p>
      <w:pPr>
        <w:pStyle w:val="ListParagraph"/>
        <w:numPr>
          <w:ilvl w:val="0"/>
          <w:numId w:val="2"/>
        </w:numPr>
        <w:spacing w:after="60"/>
      </w:pPr>
      <w:r>
        <w:rPr>
          <w:b w:val="false"/>
          <w:bCs w:val="false"/>
        </w:rPr>
        <w:t xml:space="preserve">Created in the feature branch and reviewed in the same PR as the table it describes.</w:t>
      </w:r>
    </w:p>
    <w:p>
      <w:pPr>
        <w:pStyle w:val="ListParagraph"/>
        <w:numPr>
          <w:ilvl w:val="0"/>
          <w:numId w:val="2"/>
        </w:numPr>
        <w:spacing w:after="60"/>
      </w:pPr>
      <w:r>
        <w:rPr>
          <w:b w:val="false"/>
          <w:bCs w:val="false"/>
        </w:rPr>
        <w:t xml:space="preserve">A breaking change to a contract requires a version bump and notice to its consumers.</w:t>
      </w:r>
    </w:p>
    <w:p>
      <w:pPr>
        <w:pStyle w:val="ListParagraph"/>
        <w:numPr>
          <w:ilvl w:val="0"/>
          <w:numId w:val="2"/>
        </w:numPr>
        <w:spacing w:after="60"/>
      </w:pPr>
      <w:r>
        <w:rPr>
          <w:b/>
          <w:bCs/>
        </w:rPr>
        <w:t xml:space="preserve">Template: download the mandatory contract template (v1) from SharePoint — [SharePoint link to be added]. Do not create contracts from scratch.</w:t>
      </w:r>
    </w:p>
    <w:p>
      <w:pPr>
        <w:pStyle w:val="Heading1"/>
        <w:spacing w:after="160" w:before="320"/>
      </w:pPr>
      <w:r>
        <w:t xml:space="preserve">5. Environment &amp; Catalog</w:t>
      </w:r>
    </w:p>
    <w:p>
      <w:pPr>
        <w:spacing w:after="120"/>
      </w:pPr>
      <w:r>
        <w:t xml:space="preserve">Catalogs and schemas are created and named by BIS; DE does not control them. Values are left blank to be filled in.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000"/>
        <w:gridCol w:w="2200"/>
        <w:gridCol w:w="2200"/>
      </w:tblGrid>
      <w:tr>
        <w:tc>
          <w:tcPr>
            <w:tcW w:type="dxa" w:w="1500"/>
            <w:shd w:fill="1F3864" w:val="clear"/>
            <w:tcMar>
              <w:top w:type="dxa" w:w="80"/>
              <w:left w:type="dxa" w:w="100"/>
              <w:bottom w:type="dxa" w:w="80"/>
              <w:right w:type="dxa" w:w="100"/>
            </w:tcMar>
            <w:vAlign w:val="center"/>
          </w:tcPr>
          <w:p>
            <w:r>
              <w:rPr>
                <w:b/>
                <w:bCs/>
                <w:color w:val="FFFFFF"/>
                <w:sz w:val="20"/>
                <w:szCs w:val="20"/>
              </w:rPr>
              <w:t xml:space="preserve">Environment</w:t>
            </w:r>
          </w:p>
        </w:tc>
        <w:tc>
          <w:tcPr>
            <w:tcW w:type="dxa" w:w="1900"/>
            <w:shd w:fill="1F3864" w:val="clear"/>
            <w:tcMar>
              <w:top w:type="dxa" w:w="80"/>
              <w:left w:type="dxa" w:w="100"/>
              <w:bottom w:type="dxa" w:w="80"/>
              <w:right w:type="dxa" w:w="100"/>
            </w:tcMar>
            <w:vAlign w:val="center"/>
          </w:tcPr>
          <w:p>
            <w:r>
              <w:rPr>
                <w:b/>
                <w:bCs/>
                <w:color w:val="FFFFFF"/>
                <w:sz w:val="20"/>
                <w:szCs w:val="20"/>
              </w:rPr>
              <w:t xml:space="preserve">BIS Catalog ID</w:t>
            </w:r>
          </w:p>
        </w:tc>
        <w:tc>
          <w:tcPr>
            <w:tcW w:type="dxa" w:w="2000"/>
            <w:shd w:fill="1F3864" w:val="clear"/>
            <w:tcMar>
              <w:top w:type="dxa" w:w="80"/>
              <w:left w:type="dxa" w:w="100"/>
              <w:bottom w:type="dxa" w:w="80"/>
              <w:right w:type="dxa" w:w="100"/>
            </w:tcMar>
            <w:vAlign w:val="center"/>
          </w:tcPr>
          <w:p>
            <w:r>
              <w:rPr>
                <w:b/>
                <w:bCs/>
                <w:color w:val="FFFFFF"/>
                <w:sz w:val="20"/>
                <w:szCs w:val="20"/>
              </w:rPr>
              <w:t xml:space="preserve">Catalog Name</w:t>
            </w:r>
          </w:p>
        </w:tc>
        <w:tc>
          <w:tcPr>
            <w:tcW w:type="dxa" w:w="2200"/>
            <w:shd w:fill="1F3864" w:val="clear"/>
            <w:tcMar>
              <w:top w:type="dxa" w:w="80"/>
              <w:left w:type="dxa" w:w="100"/>
              <w:bottom w:type="dxa" w:w="80"/>
              <w:right w:type="dxa" w:w="100"/>
            </w:tcMar>
            <w:vAlign w:val="center"/>
          </w:tcPr>
          <w:p>
            <w:r>
              <w:rPr>
                <w:b/>
                <w:bCs/>
                <w:color w:val="FFFFFF"/>
                <w:sz w:val="20"/>
                <w:szCs w:val="20"/>
              </w:rPr>
              <w:t xml:space="preserve">Schema(s)</w:t>
            </w:r>
          </w:p>
        </w:tc>
        <w:tc>
          <w:tcPr>
            <w:tcW w:type="dxa" w:w="2200"/>
            <w:shd w:fill="1F3864" w:val="clear"/>
            <w:tcMar>
              <w:top w:type="dxa" w:w="80"/>
              <w:left w:type="dxa" w:w="100"/>
              <w:bottom w:type="dxa" w:w="80"/>
              <w:right w:type="dxa" w:w="100"/>
            </w:tcMar>
            <w:vAlign w:val="center"/>
          </w:tcPr>
          <w:p>
            <w:r>
              <w:rPr>
                <w:b/>
                <w:bCs/>
                <w:color w:val="FFFFFF"/>
                <w:sz w:val="20"/>
                <w:szCs w:val="20"/>
              </w:rPr>
              <w:t xml:space="preserve">Volume Name</w:t>
            </w:r>
          </w:p>
        </w:tc>
      </w:tr>
      <w:tr>
        <w:tc>
          <w:tcPr>
            <w:tcW w:type="dxa" w:w="1500"/>
            <w:shd w:fill="FFFFFF" w:val="clear"/>
            <w:tcMar>
              <w:top w:type="dxa" w:w="80"/>
              <w:left w:type="dxa" w:w="100"/>
              <w:bottom w:type="dxa" w:w="80"/>
              <w:right w:type="dxa" w:w="100"/>
            </w:tcMar>
            <w:vAlign w:val="center"/>
          </w:tcPr>
          <w:p>
            <w:r>
              <w:rPr>
                <w:b w:val="false"/>
                <w:bCs w:val="false"/>
                <w:color w:val="000000"/>
                <w:sz w:val="20"/>
                <w:szCs w:val="20"/>
              </w:rPr>
              <w:t xml:space="preserve">Dev</w:t>
            </w:r>
          </w:p>
        </w:tc>
        <w:tc>
          <w:tcPr>
            <w:tcW w:type="dxa" w:w="1900"/>
            <w:shd w:fill="FFFFFF" w:val="clear"/>
            <w:tcMar>
              <w:top w:type="dxa" w:w="80"/>
              <w:left w:type="dxa" w:w="100"/>
              <w:bottom w:type="dxa" w:w="80"/>
              <w:right w:type="dxa" w:w="100"/>
            </w:tcMar>
            <w:vAlign w:val="center"/>
          </w:tcPr>
          <w:p>
            <w:r>
              <w:rPr>
                <w:b w:val="false"/>
                <w:bCs w:val="false"/>
                <w:color w:val="000000"/>
                <w:sz w:val="20"/>
                <w:szCs w:val="20"/>
              </w:rPr>
              <w:t xml:space="preserve">name-601</w:t>
            </w:r>
          </w:p>
        </w:tc>
        <w:tc>
          <w:tcPr>
            <w:tcW w:type="dxa" w:w="2000"/>
            <w:shd w:fill="FFFFFF" w:val="clear"/>
            <w:tcMar>
              <w:top w:type="dxa" w:w="80"/>
              <w:left w:type="dxa" w:w="100"/>
              <w:bottom w:type="dxa" w:w="80"/>
              <w:right w:type="dxa" w:w="100"/>
            </w:tcMar>
            <w:vAlign w:val="center"/>
          </w:tcPr>
          <w:p>
            <w:r>
              <w:rPr>
                <w:b w:val="false"/>
                <w:bCs w:val="false"/>
                <w:color w:val="000000"/>
                <w:sz w:val="20"/>
                <w:szCs w:val="20"/>
              </w:rPr>
              <w:t xml:space="preserve">__________</w:t>
            </w:r>
          </w:p>
        </w:tc>
        <w:tc>
          <w:tcPr>
            <w:tcW w:type="dxa" w:w="2200"/>
            <w:shd w:fill="FFFFFF" w:val="clear"/>
            <w:tcMar>
              <w:top w:type="dxa" w:w="80"/>
              <w:left w:type="dxa" w:w="100"/>
              <w:bottom w:type="dxa" w:w="80"/>
              <w:right w:type="dxa" w:w="100"/>
            </w:tcMar>
            <w:vAlign w:val="center"/>
          </w:tcPr>
          <w:p>
            <w:r>
              <w:rPr>
                <w:b w:val="false"/>
                <w:bCs w:val="false"/>
                <w:color w:val="000000"/>
                <w:sz w:val="20"/>
                <w:szCs w:val="20"/>
              </w:rPr>
              <w:t xml:space="preserve">__________</w:t>
            </w:r>
          </w:p>
        </w:tc>
        <w:tc>
          <w:tcPr>
            <w:tcW w:type="dxa" w:w="2200"/>
            <w:shd w:fill="FFFFFF" w:val="clear"/>
            <w:tcMar>
              <w:top w:type="dxa" w:w="80"/>
              <w:left w:type="dxa" w:w="100"/>
              <w:bottom w:type="dxa" w:w="80"/>
              <w:right w:type="dxa" w:w="100"/>
            </w:tcMar>
            <w:vAlign w:val="center"/>
          </w:tcPr>
          <w:p>
            <w:r>
              <w:rPr>
                <w:b w:val="false"/>
                <w:bCs w:val="false"/>
                <w:color w:val="000000"/>
                <w:sz w:val="20"/>
                <w:szCs w:val="20"/>
              </w:rPr>
              <w:t xml:space="preserve">__________</w:t>
            </w:r>
          </w:p>
        </w:tc>
      </w:tr>
      <w:tr>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QA</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name-301</w:t>
            </w:r>
          </w:p>
        </w:tc>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__________</w:t>
            </w:r>
          </w:p>
        </w:tc>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__________</w:t>
            </w:r>
          </w:p>
        </w:tc>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__________</w:t>
            </w:r>
          </w:p>
        </w:tc>
      </w:tr>
      <w:tr>
        <w:tc>
          <w:tcPr>
            <w:tcW w:type="dxa" w:w="1500"/>
            <w:shd w:fill="FFFFFF" w:val="clear"/>
            <w:tcMar>
              <w:top w:type="dxa" w:w="80"/>
              <w:left w:type="dxa" w:w="100"/>
              <w:bottom w:type="dxa" w:w="80"/>
              <w:right w:type="dxa" w:w="100"/>
            </w:tcMar>
            <w:vAlign w:val="center"/>
          </w:tcPr>
          <w:p>
            <w:r>
              <w:rPr>
                <w:b w:val="false"/>
                <w:bCs w:val="false"/>
                <w:color w:val="000000"/>
                <w:sz w:val="20"/>
                <w:szCs w:val="20"/>
              </w:rPr>
              <w:t xml:space="preserve">Prod</w:t>
            </w:r>
          </w:p>
        </w:tc>
        <w:tc>
          <w:tcPr>
            <w:tcW w:type="dxa" w:w="1900"/>
            <w:shd w:fill="FFFFFF" w:val="clear"/>
            <w:tcMar>
              <w:top w:type="dxa" w:w="80"/>
              <w:left w:type="dxa" w:w="100"/>
              <w:bottom w:type="dxa" w:w="80"/>
              <w:right w:type="dxa" w:w="100"/>
            </w:tcMar>
            <w:vAlign w:val="center"/>
          </w:tcPr>
          <w:p>
            <w:r>
              <w:rPr>
                <w:b w:val="false"/>
                <w:bCs w:val="false"/>
                <w:color w:val="000000"/>
                <w:sz w:val="20"/>
                <w:szCs w:val="20"/>
              </w:rPr>
              <w:t xml:space="preserve">name-101</w:t>
            </w:r>
          </w:p>
        </w:tc>
        <w:tc>
          <w:tcPr>
            <w:tcW w:type="dxa" w:w="2000"/>
            <w:shd w:fill="FFFFFF" w:val="clear"/>
            <w:tcMar>
              <w:top w:type="dxa" w:w="80"/>
              <w:left w:type="dxa" w:w="100"/>
              <w:bottom w:type="dxa" w:w="80"/>
              <w:right w:type="dxa" w:w="100"/>
            </w:tcMar>
            <w:vAlign w:val="center"/>
          </w:tcPr>
          <w:p>
            <w:r>
              <w:rPr>
                <w:b w:val="false"/>
                <w:bCs w:val="false"/>
                <w:color w:val="000000"/>
                <w:sz w:val="20"/>
                <w:szCs w:val="20"/>
              </w:rPr>
              <w:t xml:space="preserve">__________</w:t>
            </w:r>
          </w:p>
        </w:tc>
        <w:tc>
          <w:tcPr>
            <w:tcW w:type="dxa" w:w="2200"/>
            <w:shd w:fill="FFFFFF" w:val="clear"/>
            <w:tcMar>
              <w:top w:type="dxa" w:w="80"/>
              <w:left w:type="dxa" w:w="100"/>
              <w:bottom w:type="dxa" w:w="80"/>
              <w:right w:type="dxa" w:w="100"/>
            </w:tcMar>
            <w:vAlign w:val="center"/>
          </w:tcPr>
          <w:p>
            <w:r>
              <w:rPr>
                <w:b w:val="false"/>
                <w:bCs w:val="false"/>
                <w:color w:val="000000"/>
                <w:sz w:val="20"/>
                <w:szCs w:val="20"/>
              </w:rPr>
              <w:t xml:space="preserve">__________</w:t>
            </w:r>
          </w:p>
        </w:tc>
        <w:tc>
          <w:tcPr>
            <w:tcW w:type="dxa" w:w="2200"/>
            <w:shd w:fill="FFFFFF" w:val="clear"/>
            <w:tcMar>
              <w:top w:type="dxa" w:w="80"/>
              <w:left w:type="dxa" w:w="100"/>
              <w:bottom w:type="dxa" w:w="80"/>
              <w:right w:type="dxa" w:w="100"/>
            </w:tcMar>
            <w:vAlign w:val="center"/>
          </w:tcPr>
          <w:p>
            <w:r>
              <w:rPr>
                <w:b w:val="false"/>
                <w:bCs w:val="false"/>
                <w:color w:val="000000"/>
                <w:sz w:val="20"/>
                <w:szCs w:val="20"/>
              </w:rPr>
              <w:t xml:space="preserve">__________</w:t>
            </w:r>
          </w:p>
        </w:tc>
      </w:tr>
    </w:tbl>
    <w:p>
      <w:pPr>
        <w:spacing w:after="160"/>
      </w:pPr>
      <w:r>
        <w:rPr>
          <w:i/>
          <w:iCs/>
          <w:color w:val="555555"/>
          <w:sz w:val="20"/>
          <w:szCs w:val="20"/>
        </w:rPr>
        <w:t xml:space="preserve">If a new schema or volume is needed, DE raises a request to BIS.</w:t>
      </w:r>
    </w:p>
    <w:p>
      <w:pPr>
        <w:spacing w:after="120"/>
      </w:pPr>
      <w:r>
        <w:t xml:space="preserve">Compute: queries and materialized views run on a SQL warehouse. Warehouse setup and sizing are BIS responsibility; a DE compute standard may be defined in future.</w:t>
      </w:r>
    </w:p>
    <w:p>
      <w:pPr>
        <w:pStyle w:val="Heading1"/>
        <w:spacing w:after="160" w:before="320"/>
      </w:pPr>
      <w:r>
        <w:t xml:space="preserve">6. Naming Conventions</w:t>
      </w:r>
    </w:p>
    <w:p>
      <w:pPr>
        <w:pStyle w:val="Heading2"/>
        <w:spacing w:after="120" w:before="240"/>
      </w:pPr>
      <w:r>
        <w:t xml:space="preserve">6.1 Principles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c>
          <w:tcPr>
            <w:tcW w:type="dxa" w:w="3000"/>
            <w:shd w:fill="1F3864" w:val="clear"/>
            <w:tcMar>
              <w:top w:type="dxa" w:w="80"/>
              <w:left w:type="dxa" w:w="100"/>
              <w:bottom w:type="dxa" w:w="80"/>
              <w:right w:type="dxa" w:w="100"/>
            </w:tcMar>
            <w:vAlign w:val="center"/>
          </w:tcPr>
          <w:p>
            <w:r>
              <w:rPr>
                <w:b/>
                <w:bCs/>
                <w:color w:val="FFFFFF"/>
                <w:sz w:val="20"/>
                <w:szCs w:val="20"/>
              </w:rPr>
              <w:t xml:space="preserve">Standard</w:t>
            </w:r>
          </w:p>
        </w:tc>
        <w:tc>
          <w:tcPr>
            <w:tcW w:type="dxa" w:w="6800"/>
            <w:shd w:fill="1F3864" w:val="clear"/>
            <w:tcMar>
              <w:top w:type="dxa" w:w="80"/>
              <w:left w:type="dxa" w:w="100"/>
              <w:bottom w:type="dxa" w:w="80"/>
              <w:right w:type="dxa" w:w="100"/>
            </w:tcMar>
            <w:vAlign w:val="center"/>
          </w:tcPr>
          <w:p>
            <w:r>
              <w:rPr>
                <w:b/>
                <w:bCs/>
                <w:color w:val="FFFFFF"/>
                <w:sz w:val="20"/>
                <w:szCs w:val="20"/>
              </w:rPr>
              <w:t xml:space="preserve">Rule</w:t>
            </w:r>
          </w:p>
        </w:tc>
      </w:tr>
      <w:tr>
        <w:tc>
          <w:tcPr>
            <w:tcW w:type="dxa" w:w="3000"/>
            <w:shd w:fill="FFFFFF" w:val="clear"/>
            <w:tcMar>
              <w:top w:type="dxa" w:w="80"/>
              <w:left w:type="dxa" w:w="100"/>
              <w:bottom w:type="dxa" w:w="80"/>
              <w:right w:type="dxa" w:w="100"/>
            </w:tcMar>
            <w:vAlign w:val="center"/>
          </w:tcPr>
          <w:p>
            <w:r>
              <w:rPr>
                <w:b w:val="false"/>
                <w:bCs w:val="false"/>
                <w:color w:val="000000"/>
                <w:sz w:val="20"/>
                <w:szCs w:val="20"/>
              </w:rPr>
              <w:t xml:space="preserve">Native Terminology</w:t>
            </w:r>
          </w:p>
        </w:tc>
        <w:tc>
          <w:tcPr>
            <w:tcW w:type="dxa" w:w="6800"/>
            <w:shd w:fill="FFFFFF" w:val="clear"/>
            <w:tcMar>
              <w:top w:type="dxa" w:w="80"/>
              <w:left w:type="dxa" w:w="100"/>
              <w:bottom w:type="dxa" w:w="80"/>
              <w:right w:type="dxa" w:w="100"/>
            </w:tcMar>
            <w:vAlign w:val="center"/>
          </w:tcPr>
          <w:p>
            <w:r>
              <w:rPr>
                <w:b w:val="false"/>
                <w:bCs w:val="false"/>
                <w:color w:val="000000"/>
                <w:sz w:val="20"/>
                <w:szCs w:val="20"/>
              </w:rPr>
              <w:t xml:space="preserve">Use the platform's official object name.</w:t>
            </w:r>
          </w:p>
        </w:tc>
      </w:tr>
      <w:tr>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Consistency</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Same prefix pattern across all projects.</w:t>
            </w:r>
          </w:p>
        </w:tc>
      </w:tr>
      <w:tr>
        <w:tc>
          <w:tcPr>
            <w:tcW w:type="dxa" w:w="3000"/>
            <w:shd w:fill="FFFFFF" w:val="clear"/>
            <w:tcMar>
              <w:top w:type="dxa" w:w="80"/>
              <w:left w:type="dxa" w:w="100"/>
              <w:bottom w:type="dxa" w:w="80"/>
              <w:right w:type="dxa" w:w="100"/>
            </w:tcMar>
            <w:vAlign w:val="center"/>
          </w:tcPr>
          <w:p>
            <w:r>
              <w:rPr>
                <w:b w:val="false"/>
                <w:bCs w:val="false"/>
                <w:color w:val="000000"/>
                <w:sz w:val="20"/>
                <w:szCs w:val="20"/>
              </w:rPr>
              <w:t xml:space="preserve">Business Meaning</w:t>
            </w:r>
          </w:p>
        </w:tc>
        <w:tc>
          <w:tcPr>
            <w:tcW w:type="dxa" w:w="6800"/>
            <w:shd w:fill="FFFFFF" w:val="clear"/>
            <w:tcMar>
              <w:top w:type="dxa" w:w="80"/>
              <w:left w:type="dxa" w:w="100"/>
              <w:bottom w:type="dxa" w:w="80"/>
              <w:right w:type="dxa" w:w="100"/>
            </w:tcMar>
            <w:vAlign w:val="center"/>
          </w:tcPr>
          <w:p>
            <w:r>
              <w:rPr>
                <w:b w:val="false"/>
                <w:bCs w:val="false"/>
                <w:color w:val="000000"/>
                <w:sz w:val="20"/>
                <w:szCs w:val="20"/>
              </w:rPr>
              <w:t xml:space="preserve">Name should describe the business process or data domain.</w:t>
            </w:r>
          </w:p>
        </w:tc>
      </w:tr>
      <w:tr>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Lowercase</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Use lowercase with underscores.</w:t>
            </w:r>
          </w:p>
        </w:tc>
      </w:tr>
      <w:tr>
        <w:tc>
          <w:tcPr>
            <w:tcW w:type="dxa" w:w="3000"/>
            <w:shd w:fill="FFFFFF" w:val="clear"/>
            <w:tcMar>
              <w:top w:type="dxa" w:w="80"/>
              <w:left w:type="dxa" w:w="100"/>
              <w:bottom w:type="dxa" w:w="80"/>
              <w:right w:type="dxa" w:w="100"/>
            </w:tcMar>
            <w:vAlign w:val="center"/>
          </w:tcPr>
          <w:p>
            <w:r>
              <w:rPr>
                <w:b w:val="false"/>
                <w:bCs w:val="false"/>
                <w:color w:val="000000"/>
                <w:sz w:val="20"/>
                <w:szCs w:val="20"/>
              </w:rPr>
              <w:t xml:space="preserve">No Personal Names</w:t>
            </w:r>
          </w:p>
        </w:tc>
        <w:tc>
          <w:tcPr>
            <w:tcW w:type="dxa" w:w="6800"/>
            <w:shd w:fill="FFFFFF" w:val="clear"/>
            <w:tcMar>
              <w:top w:type="dxa" w:w="80"/>
              <w:left w:type="dxa" w:w="100"/>
              <w:bottom w:type="dxa" w:w="80"/>
              <w:right w:type="dxa" w:w="100"/>
            </w:tcMar>
            <w:vAlign w:val="center"/>
          </w:tcPr>
          <w:p>
            <w:r>
              <w:rPr>
                <w:b w:val="false"/>
                <w:bCs w:val="false"/>
                <w:color w:val="000000"/>
                <w:sz w:val="20"/>
                <w:szCs w:val="20"/>
              </w:rPr>
              <w:t xml:space="preserve">Do not include employee or team names.</w:t>
            </w:r>
          </w:p>
        </w:tc>
      </w:tr>
      <w:tr>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No Versions</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Do not use _v1, _v2, _final, etc.</w:t>
            </w:r>
          </w:p>
        </w:tc>
      </w:tr>
      <w:tr>
        <w:tc>
          <w:tcPr>
            <w:tcW w:type="dxa" w:w="3000"/>
            <w:shd w:fill="FFFFFF" w:val="clear"/>
            <w:tcMar>
              <w:top w:type="dxa" w:w="80"/>
              <w:left w:type="dxa" w:w="100"/>
              <w:bottom w:type="dxa" w:w="80"/>
              <w:right w:type="dxa" w:w="100"/>
            </w:tcMar>
            <w:vAlign w:val="center"/>
          </w:tcPr>
          <w:p>
            <w:r>
              <w:rPr>
                <w:b w:val="false"/>
                <w:bCs w:val="false"/>
                <w:color w:val="000000"/>
                <w:sz w:val="20"/>
                <w:szCs w:val="20"/>
              </w:rPr>
              <w:t xml:space="preserve">No Environment Names</w:t>
            </w:r>
          </w:p>
        </w:tc>
        <w:tc>
          <w:tcPr>
            <w:tcW w:type="dxa" w:w="6800"/>
            <w:shd w:fill="FFFFFF" w:val="clear"/>
            <w:tcMar>
              <w:top w:type="dxa" w:w="80"/>
              <w:left w:type="dxa" w:w="100"/>
              <w:bottom w:type="dxa" w:w="80"/>
              <w:right w:type="dxa" w:w="100"/>
            </w:tcMar>
            <w:vAlign w:val="center"/>
          </w:tcPr>
          <w:p>
            <w:r>
              <w:rPr>
                <w:b w:val="false"/>
                <w:bCs w:val="false"/>
                <w:color w:val="000000"/>
                <w:sz w:val="20"/>
                <w:szCs w:val="20"/>
              </w:rPr>
              <w:t xml:space="preserve">Do not include _dev, _uat, _prod.</w:t>
            </w:r>
          </w:p>
        </w:tc>
      </w:tr>
      <w:tr>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Avoid Unnecessary Abbreviations</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Use abbreviations only if widely understood (SAP, SOH, SKU).</w:t>
            </w:r>
          </w:p>
        </w:tc>
      </w:tr>
      <w:tr>
        <w:tc>
          <w:tcPr>
            <w:tcW w:type="dxa" w:w="3000"/>
            <w:shd w:fill="FFFFFF" w:val="clear"/>
            <w:tcMar>
              <w:top w:type="dxa" w:w="80"/>
              <w:left w:type="dxa" w:w="100"/>
              <w:bottom w:type="dxa" w:w="80"/>
              <w:right w:type="dxa" w:w="100"/>
            </w:tcMar>
            <w:vAlign w:val="center"/>
          </w:tcPr>
          <w:p>
            <w:r>
              <w:rPr>
                <w:b w:val="false"/>
                <w:bCs w:val="false"/>
                <w:color w:val="000000"/>
                <w:sz w:val="20"/>
                <w:szCs w:val="20"/>
              </w:rPr>
              <w:t xml:space="preserve">One Object, One Purpose</w:t>
            </w:r>
          </w:p>
        </w:tc>
        <w:tc>
          <w:tcPr>
            <w:tcW w:type="dxa" w:w="6800"/>
            <w:shd w:fill="FFFFFF" w:val="clear"/>
            <w:tcMar>
              <w:top w:type="dxa" w:w="80"/>
              <w:left w:type="dxa" w:w="100"/>
              <w:bottom w:type="dxa" w:w="80"/>
              <w:right w:type="dxa" w:w="100"/>
            </w:tcMar>
            <w:vAlign w:val="center"/>
          </w:tcPr>
          <w:p>
            <w:r>
              <w:rPr>
                <w:b w:val="false"/>
                <w:bCs w:val="false"/>
                <w:color w:val="000000"/>
                <w:sz w:val="20"/>
                <w:szCs w:val="20"/>
              </w:rPr>
              <w:t xml:space="preserve">Object name should clearly indicate its purpose.</w:t>
            </w:r>
          </w:p>
        </w:tc>
      </w:tr>
    </w:tbl>
    <w:p>
      <w:pPr>
        <w:pStyle w:val="Heading2"/>
        <w:spacing w:after="120" w:before="240"/>
      </w:pPr>
      <w:r>
        <w:t xml:space="preserve">6.2 Object Naming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3500"/>
        <w:gridCol w:w="3500"/>
      </w:tblGrid>
      <w:tr>
        <w:tc>
          <w:tcPr>
            <w:tcW w:type="dxa" w:w="1900"/>
            <w:shd w:fill="1F3864" w:val="clear"/>
            <w:tcMar>
              <w:top w:type="dxa" w:w="80"/>
              <w:left w:type="dxa" w:w="100"/>
              <w:bottom w:type="dxa" w:w="80"/>
              <w:right w:type="dxa" w:w="100"/>
            </w:tcMar>
            <w:vAlign w:val="center"/>
          </w:tcPr>
          <w:p>
            <w:r>
              <w:rPr>
                <w:b/>
                <w:bCs/>
                <w:color w:val="FFFFFF"/>
                <w:sz w:val="20"/>
                <w:szCs w:val="20"/>
              </w:rPr>
              <w:t xml:space="preserve">Object Type</w:t>
            </w:r>
          </w:p>
        </w:tc>
        <w:tc>
          <w:tcPr>
            <w:tcW w:type="dxa" w:w="900"/>
            <w:shd w:fill="1F3864" w:val="clear"/>
            <w:tcMar>
              <w:top w:type="dxa" w:w="80"/>
              <w:left w:type="dxa" w:w="100"/>
              <w:bottom w:type="dxa" w:w="80"/>
              <w:right w:type="dxa" w:w="100"/>
            </w:tcMar>
            <w:vAlign w:val="center"/>
          </w:tcPr>
          <w:p>
            <w:r>
              <w:rPr>
                <w:b/>
                <w:bCs/>
                <w:color w:val="FFFFFF"/>
                <w:sz w:val="20"/>
                <w:szCs w:val="20"/>
              </w:rPr>
              <w:t xml:space="preserve">Prefix</w:t>
            </w:r>
          </w:p>
        </w:tc>
        <w:tc>
          <w:tcPr>
            <w:tcW w:type="dxa" w:w="3500"/>
            <w:shd w:fill="1F3864" w:val="clear"/>
            <w:tcMar>
              <w:top w:type="dxa" w:w="80"/>
              <w:left w:type="dxa" w:w="100"/>
              <w:bottom w:type="dxa" w:w="80"/>
              <w:right w:type="dxa" w:w="100"/>
            </w:tcMar>
            <w:vAlign w:val="center"/>
          </w:tcPr>
          <w:p>
            <w:r>
              <w:rPr>
                <w:b/>
                <w:bCs/>
                <w:color w:val="FFFFFF"/>
                <w:sz w:val="20"/>
                <w:szCs w:val="20"/>
              </w:rPr>
              <w:t xml:space="preserve">Naming Pattern</w:t>
            </w:r>
          </w:p>
        </w:tc>
        <w:tc>
          <w:tcPr>
            <w:tcW w:type="dxa" w:w="3500"/>
            <w:shd w:fill="1F3864" w:val="clear"/>
            <w:tcMar>
              <w:top w:type="dxa" w:w="80"/>
              <w:left w:type="dxa" w:w="100"/>
              <w:bottom w:type="dxa" w:w="80"/>
              <w:right w:type="dxa" w:w="100"/>
            </w:tcMar>
            <w:vAlign w:val="center"/>
          </w:tcPr>
          <w:p>
            <w:r>
              <w:rPr>
                <w:b/>
                <w:bCs/>
                <w:color w:val="FFFFFF"/>
                <w:sz w:val="20"/>
                <w:szCs w:val="20"/>
              </w:rPr>
              <w:t xml:space="preserve">Example</w:t>
            </w:r>
          </w:p>
        </w:tc>
      </w:tr>
      <w:tr>
        <w:tc>
          <w:tcPr>
            <w:tcW w:type="dxa" w:w="1900"/>
            <w:shd w:fill="FFFFFF" w:val="clear"/>
            <w:tcMar>
              <w:top w:type="dxa" w:w="80"/>
              <w:left w:type="dxa" w:w="100"/>
              <w:bottom w:type="dxa" w:w="80"/>
              <w:right w:type="dxa" w:w="100"/>
            </w:tcMar>
            <w:vAlign w:val="center"/>
          </w:tcPr>
          <w:p>
            <w:r>
              <w:rPr>
                <w:b w:val="false"/>
                <w:bCs w:val="false"/>
                <w:color w:val="000000"/>
                <w:sz w:val="20"/>
                <w:szCs w:val="20"/>
              </w:rPr>
              <w:t xml:space="preserve">Job</w:t>
            </w:r>
          </w:p>
        </w:tc>
        <w:tc>
          <w:tcPr>
            <w:tcW w:type="dxa" w:w="900"/>
            <w:shd w:fill="FFFFFF" w:val="clear"/>
            <w:tcMar>
              <w:top w:type="dxa" w:w="80"/>
              <w:left w:type="dxa" w:w="100"/>
              <w:bottom w:type="dxa" w:w="80"/>
              <w:right w:type="dxa" w:w="100"/>
            </w:tcMar>
            <w:vAlign w:val="center"/>
          </w:tcPr>
          <w:p>
            <w:r>
              <w:rPr>
                <w:b w:val="false"/>
                <w:bCs w:val="false"/>
                <w:color w:val="000000"/>
                <w:sz w:val="20"/>
                <w:szCs w:val="20"/>
              </w:rPr>
              <w:t xml:space="preserve">job_</w:t>
            </w:r>
          </w:p>
        </w:tc>
        <w:tc>
          <w:tcPr>
            <w:tcW w:type="dxa" w:w="3500"/>
            <w:shd w:fill="FFFFFF" w:val="clear"/>
            <w:tcMar>
              <w:top w:type="dxa" w:w="80"/>
              <w:left w:type="dxa" w:w="100"/>
              <w:bottom w:type="dxa" w:w="80"/>
              <w:right w:type="dxa" w:w="100"/>
            </w:tcMar>
            <w:vAlign w:val="center"/>
          </w:tcPr>
          <w:p>
            <w:r>
              <w:rPr>
                <w:b w:val="false"/>
                <w:bCs w:val="false"/>
                <w:color w:val="000000"/>
                <w:sz w:val="20"/>
                <w:szCs w:val="20"/>
              </w:rPr>
              <w:t xml:space="preserve">job_&lt;domain&gt;_&lt;action&gt;</w:t>
            </w:r>
          </w:p>
        </w:tc>
        <w:tc>
          <w:tcPr>
            <w:tcW w:type="dxa" w:w="3500"/>
            <w:shd w:fill="FFFFFF" w:val="clear"/>
            <w:tcMar>
              <w:top w:type="dxa" w:w="80"/>
              <w:left w:type="dxa" w:w="100"/>
              <w:bottom w:type="dxa" w:w="80"/>
              <w:right w:type="dxa" w:w="100"/>
            </w:tcMar>
            <w:vAlign w:val="center"/>
          </w:tcPr>
          <w:p>
            <w:r>
              <w:rPr>
                <w:b w:val="false"/>
                <w:bCs w:val="false"/>
                <w:color w:val="000000"/>
                <w:sz w:val="20"/>
                <w:szCs w:val="20"/>
              </w:rPr>
              <w:t xml:space="preserve">job_inventory_refresh</w:t>
            </w:r>
          </w:p>
        </w:tc>
      </w:tr>
      <w:tr>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Notebook</w:t>
            </w:r>
          </w:p>
        </w:tc>
        <w:tc>
          <w:tcPr>
            <w:tcW w:type="dxa" w:w="900"/>
            <w:shd w:fill="F2F2F2" w:val="clear"/>
            <w:tcMar>
              <w:top w:type="dxa" w:w="80"/>
              <w:left w:type="dxa" w:w="100"/>
              <w:bottom w:type="dxa" w:w="80"/>
              <w:right w:type="dxa" w:w="100"/>
            </w:tcMar>
            <w:vAlign w:val="center"/>
          </w:tcPr>
          <w:p>
            <w:r>
              <w:rPr>
                <w:b w:val="false"/>
                <w:bCs w:val="false"/>
                <w:color w:val="000000"/>
                <w:sz w:val="20"/>
                <w:szCs w:val="20"/>
              </w:rPr>
              <w:t xml:space="preserve">nb_</w:t>
            </w:r>
          </w:p>
        </w:tc>
        <w:tc>
          <w:tcPr>
            <w:tcW w:type="dxa" w:w="3500"/>
            <w:shd w:fill="F2F2F2" w:val="clear"/>
            <w:tcMar>
              <w:top w:type="dxa" w:w="80"/>
              <w:left w:type="dxa" w:w="100"/>
              <w:bottom w:type="dxa" w:w="80"/>
              <w:right w:type="dxa" w:w="100"/>
            </w:tcMar>
            <w:vAlign w:val="center"/>
          </w:tcPr>
          <w:p>
            <w:r>
              <w:rPr>
                <w:b w:val="false"/>
                <w:bCs w:val="false"/>
                <w:color w:val="000000"/>
                <w:sz w:val="20"/>
                <w:szCs w:val="20"/>
              </w:rPr>
              <w:t xml:space="preserve">nb_&lt;domain&gt;_&lt;action&gt;</w:t>
            </w:r>
          </w:p>
        </w:tc>
        <w:tc>
          <w:tcPr>
            <w:tcW w:type="dxa" w:w="3500"/>
            <w:shd w:fill="F2F2F2" w:val="clear"/>
            <w:tcMar>
              <w:top w:type="dxa" w:w="80"/>
              <w:left w:type="dxa" w:w="100"/>
              <w:bottom w:type="dxa" w:w="80"/>
              <w:right w:type="dxa" w:w="100"/>
            </w:tcMar>
            <w:vAlign w:val="center"/>
          </w:tcPr>
          <w:p>
            <w:r>
              <w:rPr>
                <w:b w:val="false"/>
                <w:bCs w:val="false"/>
                <w:color w:val="000000"/>
                <w:sz w:val="20"/>
                <w:szCs w:val="20"/>
              </w:rPr>
              <w:t xml:space="preserve">nb_inventory_transform</w:t>
            </w:r>
          </w:p>
        </w:tc>
      </w:tr>
      <w:tr>
        <w:tc>
          <w:tcPr>
            <w:tcW w:type="dxa" w:w="1900"/>
            <w:shd w:fill="FFFFFF" w:val="clear"/>
            <w:tcMar>
              <w:top w:type="dxa" w:w="80"/>
              <w:left w:type="dxa" w:w="100"/>
              <w:bottom w:type="dxa" w:w="80"/>
              <w:right w:type="dxa" w:w="100"/>
            </w:tcMar>
            <w:vAlign w:val="center"/>
          </w:tcPr>
          <w:p>
            <w:r>
              <w:rPr>
                <w:b w:val="false"/>
                <w:bCs w:val="false"/>
                <w:color w:val="000000"/>
                <w:sz w:val="20"/>
                <w:szCs w:val="20"/>
              </w:rPr>
              <w:t xml:space="preserve">Pipeline</w:t>
            </w:r>
          </w:p>
        </w:tc>
        <w:tc>
          <w:tcPr>
            <w:tcW w:type="dxa" w:w="900"/>
            <w:shd w:fill="FFFFFF" w:val="clear"/>
            <w:tcMar>
              <w:top w:type="dxa" w:w="80"/>
              <w:left w:type="dxa" w:w="100"/>
              <w:bottom w:type="dxa" w:w="80"/>
              <w:right w:type="dxa" w:w="100"/>
            </w:tcMar>
            <w:vAlign w:val="center"/>
          </w:tcPr>
          <w:p>
            <w:r>
              <w:rPr>
                <w:b w:val="false"/>
                <w:bCs w:val="false"/>
                <w:color w:val="000000"/>
                <w:sz w:val="20"/>
                <w:szCs w:val="20"/>
              </w:rPr>
              <w:t xml:space="preserve">pl_</w:t>
            </w:r>
          </w:p>
        </w:tc>
        <w:tc>
          <w:tcPr>
            <w:tcW w:type="dxa" w:w="3500"/>
            <w:shd w:fill="FFFFFF" w:val="clear"/>
            <w:tcMar>
              <w:top w:type="dxa" w:w="80"/>
              <w:left w:type="dxa" w:w="100"/>
              <w:bottom w:type="dxa" w:w="80"/>
              <w:right w:type="dxa" w:w="100"/>
            </w:tcMar>
            <w:vAlign w:val="center"/>
          </w:tcPr>
          <w:p>
            <w:r>
              <w:rPr>
                <w:b w:val="false"/>
                <w:bCs w:val="false"/>
                <w:color w:val="000000"/>
                <w:sz w:val="20"/>
                <w:szCs w:val="20"/>
              </w:rPr>
              <w:t xml:space="preserve">pl_&lt;domain&gt;_&lt;layer&gt;</w:t>
            </w:r>
          </w:p>
        </w:tc>
        <w:tc>
          <w:tcPr>
            <w:tcW w:type="dxa" w:w="3500"/>
            <w:shd w:fill="FFFFFF" w:val="clear"/>
            <w:tcMar>
              <w:top w:type="dxa" w:w="80"/>
              <w:left w:type="dxa" w:w="100"/>
              <w:bottom w:type="dxa" w:w="80"/>
              <w:right w:type="dxa" w:w="100"/>
            </w:tcMar>
            <w:vAlign w:val="center"/>
          </w:tcPr>
          <w:p>
            <w:r>
              <w:rPr>
                <w:b w:val="false"/>
                <w:bCs w:val="false"/>
                <w:color w:val="000000"/>
                <w:sz w:val="20"/>
                <w:szCs w:val="20"/>
              </w:rPr>
              <w:t xml:space="preserve">pl_inventory_silver</w:t>
            </w:r>
          </w:p>
        </w:tc>
      </w:tr>
      <w:tr>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Table</w:t>
            </w:r>
          </w:p>
        </w:tc>
        <w:tc>
          <w:tcPr>
            <w:tcW w:type="dxa" w:w="900"/>
            <w:shd w:fill="F2F2F2" w:val="clear"/>
            <w:tcMar>
              <w:top w:type="dxa" w:w="80"/>
              <w:left w:type="dxa" w:w="100"/>
              <w:bottom w:type="dxa" w:w="80"/>
              <w:right w:type="dxa" w:w="100"/>
            </w:tcMar>
            <w:vAlign w:val="center"/>
          </w:tcPr>
          <w:p>
            <w:r>
              <w:rPr>
                <w:b w:val="false"/>
                <w:bCs w:val="false"/>
                <w:color w:val="000000"/>
                <w:sz w:val="20"/>
                <w:szCs w:val="20"/>
              </w:rPr>
              <w:t xml:space="preserve">tbl_</w:t>
            </w:r>
          </w:p>
        </w:tc>
        <w:tc>
          <w:tcPr>
            <w:tcW w:type="dxa" w:w="3500"/>
            <w:shd w:fill="F2F2F2" w:val="clear"/>
            <w:tcMar>
              <w:top w:type="dxa" w:w="80"/>
              <w:left w:type="dxa" w:w="100"/>
              <w:bottom w:type="dxa" w:w="80"/>
              <w:right w:type="dxa" w:w="100"/>
            </w:tcMar>
            <w:vAlign w:val="center"/>
          </w:tcPr>
          <w:p>
            <w:r>
              <w:rPr>
                <w:b w:val="false"/>
                <w:bCs w:val="false"/>
                <w:color w:val="000000"/>
                <w:sz w:val="20"/>
                <w:szCs w:val="20"/>
              </w:rPr>
              <w:t xml:space="preserve">tbl_&lt;business_entity&gt;</w:t>
            </w:r>
          </w:p>
        </w:tc>
        <w:tc>
          <w:tcPr>
            <w:tcW w:type="dxa" w:w="3500"/>
            <w:shd w:fill="F2F2F2" w:val="clear"/>
            <w:tcMar>
              <w:top w:type="dxa" w:w="80"/>
              <w:left w:type="dxa" w:w="100"/>
              <w:bottom w:type="dxa" w:w="80"/>
              <w:right w:type="dxa" w:w="100"/>
            </w:tcMar>
            <w:vAlign w:val="center"/>
          </w:tcPr>
          <w:p>
            <w:r>
              <w:rPr>
                <w:b w:val="false"/>
                <w:bCs w:val="false"/>
                <w:color w:val="000000"/>
                <w:sz w:val="20"/>
                <w:szCs w:val="20"/>
              </w:rPr>
              <w:t xml:space="preserve">tbl_sales_order</w:t>
            </w:r>
          </w:p>
        </w:tc>
      </w:tr>
      <w:tr>
        <w:tc>
          <w:tcPr>
            <w:tcW w:type="dxa" w:w="1900"/>
            <w:shd w:fill="FFFFFF" w:val="clear"/>
            <w:tcMar>
              <w:top w:type="dxa" w:w="80"/>
              <w:left w:type="dxa" w:w="100"/>
              <w:bottom w:type="dxa" w:w="80"/>
              <w:right w:type="dxa" w:w="100"/>
            </w:tcMar>
            <w:vAlign w:val="center"/>
          </w:tcPr>
          <w:p>
            <w:r>
              <w:rPr>
                <w:b w:val="false"/>
                <w:bCs w:val="false"/>
                <w:color w:val="000000"/>
                <w:sz w:val="20"/>
                <w:szCs w:val="20"/>
              </w:rPr>
              <w:t xml:space="preserve">View</w:t>
            </w:r>
          </w:p>
        </w:tc>
        <w:tc>
          <w:tcPr>
            <w:tcW w:type="dxa" w:w="900"/>
            <w:shd w:fill="FFFFFF" w:val="clear"/>
            <w:tcMar>
              <w:top w:type="dxa" w:w="80"/>
              <w:left w:type="dxa" w:w="100"/>
              <w:bottom w:type="dxa" w:w="80"/>
              <w:right w:type="dxa" w:w="100"/>
            </w:tcMar>
            <w:vAlign w:val="center"/>
          </w:tcPr>
          <w:p>
            <w:r>
              <w:rPr>
                <w:b w:val="false"/>
                <w:bCs w:val="false"/>
                <w:color w:val="000000"/>
                <w:sz w:val="20"/>
                <w:szCs w:val="20"/>
              </w:rPr>
              <w:t xml:space="preserve">vw_</w:t>
            </w:r>
          </w:p>
        </w:tc>
        <w:tc>
          <w:tcPr>
            <w:tcW w:type="dxa" w:w="3500"/>
            <w:shd w:fill="FFFFFF" w:val="clear"/>
            <w:tcMar>
              <w:top w:type="dxa" w:w="80"/>
              <w:left w:type="dxa" w:w="100"/>
              <w:bottom w:type="dxa" w:w="80"/>
              <w:right w:type="dxa" w:w="100"/>
            </w:tcMar>
            <w:vAlign w:val="center"/>
          </w:tcPr>
          <w:p>
            <w:r>
              <w:rPr>
                <w:b w:val="false"/>
                <w:bCs w:val="false"/>
                <w:color w:val="000000"/>
                <w:sz w:val="20"/>
                <w:szCs w:val="20"/>
              </w:rPr>
              <w:t xml:space="preserve">vw_&lt;business_entity&gt;</w:t>
            </w:r>
          </w:p>
        </w:tc>
        <w:tc>
          <w:tcPr>
            <w:tcW w:type="dxa" w:w="3500"/>
            <w:shd w:fill="FFFFFF" w:val="clear"/>
            <w:tcMar>
              <w:top w:type="dxa" w:w="80"/>
              <w:left w:type="dxa" w:w="100"/>
              <w:bottom w:type="dxa" w:w="80"/>
              <w:right w:type="dxa" w:w="100"/>
            </w:tcMar>
            <w:vAlign w:val="center"/>
          </w:tcPr>
          <w:p>
            <w:r>
              <w:rPr>
                <w:b w:val="false"/>
                <w:bCs w:val="false"/>
                <w:color w:val="000000"/>
                <w:sz w:val="20"/>
                <w:szCs w:val="20"/>
              </w:rPr>
              <w:t xml:space="preserve">vw_sales_order</w:t>
            </w:r>
          </w:p>
        </w:tc>
      </w:tr>
      <w:tr>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Materialized View</w:t>
            </w:r>
          </w:p>
        </w:tc>
        <w:tc>
          <w:tcPr>
            <w:tcW w:type="dxa" w:w="900"/>
            <w:shd w:fill="F2F2F2" w:val="clear"/>
            <w:tcMar>
              <w:top w:type="dxa" w:w="80"/>
              <w:left w:type="dxa" w:w="100"/>
              <w:bottom w:type="dxa" w:w="80"/>
              <w:right w:type="dxa" w:w="100"/>
            </w:tcMar>
            <w:vAlign w:val="center"/>
          </w:tcPr>
          <w:p>
            <w:r>
              <w:rPr>
                <w:b w:val="false"/>
                <w:bCs w:val="false"/>
                <w:color w:val="000000"/>
                <w:sz w:val="20"/>
                <w:szCs w:val="20"/>
              </w:rPr>
              <w:t xml:space="preserve">mv_</w:t>
            </w:r>
          </w:p>
        </w:tc>
        <w:tc>
          <w:tcPr>
            <w:tcW w:type="dxa" w:w="3500"/>
            <w:shd w:fill="F2F2F2" w:val="clear"/>
            <w:tcMar>
              <w:top w:type="dxa" w:w="80"/>
              <w:left w:type="dxa" w:w="100"/>
              <w:bottom w:type="dxa" w:w="80"/>
              <w:right w:type="dxa" w:w="100"/>
            </w:tcMar>
            <w:vAlign w:val="center"/>
          </w:tcPr>
          <w:p>
            <w:r>
              <w:rPr>
                <w:b w:val="false"/>
                <w:bCs w:val="false"/>
                <w:color w:val="000000"/>
                <w:sz w:val="20"/>
                <w:szCs w:val="20"/>
              </w:rPr>
              <w:t xml:space="preserve">mv_&lt;business_entity&gt;</w:t>
            </w:r>
          </w:p>
        </w:tc>
        <w:tc>
          <w:tcPr>
            <w:tcW w:type="dxa" w:w="3500"/>
            <w:shd w:fill="F2F2F2" w:val="clear"/>
            <w:tcMar>
              <w:top w:type="dxa" w:w="80"/>
              <w:left w:type="dxa" w:w="100"/>
              <w:bottom w:type="dxa" w:w="80"/>
              <w:right w:type="dxa" w:w="100"/>
            </w:tcMar>
            <w:vAlign w:val="center"/>
          </w:tcPr>
          <w:p>
            <w:r>
              <w:rPr>
                <w:b w:val="false"/>
                <w:bCs w:val="false"/>
                <w:color w:val="000000"/>
                <w:sz w:val="20"/>
                <w:szCs w:val="20"/>
              </w:rPr>
              <w:t xml:space="preserve">mv_inventory_snapshot</w:t>
            </w:r>
          </w:p>
        </w:tc>
      </w:tr>
      <w:tr>
        <w:tc>
          <w:tcPr>
            <w:tcW w:type="dxa" w:w="1900"/>
            <w:shd w:fill="FFFFFF" w:val="clear"/>
            <w:tcMar>
              <w:top w:type="dxa" w:w="80"/>
              <w:left w:type="dxa" w:w="100"/>
              <w:bottom w:type="dxa" w:w="80"/>
              <w:right w:type="dxa" w:w="100"/>
            </w:tcMar>
            <w:vAlign w:val="center"/>
          </w:tcPr>
          <w:p>
            <w:r>
              <w:rPr>
                <w:b w:val="false"/>
                <w:bCs w:val="false"/>
                <w:color w:val="000000"/>
                <w:sz w:val="20"/>
                <w:szCs w:val="20"/>
              </w:rPr>
              <w:t xml:space="preserve">Function</w:t>
            </w:r>
          </w:p>
        </w:tc>
        <w:tc>
          <w:tcPr>
            <w:tcW w:type="dxa" w:w="900"/>
            <w:shd w:fill="FFFFFF" w:val="clear"/>
            <w:tcMar>
              <w:top w:type="dxa" w:w="80"/>
              <w:left w:type="dxa" w:w="100"/>
              <w:bottom w:type="dxa" w:w="80"/>
              <w:right w:type="dxa" w:w="100"/>
            </w:tcMar>
            <w:vAlign w:val="center"/>
          </w:tcPr>
          <w:p>
            <w:r>
              <w:rPr>
                <w:b w:val="false"/>
                <w:bCs w:val="false"/>
                <w:color w:val="000000"/>
                <w:sz w:val="20"/>
                <w:szCs w:val="20"/>
              </w:rPr>
              <w:t xml:space="preserve">fn_</w:t>
            </w:r>
          </w:p>
        </w:tc>
        <w:tc>
          <w:tcPr>
            <w:tcW w:type="dxa" w:w="3500"/>
            <w:shd w:fill="FFFFFF" w:val="clear"/>
            <w:tcMar>
              <w:top w:type="dxa" w:w="80"/>
              <w:left w:type="dxa" w:w="100"/>
              <w:bottom w:type="dxa" w:w="80"/>
              <w:right w:type="dxa" w:w="100"/>
            </w:tcMar>
            <w:vAlign w:val="center"/>
          </w:tcPr>
          <w:p>
            <w:r>
              <w:rPr>
                <w:b w:val="false"/>
                <w:bCs w:val="false"/>
                <w:color w:val="000000"/>
                <w:sz w:val="20"/>
                <w:szCs w:val="20"/>
              </w:rPr>
              <w:t xml:space="preserve">fn_&lt;action&gt;</w:t>
            </w:r>
          </w:p>
        </w:tc>
        <w:tc>
          <w:tcPr>
            <w:tcW w:type="dxa" w:w="3500"/>
            <w:shd w:fill="FFFFFF" w:val="clear"/>
            <w:tcMar>
              <w:top w:type="dxa" w:w="80"/>
              <w:left w:type="dxa" w:w="100"/>
              <w:bottom w:type="dxa" w:w="80"/>
              <w:right w:type="dxa" w:w="100"/>
            </w:tcMar>
            <w:vAlign w:val="center"/>
          </w:tcPr>
          <w:p>
            <w:r>
              <w:rPr>
                <w:b w:val="false"/>
                <w:bCs w:val="false"/>
                <w:color w:val="000000"/>
                <w:sz w:val="20"/>
                <w:szCs w:val="20"/>
              </w:rPr>
              <w:t xml:space="preserve">fn_convert_uom</w:t>
            </w:r>
          </w:p>
        </w:tc>
      </w:tr>
      <w:tr>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Procedure</w:t>
            </w:r>
          </w:p>
        </w:tc>
        <w:tc>
          <w:tcPr>
            <w:tcW w:type="dxa" w:w="900"/>
            <w:shd w:fill="F2F2F2" w:val="clear"/>
            <w:tcMar>
              <w:top w:type="dxa" w:w="80"/>
              <w:left w:type="dxa" w:w="100"/>
              <w:bottom w:type="dxa" w:w="80"/>
              <w:right w:type="dxa" w:w="100"/>
            </w:tcMar>
            <w:vAlign w:val="center"/>
          </w:tcPr>
          <w:p>
            <w:r>
              <w:rPr>
                <w:b w:val="false"/>
                <w:bCs w:val="false"/>
                <w:color w:val="000000"/>
                <w:sz w:val="20"/>
                <w:szCs w:val="20"/>
              </w:rPr>
              <w:t xml:space="preserve">sp_</w:t>
            </w:r>
          </w:p>
        </w:tc>
        <w:tc>
          <w:tcPr>
            <w:tcW w:type="dxa" w:w="3500"/>
            <w:shd w:fill="F2F2F2" w:val="clear"/>
            <w:tcMar>
              <w:top w:type="dxa" w:w="80"/>
              <w:left w:type="dxa" w:w="100"/>
              <w:bottom w:type="dxa" w:w="80"/>
              <w:right w:type="dxa" w:w="100"/>
            </w:tcMar>
            <w:vAlign w:val="center"/>
          </w:tcPr>
          <w:p>
            <w:r>
              <w:rPr>
                <w:b w:val="false"/>
                <w:bCs w:val="false"/>
                <w:color w:val="000000"/>
                <w:sz w:val="20"/>
                <w:szCs w:val="20"/>
              </w:rPr>
              <w:t xml:space="preserve">sp_&lt;action&gt;</w:t>
            </w:r>
          </w:p>
        </w:tc>
        <w:tc>
          <w:tcPr>
            <w:tcW w:type="dxa" w:w="3500"/>
            <w:shd w:fill="F2F2F2" w:val="clear"/>
            <w:tcMar>
              <w:top w:type="dxa" w:w="80"/>
              <w:left w:type="dxa" w:w="100"/>
              <w:bottom w:type="dxa" w:w="80"/>
              <w:right w:type="dxa" w:w="100"/>
            </w:tcMar>
            <w:vAlign w:val="center"/>
          </w:tcPr>
          <w:p>
            <w:r>
              <w:rPr>
                <w:b w:val="false"/>
                <w:bCs w:val="false"/>
                <w:color w:val="000000"/>
                <w:sz w:val="20"/>
                <w:szCs w:val="20"/>
              </w:rPr>
              <w:t xml:space="preserve">sp_load_sales_order</w:t>
            </w:r>
          </w:p>
        </w:tc>
      </w:tr>
      <w:tr>
        <w:tc>
          <w:tcPr>
            <w:tcW w:type="dxa" w:w="1900"/>
            <w:shd w:fill="FFFFFF" w:val="clear"/>
            <w:tcMar>
              <w:top w:type="dxa" w:w="80"/>
              <w:left w:type="dxa" w:w="100"/>
              <w:bottom w:type="dxa" w:w="80"/>
              <w:right w:type="dxa" w:w="100"/>
            </w:tcMar>
            <w:vAlign w:val="center"/>
          </w:tcPr>
          <w:p>
            <w:r>
              <w:rPr>
                <w:b w:val="false"/>
                <w:bCs w:val="false"/>
                <w:color w:val="000000"/>
                <w:sz w:val="20"/>
                <w:szCs w:val="20"/>
              </w:rPr>
              <w:t xml:space="preserve">Volume</w:t>
            </w:r>
          </w:p>
        </w:tc>
        <w:tc>
          <w:tcPr>
            <w:tcW w:type="dxa" w:w="900"/>
            <w:shd w:fill="FFFFFF" w:val="clear"/>
            <w:tcMar>
              <w:top w:type="dxa" w:w="80"/>
              <w:left w:type="dxa" w:w="100"/>
              <w:bottom w:type="dxa" w:w="80"/>
              <w:right w:type="dxa" w:w="100"/>
            </w:tcMar>
            <w:vAlign w:val="center"/>
          </w:tcPr>
          <w:p>
            <w:r>
              <w:rPr>
                <w:b w:val="false"/>
                <w:bCs w:val="false"/>
                <w:color w:val="000000"/>
                <w:sz w:val="20"/>
                <w:szCs w:val="20"/>
              </w:rPr>
              <w:t xml:space="preserve">vol_</w:t>
            </w:r>
          </w:p>
        </w:tc>
        <w:tc>
          <w:tcPr>
            <w:tcW w:type="dxa" w:w="3500"/>
            <w:shd w:fill="FFFFFF" w:val="clear"/>
            <w:tcMar>
              <w:top w:type="dxa" w:w="80"/>
              <w:left w:type="dxa" w:w="100"/>
              <w:bottom w:type="dxa" w:w="80"/>
              <w:right w:type="dxa" w:w="100"/>
            </w:tcMar>
            <w:vAlign w:val="center"/>
          </w:tcPr>
          <w:p>
            <w:r>
              <w:rPr>
                <w:b w:val="false"/>
                <w:bCs w:val="false"/>
                <w:color w:val="000000"/>
                <w:sz w:val="20"/>
                <w:szCs w:val="20"/>
              </w:rPr>
              <w:t xml:space="preserve">vol_&lt;purpose&gt;</w:t>
            </w:r>
          </w:p>
        </w:tc>
        <w:tc>
          <w:tcPr>
            <w:tcW w:type="dxa" w:w="3500"/>
            <w:shd w:fill="FFFFFF" w:val="clear"/>
            <w:tcMar>
              <w:top w:type="dxa" w:w="80"/>
              <w:left w:type="dxa" w:w="100"/>
              <w:bottom w:type="dxa" w:w="80"/>
              <w:right w:type="dxa" w:w="100"/>
            </w:tcMar>
            <w:vAlign w:val="center"/>
          </w:tcPr>
          <w:p>
            <w:r>
              <w:rPr>
                <w:b w:val="false"/>
                <w:bCs w:val="false"/>
                <w:color w:val="000000"/>
                <w:sz w:val="20"/>
                <w:szCs w:val="20"/>
              </w:rPr>
              <w:t xml:space="preserve">vol_source_files</w:t>
            </w:r>
          </w:p>
        </w:tc>
      </w:tr>
      <w:tr>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Dashboard</w:t>
            </w:r>
          </w:p>
        </w:tc>
        <w:tc>
          <w:tcPr>
            <w:tcW w:type="dxa" w:w="900"/>
            <w:shd w:fill="F2F2F2" w:val="clear"/>
            <w:tcMar>
              <w:top w:type="dxa" w:w="80"/>
              <w:left w:type="dxa" w:w="100"/>
              <w:bottom w:type="dxa" w:w="80"/>
              <w:right w:type="dxa" w:w="100"/>
            </w:tcMar>
            <w:vAlign w:val="center"/>
          </w:tcPr>
          <w:p>
            <w:r>
              <w:rPr>
                <w:b w:val="false"/>
                <w:bCs w:val="false"/>
                <w:color w:val="000000"/>
                <w:sz w:val="20"/>
                <w:szCs w:val="20"/>
              </w:rPr>
              <w:t xml:space="preserve">dash_</w:t>
            </w:r>
          </w:p>
        </w:tc>
        <w:tc>
          <w:tcPr>
            <w:tcW w:type="dxa" w:w="3500"/>
            <w:shd w:fill="F2F2F2" w:val="clear"/>
            <w:tcMar>
              <w:top w:type="dxa" w:w="80"/>
              <w:left w:type="dxa" w:w="100"/>
              <w:bottom w:type="dxa" w:w="80"/>
              <w:right w:type="dxa" w:w="100"/>
            </w:tcMar>
            <w:vAlign w:val="center"/>
          </w:tcPr>
          <w:p>
            <w:r>
              <w:rPr>
                <w:b w:val="false"/>
                <w:bCs w:val="false"/>
                <w:color w:val="000000"/>
                <w:sz w:val="20"/>
                <w:szCs w:val="20"/>
              </w:rPr>
              <w:t xml:space="preserve">dash_&lt;business_area&gt;</w:t>
            </w:r>
          </w:p>
        </w:tc>
        <w:tc>
          <w:tcPr>
            <w:tcW w:type="dxa" w:w="3500"/>
            <w:shd w:fill="F2F2F2" w:val="clear"/>
            <w:tcMar>
              <w:top w:type="dxa" w:w="80"/>
              <w:left w:type="dxa" w:w="100"/>
              <w:bottom w:type="dxa" w:w="80"/>
              <w:right w:type="dxa" w:w="100"/>
            </w:tcMar>
            <w:vAlign w:val="center"/>
          </w:tcPr>
          <w:p>
            <w:r>
              <w:rPr>
                <w:b w:val="false"/>
                <w:bCs w:val="false"/>
                <w:color w:val="000000"/>
                <w:sz w:val="20"/>
                <w:szCs w:val="20"/>
              </w:rPr>
              <w:t xml:space="preserve">dash_inventory_health</w:t>
            </w:r>
          </w:p>
        </w:tc>
      </w:tr>
      <w:tr>
        <w:tc>
          <w:tcPr>
            <w:tcW w:type="dxa" w:w="1900"/>
            <w:shd w:fill="FFFFFF" w:val="clear"/>
            <w:tcMar>
              <w:top w:type="dxa" w:w="80"/>
              <w:left w:type="dxa" w:w="100"/>
              <w:bottom w:type="dxa" w:w="80"/>
              <w:right w:type="dxa" w:w="100"/>
            </w:tcMar>
            <w:vAlign w:val="center"/>
          </w:tcPr>
          <w:p>
            <w:r>
              <w:rPr>
                <w:b w:val="false"/>
                <w:bCs w:val="false"/>
                <w:color w:val="000000"/>
                <w:sz w:val="20"/>
                <w:szCs w:val="20"/>
              </w:rPr>
              <w:t xml:space="preserve">Alert</w:t>
            </w:r>
          </w:p>
        </w:tc>
        <w:tc>
          <w:tcPr>
            <w:tcW w:type="dxa" w:w="900"/>
            <w:shd w:fill="FFFFFF" w:val="clear"/>
            <w:tcMar>
              <w:top w:type="dxa" w:w="80"/>
              <w:left w:type="dxa" w:w="100"/>
              <w:bottom w:type="dxa" w:w="80"/>
              <w:right w:type="dxa" w:w="100"/>
            </w:tcMar>
            <w:vAlign w:val="center"/>
          </w:tcPr>
          <w:p>
            <w:r>
              <w:rPr>
                <w:b w:val="false"/>
                <w:bCs w:val="false"/>
                <w:color w:val="000000"/>
                <w:sz w:val="20"/>
                <w:szCs w:val="20"/>
              </w:rPr>
              <w:t xml:space="preserve">alt_</w:t>
            </w:r>
          </w:p>
        </w:tc>
        <w:tc>
          <w:tcPr>
            <w:tcW w:type="dxa" w:w="3500"/>
            <w:shd w:fill="FFFFFF" w:val="clear"/>
            <w:tcMar>
              <w:top w:type="dxa" w:w="80"/>
              <w:left w:type="dxa" w:w="100"/>
              <w:bottom w:type="dxa" w:w="80"/>
              <w:right w:type="dxa" w:w="100"/>
            </w:tcMar>
            <w:vAlign w:val="center"/>
          </w:tcPr>
          <w:p>
            <w:r>
              <w:rPr>
                <w:b w:val="false"/>
                <w:bCs w:val="false"/>
                <w:color w:val="000000"/>
                <w:sz w:val="20"/>
                <w:szCs w:val="20"/>
              </w:rPr>
              <w:t xml:space="preserve">alt_&lt;event&gt;</w:t>
            </w:r>
          </w:p>
        </w:tc>
        <w:tc>
          <w:tcPr>
            <w:tcW w:type="dxa" w:w="3500"/>
            <w:shd w:fill="FFFFFF" w:val="clear"/>
            <w:tcMar>
              <w:top w:type="dxa" w:w="80"/>
              <w:left w:type="dxa" w:w="100"/>
              <w:bottom w:type="dxa" w:w="80"/>
              <w:right w:type="dxa" w:w="100"/>
            </w:tcMar>
            <w:vAlign w:val="center"/>
          </w:tcPr>
          <w:p>
            <w:r>
              <w:rPr>
                <w:b w:val="false"/>
                <w:bCs w:val="false"/>
                <w:color w:val="000000"/>
                <w:sz w:val="20"/>
                <w:szCs w:val="20"/>
              </w:rPr>
              <w:t xml:space="preserve">alt_pipeline_failure</w:t>
            </w:r>
          </w:p>
        </w:tc>
      </w:tr>
    </w:tbl>
    <w:p>
      <w:pPr>
        <w:pStyle w:val="Heading1"/>
        <w:spacing w:after="160" w:before="320"/>
      </w:pPr>
      <w:r>
        <w:t xml:space="preserve">7. Git, Branching &amp; CI/CD</w:t>
      </w:r>
    </w:p>
    <w:p>
      <w:pPr>
        <w:pStyle w:val="Heading2"/>
        <w:spacing w:after="120" w:before="240"/>
      </w:pPr>
      <w:r>
        <w:t xml:space="preserve">7.1 Branching Strategy</w:t>
      </w:r>
    </w:p>
    <w:p>
      <w:pPr>
        <w:pStyle w:val="ListParagraph"/>
        <w:numPr>
          <w:ilvl w:val="0"/>
          <w:numId w:val="2"/>
        </w:numPr>
        <w:spacing w:after="60"/>
      </w:pPr>
      <w:r>
        <w:rPr>
          <w:b/>
          <w:bCs/>
        </w:rPr>
        <w:t xml:space="preserve">main is the only long-lived branch, and is protected. No one commits directly to main.</w:t>
      </w:r>
    </w:p>
    <w:p>
      <w:pPr>
        <w:pStyle w:val="ListParagraph"/>
        <w:numPr>
          <w:ilvl w:val="0"/>
          <w:numId w:val="2"/>
        </w:numPr>
        <w:spacing w:after="60"/>
      </w:pPr>
      <w:r>
        <w:rPr>
          <w:b w:val="false"/>
          <w:bCs w:val="false"/>
        </w:rPr>
        <w:t xml:space="preserve">Create a feature branch from main for every change: feature/&lt;ticket-id&gt;_&lt;desc&gt; (for example feature/DE-102_stock_on_hand).</w:t>
      </w:r>
    </w:p>
    <w:p>
      <w:pPr>
        <w:pStyle w:val="ListParagraph"/>
        <w:numPr>
          <w:ilvl w:val="0"/>
          <w:numId w:val="2"/>
        </w:numPr>
        <w:spacing w:after="60"/>
      </w:pPr>
      <w:r>
        <w:rPr>
          <w:b w:val="false"/>
          <w:bCs w:val="false"/>
        </w:rPr>
        <w:t xml:space="preserve">Develop and test in the dev target. When dev work is done, push to QA (deploy to the qa target) and test there.</w:t>
      </w:r>
    </w:p>
    <w:p>
      <w:pPr>
        <w:pStyle w:val="ListParagraph"/>
        <w:numPr>
          <w:ilvl w:val="0"/>
          <w:numId w:val="2"/>
        </w:numPr>
        <w:spacing w:after="60"/>
      </w:pPr>
      <w:r>
        <w:rPr>
          <w:b w:val="false"/>
          <w:bCs w:val="false"/>
        </w:rPr>
        <w:t xml:space="preserve">Once QA passes, raise a PR to main. The PR needs approval from Kishan or Chenna.</w:t>
      </w:r>
    </w:p>
    <w:p>
      <w:pPr>
        <w:pStyle w:val="ListParagraph"/>
        <w:numPr>
          <w:ilvl w:val="0"/>
          <w:numId w:val="2"/>
        </w:numPr>
        <w:spacing w:after="60"/>
      </w:pPr>
      <w:r>
        <w:rPr>
          <w:b w:val="false"/>
          <w:bCs w:val="false"/>
        </w:rPr>
        <w:t xml:space="preserve">Merging to main deploys to prod, using the service principal.</w:t>
      </w:r>
    </w:p>
    <w:p>
      <w:pPr>
        <w:jc w:val="center"/>
      </w:pPr>
      <w:r>
        <w:drawing>
          <wp:inline distT="0" distB="0" distL="0" distR="0">
            <wp:extent cx="609600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704850"/>
                    </a:xfrm>
                    <a:prstGeom prst="rect">
                      <a:avLst/>
                    </a:prstGeom>
                  </pic:spPr>
                </pic:pic>
              </a:graphicData>
            </a:graphic>
          </wp:inline>
        </w:drawing>
      </w:r>
    </w:p>
    <w:p>
      <w:pPr>
        <w:spacing w:after="160"/>
        <w:jc w:val="center"/>
      </w:pPr>
      <w:r>
        <w:rPr>
          <w:i/>
          <w:iCs/>
          <w:color w:val="666666"/>
          <w:sz w:val="18"/>
          <w:szCs w:val="18"/>
        </w:rPr>
        <w:t xml:space="preserve">Figure 2 — Feature branch flow (top) and hotfix flow (red) from main.</w:t>
      </w:r>
    </w:p>
    <w:p>
      <w:pPr>
        <w:pStyle w:val="Heading2"/>
        <w:spacing w:after="120" w:before="240"/>
      </w:pPr>
      <w:r>
        <w:t xml:space="preserve">7.2 PR Rules</w:t>
      </w:r>
    </w:p>
    <w:p>
      <w:pPr>
        <w:pStyle w:val="ListParagraph"/>
        <w:numPr>
          <w:ilvl w:val="0"/>
          <w:numId w:val="2"/>
        </w:numPr>
        <w:spacing w:after="60"/>
      </w:pPr>
      <w:r>
        <w:rPr>
          <w:b w:val="false"/>
          <w:bCs w:val="false"/>
        </w:rPr>
        <w:t xml:space="preserve">PR must link a work item and include its data contract (Section 4).</w:t>
      </w:r>
    </w:p>
    <w:p>
      <w:pPr>
        <w:pStyle w:val="ListParagraph"/>
        <w:numPr>
          <w:ilvl w:val="0"/>
          <w:numId w:val="2"/>
        </w:numPr>
        <w:spacing w:after="60"/>
      </w:pPr>
      <w:r>
        <w:rPr>
          <w:b w:val="false"/>
          <w:bCs w:val="false"/>
        </w:rPr>
        <w:t xml:space="preserve">Approval by Kishan or Chenna is required before merge.</w:t>
      </w:r>
    </w:p>
    <w:p>
      <w:pPr>
        <w:pStyle w:val="ListParagraph"/>
        <w:numPr>
          <w:ilvl w:val="0"/>
          <w:numId w:val="2"/>
        </w:numPr>
        <w:spacing w:after="60"/>
      </w:pPr>
      <w:r>
        <w:rPr>
          <w:b w:val="false"/>
          <w:bCs w:val="false"/>
        </w:rPr>
        <w:t xml:space="preserve">Squash-merge; no force-push to main.</w:t>
      </w:r>
    </w:p>
    <w:p>
      <w:pPr>
        <w:pStyle w:val="Heading2"/>
        <w:spacing w:after="120" w:before="240"/>
      </w:pPr>
      <w:r>
        <w:t xml:space="preserve">7.3 Hotfix Procedure</w:t>
      </w:r>
    </w:p>
    <w:p>
      <w:pPr>
        <w:spacing w:after="120"/>
      </w:pPr>
      <w:r>
        <w:t xml:space="preserve">For urgent production fixes that cannot wait for the normal feature flow. main stays the only long-lived branch.</w:t>
      </w:r>
    </w:p>
    <w:p>
      <w:pPr>
        <w:pStyle w:val="ListParagraph"/>
        <w:numPr>
          <w:ilvl w:val="0"/>
          <w:numId w:val="2"/>
        </w:numPr>
        <w:spacing w:after="60"/>
      </w:pPr>
      <w:r>
        <w:rPr>
          <w:b/>
          <w:bCs/>
        </w:rPr>
        <w:t xml:space="preserve">Create hotfix/&lt;ticket-id&gt;_&lt;desc&gt; from main.</w:t>
      </w:r>
    </w:p>
    <w:p>
      <w:pPr>
        <w:pStyle w:val="ListParagraph"/>
        <w:numPr>
          <w:ilvl w:val="0"/>
          <w:numId w:val="2"/>
        </w:numPr>
        <w:spacing w:after="60"/>
      </w:pPr>
      <w:r>
        <w:rPr>
          <w:b w:val="false"/>
          <w:bCs w:val="false"/>
        </w:rPr>
        <w:t xml:space="preserve">Make the minimal fix only, with a linked ticket. Update the data contract if the fix changes the table's shape.</w:t>
      </w:r>
    </w:p>
    <w:p>
      <w:pPr>
        <w:pStyle w:val="ListParagraph"/>
        <w:numPr>
          <w:ilvl w:val="0"/>
          <w:numId w:val="2"/>
        </w:numPr>
        <w:spacing w:after="60"/>
      </w:pPr>
      <w:r>
        <w:rPr>
          <w:b w:val="false"/>
          <w:bCs w:val="false"/>
        </w:rPr>
        <w:t xml:space="preserve">Deploy to the qa target for a quick test.</w:t>
      </w:r>
    </w:p>
    <w:p>
      <w:pPr>
        <w:pStyle w:val="ListParagraph"/>
        <w:numPr>
          <w:ilvl w:val="0"/>
          <w:numId w:val="2"/>
        </w:numPr>
        <w:spacing w:after="60"/>
      </w:pPr>
      <w:r>
        <w:rPr>
          <w:b w:val="false"/>
          <w:bCs w:val="false"/>
        </w:rPr>
        <w:t xml:space="preserve">Raise an expedited PR to main. Approval by Kishan or Chenna is still required, and no checks are skipped.</w:t>
      </w:r>
    </w:p>
    <w:p>
      <w:pPr>
        <w:pStyle w:val="ListParagraph"/>
        <w:numPr>
          <w:ilvl w:val="0"/>
          <w:numId w:val="2"/>
        </w:numPr>
        <w:spacing w:after="60"/>
      </w:pPr>
      <w:r>
        <w:rPr>
          <w:b w:val="false"/>
          <w:bCs w:val="false"/>
        </w:rPr>
        <w:t xml:space="preserve">On merge, prod is deployed by the service principal.</w:t>
      </w:r>
    </w:p>
    <w:p>
      <w:pPr>
        <w:pStyle w:val="ListParagraph"/>
        <w:numPr>
          <w:ilvl w:val="0"/>
          <w:numId w:val="2"/>
        </w:numPr>
        <w:spacing w:after="60"/>
      </w:pPr>
      <w:r>
        <w:rPr>
          <w:b w:val="false"/>
          <w:bCs w:val="false"/>
        </w:rPr>
        <w:t xml:space="preserve">Open feature branches pull in the latest main so the fix is not lost or overwritten.</w:t>
      </w:r>
    </w:p>
    <w:p>
      <w:pPr>
        <w:pStyle w:val="ListParagraph"/>
        <w:numPr>
          <w:ilvl w:val="0"/>
          <w:numId w:val="2"/>
        </w:numPr>
        <w:spacing w:after="60"/>
      </w:pPr>
      <w:r>
        <w:rPr>
          <w:b w:val="false"/>
          <w:bCs w:val="false"/>
        </w:rPr>
        <w:t xml:space="preserve">Record the root cause on the ticket.</w:t>
      </w:r>
    </w:p>
    <w:p>
      <w:pPr>
        <w:pStyle w:val="Heading1"/>
        <w:spacing w:after="160" w:before="320"/>
      </w:pPr>
      <w:r>
        <w:t xml:space="preserve">8. Databricks Asset Bundle (DAB) Standards</w:t>
      </w:r>
    </w:p>
    <w:p>
      <w:pPr>
        <w:pStyle w:val="Heading2"/>
        <w:spacing w:after="120" w:before="240"/>
      </w:pPr>
      <w:r>
        <w:t xml:space="preserve">8.1 Source of Truth</w:t>
      </w:r>
    </w:p>
    <w:p>
      <w:pPr>
        <w:spacing w:after="120"/>
      </w:pPr>
      <w:r>
        <w:t xml:space="preserve">The DAB root folder is the source of truth for all code. Everything deployed to Databricks (pipelines, jobs, materialized view SQL, contracts, tests) lives in the bundle and is deployed from it, never edited directly in a workspace.</w:t>
      </w:r>
    </w:p>
    <w:p>
      <w:pPr>
        <w:shd w:fill="F5F5F5" w:val="clear"/>
        <w:spacing w:after="0"/>
      </w:pPr>
      <w:r>
        <w:rPr>
          <w:rFonts w:ascii="Consolas" w:cs="Consolas" w:eastAsia="Consolas" w:hAnsi="Consolas"/>
          <w:color w:val="1F3864"/>
          <w:sz w:val="18"/>
          <w:szCs w:val="18"/>
        </w:rPr>
        <w:t xml:space="preserve">&lt;repo-root&gt;/</w:t>
      </w:r>
    </w:p>
    <w:p>
      <w:pPr>
        <w:shd w:fill="F5F5F5" w:val="clear"/>
        <w:spacing w:after="0"/>
      </w:pPr>
      <w:r>
        <w:rPr>
          <w:rFonts w:ascii="Consolas" w:cs="Consolas" w:eastAsia="Consolas" w:hAnsi="Consolas"/>
          <w:color w:val="1F3864"/>
          <w:sz w:val="18"/>
          <w:szCs w:val="18"/>
        </w:rPr>
        <w:t xml:space="preserve">  databricks.yml        # bundle config, targets, permissions</w:t>
      </w:r>
    </w:p>
    <w:p>
      <w:pPr>
        <w:shd w:fill="F5F5F5" w:val="clear"/>
        <w:spacing w:after="0"/>
      </w:pPr>
      <w:r>
        <w:rPr>
          <w:rFonts w:ascii="Consolas" w:cs="Consolas" w:eastAsia="Consolas" w:hAnsi="Consolas"/>
          <w:color w:val="1F3864"/>
          <w:sz w:val="18"/>
          <w:szCs w:val="18"/>
        </w:rPr>
        <w:t xml:space="preserve">  resources/            # jobs, pipelines</w:t>
      </w:r>
    </w:p>
    <w:p>
      <w:pPr>
        <w:shd w:fill="F5F5F5" w:val="clear"/>
        <w:spacing w:after="0"/>
      </w:pPr>
      <w:r>
        <w:rPr>
          <w:rFonts w:ascii="Consolas" w:cs="Consolas" w:eastAsia="Consolas" w:hAnsi="Consolas"/>
          <w:color w:val="1F3864"/>
          <w:sz w:val="18"/>
          <w:szCs w:val="18"/>
        </w:rPr>
        <w:t xml:space="preserve">  src/                  # SQL and Python code</w:t>
      </w:r>
    </w:p>
    <w:p>
      <w:pPr>
        <w:shd w:fill="F5F5F5" w:val="clear"/>
        <w:spacing w:after="0"/>
      </w:pPr>
      <w:r>
        <w:rPr>
          <w:rFonts w:ascii="Consolas" w:cs="Consolas" w:eastAsia="Consolas" w:hAnsi="Consolas"/>
          <w:color w:val="1F3864"/>
          <w:sz w:val="18"/>
          <w:szCs w:val="18"/>
        </w:rPr>
        <w:t xml:space="preserve">  contracts/            # data contracts (Section 4)</w:t>
      </w:r>
    </w:p>
    <w:p>
      <w:pPr>
        <w:shd w:fill="F5F5F5" w:val="clear"/>
        <w:spacing w:after="0"/>
      </w:pPr>
      <w:r>
        <w:rPr>
          <w:rFonts w:ascii="Consolas" w:cs="Consolas" w:eastAsia="Consolas" w:hAnsi="Consolas"/>
          <w:color w:val="1F3864"/>
          <w:sz w:val="18"/>
          <w:szCs w:val="18"/>
        </w:rPr>
        <w:t xml:space="preserve">  tests/                # unit and data tests</w:t>
      </w:r>
    </w:p>
    <w:p>
      <w:pPr>
        <w:pStyle w:val="Heading2"/>
        <w:spacing w:after="120" w:before="240"/>
      </w:pPr>
      <w:r>
        <w:t xml:space="preserve">8.2 Targets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200"/>
        <w:gridCol w:w="3200"/>
      </w:tblGrid>
      <w:tr>
        <w:tc>
          <w:tcPr>
            <w:tcW w:type="dxa" w:w="900"/>
            <w:shd w:fill="1F3864" w:val="clear"/>
            <w:tcMar>
              <w:top w:type="dxa" w:w="80"/>
              <w:left w:type="dxa" w:w="100"/>
              <w:bottom w:type="dxa" w:w="80"/>
              <w:right w:type="dxa" w:w="100"/>
            </w:tcMar>
            <w:vAlign w:val="center"/>
          </w:tcPr>
          <w:p>
            <w:r>
              <w:rPr>
                <w:b/>
                <w:bCs/>
                <w:color w:val="FFFFFF"/>
                <w:sz w:val="20"/>
                <w:szCs w:val="20"/>
              </w:rPr>
              <w:t xml:space="preserve">Target</w:t>
            </w:r>
          </w:p>
        </w:tc>
        <w:tc>
          <w:tcPr>
            <w:tcW w:type="dxa" w:w="2500"/>
            <w:shd w:fill="1F3864" w:val="clear"/>
            <w:tcMar>
              <w:top w:type="dxa" w:w="80"/>
              <w:left w:type="dxa" w:w="100"/>
              <w:bottom w:type="dxa" w:w="80"/>
              <w:right w:type="dxa" w:w="100"/>
            </w:tcMar>
            <w:vAlign w:val="center"/>
          </w:tcPr>
          <w:p>
            <w:r>
              <w:rPr>
                <w:b/>
                <w:bCs/>
                <w:color w:val="FFFFFF"/>
                <w:sz w:val="20"/>
                <w:szCs w:val="20"/>
              </w:rPr>
              <w:t xml:space="preserve">Root path</w:t>
            </w:r>
          </w:p>
        </w:tc>
        <w:tc>
          <w:tcPr>
            <w:tcW w:type="dxa" w:w="3200"/>
            <w:shd w:fill="1F3864" w:val="clear"/>
            <w:tcMar>
              <w:top w:type="dxa" w:w="80"/>
              <w:left w:type="dxa" w:w="100"/>
              <w:bottom w:type="dxa" w:w="80"/>
              <w:right w:type="dxa" w:w="100"/>
            </w:tcMar>
            <w:vAlign w:val="center"/>
          </w:tcPr>
          <w:p>
            <w:r>
              <w:rPr>
                <w:b/>
                <w:bCs/>
                <w:color w:val="FFFFFF"/>
                <w:sz w:val="20"/>
                <w:szCs w:val="20"/>
              </w:rPr>
              <w:t xml:space="preserve">Run as</w:t>
            </w:r>
          </w:p>
        </w:tc>
        <w:tc>
          <w:tcPr>
            <w:tcW w:type="dxa" w:w="3200"/>
            <w:shd w:fill="1F3864" w:val="clear"/>
            <w:tcMar>
              <w:top w:type="dxa" w:w="80"/>
              <w:left w:type="dxa" w:w="100"/>
              <w:bottom w:type="dxa" w:w="80"/>
              <w:right w:type="dxa" w:w="100"/>
            </w:tcMar>
            <w:vAlign w:val="center"/>
          </w:tcPr>
          <w:p>
            <w:r>
              <w:rPr>
                <w:b/>
                <w:bCs/>
                <w:color w:val="FFFFFF"/>
                <w:sz w:val="20"/>
                <w:szCs w:val="20"/>
              </w:rPr>
              <w:t xml:space="preserve">Notes</w:t>
            </w:r>
          </w:p>
        </w:tc>
      </w:tr>
      <w:tr>
        <w:tc>
          <w:tcPr>
            <w:tcW w:type="dxa" w:w="900"/>
            <w:shd w:fill="FFFFFF" w:val="clear"/>
            <w:tcMar>
              <w:top w:type="dxa" w:w="80"/>
              <w:left w:type="dxa" w:w="100"/>
              <w:bottom w:type="dxa" w:w="80"/>
              <w:right w:type="dxa" w:w="100"/>
            </w:tcMar>
            <w:vAlign w:val="center"/>
          </w:tcPr>
          <w:p>
            <w:r>
              <w:rPr>
                <w:b w:val="false"/>
                <w:bCs w:val="false"/>
                <w:color w:val="000000"/>
                <w:sz w:val="20"/>
                <w:szCs w:val="20"/>
              </w:rPr>
              <w:t xml:space="preserve">dev</w:t>
            </w:r>
          </w:p>
        </w:tc>
        <w:tc>
          <w:tcPr>
            <w:tcW w:type="dxa" w:w="2500"/>
            <w:shd w:fill="FFFFFF" w:val="clear"/>
            <w:tcMar>
              <w:top w:type="dxa" w:w="80"/>
              <w:left w:type="dxa" w:w="100"/>
              <w:bottom w:type="dxa" w:w="80"/>
              <w:right w:type="dxa" w:w="100"/>
            </w:tcMar>
            <w:vAlign w:val="center"/>
          </w:tcPr>
          <w:p>
            <w:r>
              <w:rPr>
                <w:b w:val="false"/>
                <w:bCs w:val="false"/>
                <w:color w:val="000000"/>
                <w:sz w:val="20"/>
                <w:szCs w:val="20"/>
              </w:rPr>
              <w:t xml:space="preserve">Per user: /Workspace/Users/&lt;user&gt;/.bundle/&lt;bundle_name&gt;/dev</w:t>
            </w:r>
          </w:p>
        </w:tc>
        <w:tc>
          <w:tcPr>
            <w:tcW w:type="dxa" w:w="3200"/>
            <w:shd w:fill="FFFFFF" w:val="clear"/>
            <w:tcMar>
              <w:top w:type="dxa" w:w="80"/>
              <w:left w:type="dxa" w:w="100"/>
              <w:bottom w:type="dxa" w:w="80"/>
              <w:right w:type="dxa" w:w="100"/>
            </w:tcMar>
            <w:vAlign w:val="center"/>
          </w:tcPr>
          <w:p>
            <w:r>
              <w:rPr>
                <w:b w:val="false"/>
                <w:bCs w:val="false"/>
                <w:color w:val="000000"/>
                <w:sz w:val="20"/>
                <w:szCs w:val="20"/>
              </w:rPr>
              <w:t xml:space="preserve">Deploying user</w:t>
            </w:r>
          </w:p>
        </w:tc>
        <w:tc>
          <w:tcPr>
            <w:tcW w:type="dxa" w:w="3200"/>
            <w:shd w:fill="FFFFFF" w:val="clear"/>
            <w:tcMar>
              <w:top w:type="dxa" w:w="80"/>
              <w:left w:type="dxa" w:w="100"/>
              <w:bottom w:type="dxa" w:w="80"/>
              <w:right w:type="dxa" w:w="100"/>
            </w:tcMar>
            <w:vAlign w:val="center"/>
          </w:tcPr>
          <w:p>
            <w:r>
              <w:rPr>
                <w:b w:val="false"/>
                <w:bCs w:val="false"/>
                <w:color w:val="000000"/>
                <w:sz w:val="20"/>
                <w:szCs w:val="20"/>
              </w:rPr>
              <w:t xml:space="preserve">Personal development and testing</w:t>
            </w:r>
          </w:p>
        </w:tc>
      </w:tr>
      <w:tr>
        <w:tc>
          <w:tcPr>
            <w:tcW w:type="dxa" w:w="900"/>
            <w:shd w:fill="F2F2F2" w:val="clear"/>
            <w:tcMar>
              <w:top w:type="dxa" w:w="80"/>
              <w:left w:type="dxa" w:w="100"/>
              <w:bottom w:type="dxa" w:w="80"/>
              <w:right w:type="dxa" w:w="100"/>
            </w:tcMar>
            <w:vAlign w:val="center"/>
          </w:tcPr>
          <w:p>
            <w:r>
              <w:rPr>
                <w:b w:val="false"/>
                <w:bCs w:val="false"/>
                <w:color w:val="000000"/>
                <w:sz w:val="20"/>
                <w:szCs w:val="20"/>
              </w:rPr>
              <w:t xml:space="preserve">qa</w:t>
            </w:r>
          </w:p>
        </w:tc>
        <w:tc>
          <w:tcPr>
            <w:tcW w:type="dxa" w:w="2500"/>
            <w:shd w:fill="F2F2F2" w:val="clear"/>
            <w:tcMar>
              <w:top w:type="dxa" w:w="80"/>
              <w:left w:type="dxa" w:w="100"/>
              <w:bottom w:type="dxa" w:w="80"/>
              <w:right w:type="dxa" w:w="100"/>
            </w:tcMar>
            <w:vAlign w:val="center"/>
          </w:tcPr>
          <w:p>
            <w:r>
              <w:rPr>
                <w:b w:val="false"/>
                <w:bCs w:val="false"/>
                <w:color w:val="000000"/>
                <w:sz w:val="20"/>
                <w:szCs w:val="20"/>
              </w:rPr>
              <w:t xml:space="preserve">Per user: /Workspace/Users/&lt;user&gt;/.bundle/&lt;bundle_name&gt;/qa</w:t>
            </w:r>
          </w:p>
        </w:tc>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Deploying user</w:t>
            </w:r>
          </w:p>
        </w:tc>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Pre-release testing from the feature branch</w:t>
            </w:r>
          </w:p>
        </w:tc>
      </w:tr>
      <w:tr>
        <w:tc>
          <w:tcPr>
            <w:tcW w:type="dxa" w:w="900"/>
            <w:shd w:fill="FFFFFF" w:val="clear"/>
            <w:tcMar>
              <w:top w:type="dxa" w:w="80"/>
              <w:left w:type="dxa" w:w="100"/>
              <w:bottom w:type="dxa" w:w="80"/>
              <w:right w:type="dxa" w:w="100"/>
            </w:tcMar>
            <w:vAlign w:val="center"/>
          </w:tcPr>
          <w:p>
            <w:r>
              <w:rPr>
                <w:b w:val="false"/>
                <w:bCs w:val="false"/>
                <w:color w:val="000000"/>
                <w:sz w:val="20"/>
                <w:szCs w:val="20"/>
              </w:rPr>
              <w:t xml:space="preserve">prod</w:t>
            </w:r>
          </w:p>
        </w:tc>
        <w:tc>
          <w:tcPr>
            <w:tcW w:type="dxa" w:w="2500"/>
            <w:shd w:fill="FFFFFF" w:val="clear"/>
            <w:tcMar>
              <w:top w:type="dxa" w:w="80"/>
              <w:left w:type="dxa" w:w="100"/>
              <w:bottom w:type="dxa" w:w="80"/>
              <w:right w:type="dxa" w:w="100"/>
            </w:tcMar>
            <w:vAlign w:val="center"/>
          </w:tcPr>
          <w:p>
            <w:r>
              <w:rPr>
                <w:b w:val="false"/>
                <w:bCs w:val="false"/>
                <w:color w:val="000000"/>
                <w:sz w:val="20"/>
                <w:szCs w:val="20"/>
              </w:rPr>
              <w:t xml:space="preserve">Service principal root path (not a personal folder)</w:t>
            </w:r>
          </w:p>
        </w:tc>
        <w:tc>
          <w:tcPr>
            <w:tcW w:type="dxa" w:w="3200"/>
            <w:shd w:fill="FFFFFF" w:val="clear"/>
            <w:tcMar>
              <w:top w:type="dxa" w:w="80"/>
              <w:left w:type="dxa" w:w="100"/>
              <w:bottom w:type="dxa" w:w="80"/>
              <w:right w:type="dxa" w:w="100"/>
            </w:tcMar>
            <w:vAlign w:val="center"/>
          </w:tcPr>
          <w:p>
            <w:r>
              <w:rPr>
                <w:b w:val="false"/>
                <w:bCs w:val="false"/>
                <w:color w:val="000000"/>
                <w:sz w:val="20"/>
                <w:szCs w:val="20"/>
              </w:rPr>
              <w:t xml:space="preserve">Service principal only</w:t>
            </w:r>
          </w:p>
        </w:tc>
        <w:tc>
          <w:tcPr>
            <w:tcW w:type="dxa" w:w="3200"/>
            <w:shd w:fill="FFFFFF" w:val="clear"/>
            <w:tcMar>
              <w:top w:type="dxa" w:w="80"/>
              <w:left w:type="dxa" w:w="100"/>
              <w:bottom w:type="dxa" w:w="80"/>
              <w:right w:type="dxa" w:w="100"/>
            </w:tcMar>
            <w:vAlign w:val="center"/>
          </w:tcPr>
          <w:p>
            <w:r>
              <w:rPr>
                <w:b w:val="false"/>
                <w:bCs w:val="false"/>
                <w:color w:val="000000"/>
                <w:sz w:val="20"/>
                <w:szCs w:val="20"/>
              </w:rPr>
              <w:t xml:space="preserve">Deployed only on merge to main; never a personal identity</w:t>
            </w:r>
          </w:p>
        </w:tc>
      </w:tr>
    </w:tbl>
    <w:p>
      <w:pPr>
        <w:pStyle w:val="Heading2"/>
        <w:spacing w:after="120" w:before="240"/>
      </w:pPr>
      <w:r>
        <w:t xml:space="preserve">8.3 Global Permissions</w:t>
      </w:r>
    </w:p>
    <w:p>
      <w:pPr>
        <w:spacing w:after="120"/>
      </w:pPr>
      <w:r>
        <w:t xml:space="preserve">Bundle-level permissions grant CAN_MANAGE to a group across all bundle resources. Prod runs and deploys as a service principal.</w:t>
      </w:r>
    </w:p>
    <w:p>
      <w:pPr>
        <w:shd w:fill="F5F5F5" w:val="clear"/>
        <w:spacing w:after="0"/>
      </w:pPr>
      <w:r>
        <w:rPr>
          <w:rFonts w:ascii="Consolas" w:cs="Consolas" w:eastAsia="Consolas" w:hAnsi="Consolas"/>
          <w:color w:val="1F3864"/>
          <w:sz w:val="18"/>
          <w:szCs w:val="18"/>
        </w:rPr>
        <w:t xml:space="preserve">bundle:</w:t>
      </w:r>
    </w:p>
    <w:p>
      <w:pPr>
        <w:shd w:fill="F5F5F5" w:val="clear"/>
        <w:spacing w:after="0"/>
      </w:pPr>
      <w:r>
        <w:rPr>
          <w:rFonts w:ascii="Consolas" w:cs="Consolas" w:eastAsia="Consolas" w:hAnsi="Consolas"/>
          <w:color w:val="1F3864"/>
          <w:sz w:val="18"/>
          <w:szCs w:val="18"/>
        </w:rPr>
        <w:t xml:space="preserve">  name: &lt;bundle_name&gt;</w:t>
      </w:r>
    </w:p>
    <w:p>
      <w:pPr>
        <w:shd w:fill="F5F5F5" w:val="clear"/>
        <w:spacing w:after="0"/>
      </w:pPr>
      <w:r>
        <w:rPr>
          <w:rFonts w:ascii="Consolas" w:cs="Consolas" w:eastAsia="Consolas" w:hAnsi="Consolas"/>
          <w:color w:val="1F3864"/>
          <w:sz w:val="18"/>
          <w:szCs w:val="18"/>
        </w:rPr>
        <w:t xml:space="preserve"> </w:t>
      </w:r>
    </w:p>
    <w:p>
      <w:pPr>
        <w:shd w:fill="F5F5F5" w:val="clear"/>
        <w:spacing w:after="0"/>
      </w:pPr>
      <w:r>
        <w:rPr>
          <w:rFonts w:ascii="Consolas" w:cs="Consolas" w:eastAsia="Consolas" w:hAnsi="Consolas"/>
          <w:color w:val="1F3864"/>
          <w:sz w:val="18"/>
          <w:szCs w:val="18"/>
        </w:rPr>
        <w:t xml:space="preserve">permissions:</w:t>
      </w:r>
    </w:p>
    <w:p>
      <w:pPr>
        <w:shd w:fill="F5F5F5" w:val="clear"/>
        <w:spacing w:after="0"/>
      </w:pPr>
      <w:r>
        <w:rPr>
          <w:rFonts w:ascii="Consolas" w:cs="Consolas" w:eastAsia="Consolas" w:hAnsi="Consolas"/>
          <w:color w:val="1F3864"/>
          <w:sz w:val="18"/>
          <w:szCs w:val="18"/>
        </w:rPr>
        <w:t xml:space="preserve">  - group_name: &lt;to be specified&gt;</w:t>
      </w:r>
    </w:p>
    <w:p>
      <w:pPr>
        <w:shd w:fill="F5F5F5" w:val="clear"/>
        <w:spacing w:after="0"/>
      </w:pPr>
      <w:r>
        <w:rPr>
          <w:rFonts w:ascii="Consolas" w:cs="Consolas" w:eastAsia="Consolas" w:hAnsi="Consolas"/>
          <w:color w:val="1F3864"/>
          <w:sz w:val="18"/>
          <w:szCs w:val="18"/>
        </w:rPr>
        <w:t xml:space="preserve">    level: CAN_MANAGE</w:t>
      </w:r>
    </w:p>
    <w:p>
      <w:pPr>
        <w:shd w:fill="F5F5F5" w:val="clear"/>
        <w:spacing w:after="0"/>
      </w:pPr>
      <w:r>
        <w:rPr>
          <w:rFonts w:ascii="Consolas" w:cs="Consolas" w:eastAsia="Consolas" w:hAnsi="Consolas"/>
          <w:color w:val="1F3864"/>
          <w:sz w:val="18"/>
          <w:szCs w:val="18"/>
        </w:rPr>
        <w:t xml:space="preserve"> </w:t>
      </w:r>
    </w:p>
    <w:p>
      <w:pPr>
        <w:shd w:fill="F5F5F5" w:val="clear"/>
        <w:spacing w:after="0"/>
      </w:pPr>
      <w:r>
        <w:rPr>
          <w:rFonts w:ascii="Consolas" w:cs="Consolas" w:eastAsia="Consolas" w:hAnsi="Consolas"/>
          <w:color w:val="1F3864"/>
          <w:sz w:val="18"/>
          <w:szCs w:val="18"/>
        </w:rPr>
        <w:t xml:space="preserve">targets:</w:t>
      </w:r>
    </w:p>
    <w:p>
      <w:pPr>
        <w:shd w:fill="F5F5F5" w:val="clear"/>
        <w:spacing w:after="0"/>
      </w:pPr>
      <w:r>
        <w:rPr>
          <w:rFonts w:ascii="Consolas" w:cs="Consolas" w:eastAsia="Consolas" w:hAnsi="Consolas"/>
          <w:color w:val="1F3864"/>
          <w:sz w:val="18"/>
          <w:szCs w:val="18"/>
        </w:rPr>
        <w:t xml:space="preserve">  dev:</w:t>
      </w:r>
    </w:p>
    <w:p>
      <w:pPr>
        <w:shd w:fill="F5F5F5" w:val="clear"/>
        <w:spacing w:after="0"/>
      </w:pPr>
      <w:r>
        <w:rPr>
          <w:rFonts w:ascii="Consolas" w:cs="Consolas" w:eastAsia="Consolas" w:hAnsi="Consolas"/>
          <w:color w:val="1F3864"/>
          <w:sz w:val="18"/>
          <w:szCs w:val="18"/>
        </w:rPr>
        <w:t xml:space="preserve">    mode: development</w:t>
      </w:r>
    </w:p>
    <w:p>
      <w:pPr>
        <w:shd w:fill="F5F5F5" w:val="clear"/>
        <w:spacing w:after="0"/>
      </w:pPr>
      <w:r>
        <w:rPr>
          <w:rFonts w:ascii="Consolas" w:cs="Consolas" w:eastAsia="Consolas" w:hAnsi="Consolas"/>
          <w:color w:val="1F3864"/>
          <w:sz w:val="18"/>
          <w:szCs w:val="18"/>
        </w:rPr>
        <w:t xml:space="preserve">    workspace:</w:t>
      </w:r>
    </w:p>
    <w:p>
      <w:pPr>
        <w:shd w:fill="F5F5F5" w:val="clear"/>
        <w:spacing w:after="0"/>
      </w:pPr>
      <w:r>
        <w:rPr>
          <w:rFonts w:ascii="Consolas" w:cs="Consolas" w:eastAsia="Consolas" w:hAnsi="Consolas"/>
          <w:color w:val="1F3864"/>
          <w:sz w:val="18"/>
          <w:szCs w:val="18"/>
        </w:rPr>
        <w:t xml:space="preserve">      host: &lt;dev workspace url&gt;</w:t>
      </w:r>
    </w:p>
    <w:p>
      <w:pPr>
        <w:shd w:fill="F5F5F5" w:val="clear"/>
        <w:spacing w:after="0"/>
      </w:pPr>
      <w:r>
        <w:rPr>
          <w:rFonts w:ascii="Consolas" w:cs="Consolas" w:eastAsia="Consolas" w:hAnsi="Consolas"/>
          <w:color w:val="1F3864"/>
          <w:sz w:val="18"/>
          <w:szCs w:val="18"/>
        </w:rPr>
        <w:t xml:space="preserve">      root_path: /Workspace/Users/&lt;user&gt;/.bundle/${bundle.name}/${bundle.target}</w:t>
      </w:r>
    </w:p>
    <w:p>
      <w:pPr>
        <w:shd w:fill="F5F5F5" w:val="clear"/>
        <w:spacing w:after="0"/>
      </w:pPr>
      <w:r>
        <w:rPr>
          <w:rFonts w:ascii="Consolas" w:cs="Consolas" w:eastAsia="Consolas" w:hAnsi="Consolas"/>
          <w:color w:val="1F3864"/>
          <w:sz w:val="18"/>
          <w:szCs w:val="18"/>
        </w:rPr>
        <w:t xml:space="preserve">  qa:</w:t>
      </w:r>
    </w:p>
    <w:p>
      <w:pPr>
        <w:shd w:fill="F5F5F5" w:val="clear"/>
        <w:spacing w:after="0"/>
      </w:pPr>
      <w:r>
        <w:rPr>
          <w:rFonts w:ascii="Consolas" w:cs="Consolas" w:eastAsia="Consolas" w:hAnsi="Consolas"/>
          <w:color w:val="1F3864"/>
          <w:sz w:val="18"/>
          <w:szCs w:val="18"/>
        </w:rPr>
        <w:t xml:space="preserve">    workspace:</w:t>
      </w:r>
    </w:p>
    <w:p>
      <w:pPr>
        <w:shd w:fill="F5F5F5" w:val="clear"/>
        <w:spacing w:after="0"/>
      </w:pPr>
      <w:r>
        <w:rPr>
          <w:rFonts w:ascii="Consolas" w:cs="Consolas" w:eastAsia="Consolas" w:hAnsi="Consolas"/>
          <w:color w:val="1F3864"/>
          <w:sz w:val="18"/>
          <w:szCs w:val="18"/>
        </w:rPr>
        <w:t xml:space="preserve">      host: &lt;qa workspace url&gt;</w:t>
      </w:r>
    </w:p>
    <w:p>
      <w:pPr>
        <w:shd w:fill="F5F5F5" w:val="clear"/>
        <w:spacing w:after="0"/>
      </w:pPr>
      <w:r>
        <w:rPr>
          <w:rFonts w:ascii="Consolas" w:cs="Consolas" w:eastAsia="Consolas" w:hAnsi="Consolas"/>
          <w:color w:val="1F3864"/>
          <w:sz w:val="18"/>
          <w:szCs w:val="18"/>
        </w:rPr>
        <w:t xml:space="preserve">      root_path: /Workspace/Users/&lt;user&gt;/.bundle/${bundle.name}/${bundle.target}</w:t>
      </w:r>
    </w:p>
    <w:p>
      <w:pPr>
        <w:shd w:fill="F5F5F5" w:val="clear"/>
        <w:spacing w:after="0"/>
      </w:pPr>
      <w:r>
        <w:rPr>
          <w:rFonts w:ascii="Consolas" w:cs="Consolas" w:eastAsia="Consolas" w:hAnsi="Consolas"/>
          <w:color w:val="1F3864"/>
          <w:sz w:val="18"/>
          <w:szCs w:val="18"/>
        </w:rPr>
        <w:t xml:space="preserve">    # run_as: deploying user (default)</w:t>
      </w:r>
    </w:p>
    <w:p>
      <w:pPr>
        <w:shd w:fill="F5F5F5" w:val="clear"/>
        <w:spacing w:after="0"/>
      </w:pPr>
      <w:r>
        <w:rPr>
          <w:rFonts w:ascii="Consolas" w:cs="Consolas" w:eastAsia="Consolas" w:hAnsi="Consolas"/>
          <w:color w:val="1F3864"/>
          <w:sz w:val="18"/>
          <w:szCs w:val="18"/>
        </w:rPr>
        <w:t xml:space="preserve">  prod:</w:t>
      </w:r>
    </w:p>
    <w:p>
      <w:pPr>
        <w:shd w:fill="F5F5F5" w:val="clear"/>
        <w:spacing w:after="0"/>
      </w:pPr>
      <w:r>
        <w:rPr>
          <w:rFonts w:ascii="Consolas" w:cs="Consolas" w:eastAsia="Consolas" w:hAnsi="Consolas"/>
          <w:color w:val="1F3864"/>
          <w:sz w:val="18"/>
          <w:szCs w:val="18"/>
        </w:rPr>
        <w:t xml:space="preserve">    mode: production</w:t>
      </w:r>
    </w:p>
    <w:p>
      <w:pPr>
        <w:shd w:fill="F5F5F5" w:val="clear"/>
        <w:spacing w:after="0"/>
      </w:pPr>
      <w:r>
        <w:rPr>
          <w:rFonts w:ascii="Consolas" w:cs="Consolas" w:eastAsia="Consolas" w:hAnsi="Consolas"/>
          <w:color w:val="1F3864"/>
          <w:sz w:val="18"/>
          <w:szCs w:val="18"/>
        </w:rPr>
        <w:t xml:space="preserve">    workspace:</w:t>
      </w:r>
    </w:p>
    <w:p>
      <w:pPr>
        <w:shd w:fill="F5F5F5" w:val="clear"/>
        <w:spacing w:after="0"/>
      </w:pPr>
      <w:r>
        <w:rPr>
          <w:rFonts w:ascii="Consolas" w:cs="Consolas" w:eastAsia="Consolas" w:hAnsi="Consolas"/>
          <w:color w:val="1F3864"/>
          <w:sz w:val="18"/>
          <w:szCs w:val="18"/>
        </w:rPr>
        <w:t xml:space="preserve">      host: &lt;prod workspace url&gt;</w:t>
      </w:r>
    </w:p>
    <w:p>
      <w:pPr>
        <w:shd w:fill="F5F5F5" w:val="clear"/>
        <w:spacing w:after="0"/>
      </w:pPr>
      <w:r>
        <w:rPr>
          <w:rFonts w:ascii="Consolas" w:cs="Consolas" w:eastAsia="Consolas" w:hAnsi="Consolas"/>
          <w:color w:val="1F3864"/>
          <w:sz w:val="18"/>
          <w:szCs w:val="18"/>
        </w:rPr>
        <w:t xml:space="preserve">      root_path: /Workspace/Users/&lt;service principal application id&gt;/.bundle/${bundle.name}/${bundle.target}</w:t>
      </w:r>
    </w:p>
    <w:p>
      <w:pPr>
        <w:shd w:fill="F5F5F5" w:val="clear"/>
        <w:spacing w:after="0"/>
      </w:pPr>
      <w:r>
        <w:rPr>
          <w:rFonts w:ascii="Consolas" w:cs="Consolas" w:eastAsia="Consolas" w:hAnsi="Consolas"/>
          <w:color w:val="1F3864"/>
          <w:sz w:val="18"/>
          <w:szCs w:val="18"/>
        </w:rPr>
        <w:t xml:space="preserve">    run_as:</w:t>
      </w:r>
    </w:p>
    <w:p>
      <w:pPr>
        <w:shd w:fill="F5F5F5" w:val="clear"/>
        <w:spacing w:after="0"/>
      </w:pPr>
      <w:r>
        <w:rPr>
          <w:rFonts w:ascii="Consolas" w:cs="Consolas" w:eastAsia="Consolas" w:hAnsi="Consolas"/>
          <w:color w:val="1F3864"/>
          <w:sz w:val="18"/>
          <w:szCs w:val="18"/>
        </w:rPr>
        <w:t xml:space="preserve">      service_principal_name: &lt;service principal application id&gt;</w:t>
      </w:r>
    </w:p>
    <w:p>
      <w:pPr>
        <w:pStyle w:val="Heading1"/>
        <w:spacing w:after="160" w:before="320"/>
      </w:pPr>
      <w:r>
        <w:t xml:space="preserve">9. DE vs. Analyst Access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900"/>
      </w:tblGrid>
      <w:tr>
        <w:tc>
          <w:tcPr>
            <w:tcW w:type="dxa" w:w="2000"/>
            <w:shd w:fill="1F3864" w:val="clear"/>
            <w:tcMar>
              <w:top w:type="dxa" w:w="80"/>
              <w:left w:type="dxa" w:w="100"/>
              <w:bottom w:type="dxa" w:w="80"/>
              <w:right w:type="dxa" w:w="100"/>
            </w:tcMar>
            <w:vAlign w:val="center"/>
          </w:tcPr>
          <w:p>
            <w:r>
              <w:rPr>
                <w:b/>
                <w:bCs/>
                <w:color w:val="FFFFFF"/>
                <w:sz w:val="20"/>
                <w:szCs w:val="20"/>
              </w:rPr>
              <w:t xml:space="preserve">Persona</w:t>
            </w:r>
          </w:p>
        </w:tc>
        <w:tc>
          <w:tcPr>
            <w:tcW w:type="dxa" w:w="3900"/>
            <w:shd w:fill="1F3864" w:val="clear"/>
            <w:tcMar>
              <w:top w:type="dxa" w:w="80"/>
              <w:left w:type="dxa" w:w="100"/>
              <w:bottom w:type="dxa" w:w="80"/>
              <w:right w:type="dxa" w:w="100"/>
            </w:tcMar>
            <w:vAlign w:val="center"/>
          </w:tcPr>
          <w:p>
            <w:r>
              <w:rPr>
                <w:b/>
                <w:bCs/>
                <w:color w:val="FFFFFF"/>
                <w:sz w:val="20"/>
                <w:szCs w:val="20"/>
              </w:rPr>
              <w:t xml:space="preserve">Can access</w:t>
            </w:r>
          </w:p>
        </w:tc>
        <w:tc>
          <w:tcPr>
            <w:tcW w:type="dxa" w:w="3900"/>
            <w:shd w:fill="1F3864" w:val="clear"/>
            <w:tcMar>
              <w:top w:type="dxa" w:w="80"/>
              <w:left w:type="dxa" w:w="100"/>
              <w:bottom w:type="dxa" w:w="80"/>
              <w:right w:type="dxa" w:w="100"/>
            </w:tcMar>
            <w:vAlign w:val="center"/>
          </w:tcPr>
          <w:p>
            <w:r>
              <w:rPr>
                <w:b/>
                <w:bCs/>
                <w:color w:val="FFFFFF"/>
                <w:sz w:val="20"/>
                <w:szCs w:val="20"/>
              </w:rPr>
              <w:t xml:space="preserve">Cannot access</w:t>
            </w:r>
          </w:p>
        </w:tc>
      </w:tr>
      <w:tr>
        <w:tc>
          <w:tcPr>
            <w:tcW w:type="dxa" w:w="2000"/>
            <w:shd w:fill="FFFFFF" w:val="clear"/>
            <w:tcMar>
              <w:top w:type="dxa" w:w="80"/>
              <w:left w:type="dxa" w:w="100"/>
              <w:bottom w:type="dxa" w:w="80"/>
              <w:right w:type="dxa" w:w="100"/>
            </w:tcMar>
            <w:vAlign w:val="center"/>
          </w:tcPr>
          <w:p>
            <w:r>
              <w:rPr>
                <w:b w:val="false"/>
                <w:bCs w:val="false"/>
                <w:color w:val="000000"/>
                <w:sz w:val="20"/>
                <w:szCs w:val="20"/>
              </w:rPr>
              <w:t xml:space="preserve">Data Engineer</w:t>
            </w:r>
          </w:p>
        </w:tc>
        <w:tc>
          <w:tcPr>
            <w:tcW w:type="dxa" w:w="3900"/>
            <w:shd w:fill="FFFFFF" w:val="clear"/>
            <w:tcMar>
              <w:top w:type="dxa" w:w="80"/>
              <w:left w:type="dxa" w:w="100"/>
              <w:bottom w:type="dxa" w:w="80"/>
              <w:right w:type="dxa" w:w="100"/>
            </w:tcMar>
            <w:vAlign w:val="center"/>
          </w:tcPr>
          <w:p>
            <w:r>
              <w:rPr>
                <w:b w:val="false"/>
                <w:bCs w:val="false"/>
                <w:color w:val="000000"/>
                <w:sz w:val="20"/>
                <w:szCs w:val="20"/>
              </w:rPr>
              <w:t xml:space="preserve">Silver and Gold (read/write); dev and qa freely; prod via pipeline only</w:t>
            </w:r>
          </w:p>
        </w:tc>
        <w:tc>
          <w:tcPr>
            <w:tcW w:type="dxa" w:w="3900"/>
            <w:shd w:fill="FFFFFF" w:val="clear"/>
            <w:tcMar>
              <w:top w:type="dxa" w:w="80"/>
              <w:left w:type="dxa" w:w="100"/>
              <w:bottom w:type="dxa" w:w="80"/>
              <w:right w:type="dxa" w:w="100"/>
            </w:tcMar>
            <w:vAlign w:val="center"/>
          </w:tcPr>
          <w:p>
            <w:r>
              <w:rPr>
                <w:b w:val="false"/>
                <w:bCs w:val="false"/>
                <w:color w:val="000000"/>
                <w:sz w:val="20"/>
                <w:szCs w:val="20"/>
              </w:rPr>
              <w:t xml:space="preserve">BIS tables (write); manual writes to prod</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Analyst</w:t>
            </w:r>
          </w:p>
        </w:tc>
        <w:tc>
          <w:tcPr>
            <w:tcW w:type="dxa" w:w="3900"/>
            <w:shd w:fill="F2F2F2" w:val="clear"/>
            <w:tcMar>
              <w:top w:type="dxa" w:w="80"/>
              <w:left w:type="dxa" w:w="100"/>
              <w:bottom w:type="dxa" w:w="80"/>
              <w:right w:type="dxa" w:w="100"/>
            </w:tcMar>
            <w:vAlign w:val="center"/>
          </w:tcPr>
          <w:p>
            <w:r>
              <w:rPr>
                <w:b w:val="false"/>
                <w:bCs w:val="false"/>
                <w:color w:val="000000"/>
                <w:sz w:val="20"/>
                <w:szCs w:val="20"/>
              </w:rPr>
              <w:t xml:space="preserve">Gold only (read), plus a dedicated sandbox folder if needed</w:t>
            </w:r>
          </w:p>
        </w:tc>
        <w:tc>
          <w:tcPr>
            <w:tcW w:type="dxa" w:w="3900"/>
            <w:shd w:fill="F2F2F2" w:val="clear"/>
            <w:tcMar>
              <w:top w:type="dxa" w:w="80"/>
              <w:left w:type="dxa" w:w="100"/>
              <w:bottom w:type="dxa" w:w="80"/>
              <w:right w:type="dxa" w:w="100"/>
            </w:tcMar>
            <w:vAlign w:val="center"/>
          </w:tcPr>
          <w:p>
            <w:r>
              <w:rPr>
                <w:b w:val="false"/>
                <w:bCs w:val="false"/>
                <w:color w:val="000000"/>
                <w:sz w:val="20"/>
                <w:szCs w:val="20"/>
              </w:rPr>
              <w:t xml:space="preserve">Raw, Silver, and DE job/repo folders</w:t>
            </w:r>
          </w:p>
        </w:tc>
      </w:tr>
    </w:tbl>
    <w:p>
      <w:pPr>
        <w:spacing w:after="160"/>
      </w:pPr>
      <w:r>
        <w:rPr>
          <w:i/>
          <w:iCs/>
          <w:color w:val="555555"/>
          <w:sz w:val="20"/>
          <w:szCs w:val="20"/>
        </w:rPr>
        <w:t xml:space="preserve">Group and permission setup is owned by BIS / Central IT.</w:t>
      </w:r>
    </w:p>
    <w:p>
      <w:pPr>
        <w:pStyle w:val="Heading1"/>
        <w:spacing w:after="160" w:before="320"/>
      </w:pPr>
      <w:r>
        <w:t xml:space="preserve">10. Quality, Audit &amp; Reuse</w:t>
      </w:r>
    </w:p>
    <w:p>
      <w:pPr>
        <w:pStyle w:val="ListParagraph"/>
        <w:numPr>
          <w:ilvl w:val="0"/>
          <w:numId w:val="2"/>
        </w:numPr>
        <w:spacing w:after="60"/>
      </w:pPr>
      <w:r>
        <w:rPr>
          <w:b w:val="false"/>
          <w:bCs w:val="false"/>
        </w:rPr>
        <w:t xml:space="preserve">DQX rules are defined per table and referenced in its data contract, including warn / quarantine / fail thresholds and who is notified when records are quarantined.</w:t>
      </w:r>
    </w:p>
    <w:p>
      <w:pPr>
        <w:pStyle w:val="ListParagraph"/>
        <w:numPr>
          <w:ilvl w:val="0"/>
          <w:numId w:val="2"/>
        </w:numPr>
        <w:spacing w:after="60"/>
      </w:pPr>
      <w:r>
        <w:rPr>
          <w:b w:val="false"/>
          <w:bCs w:val="false"/>
        </w:rPr>
        <w:t xml:space="preserve">Every pipeline run writes an audit record: pipeline name, run ID, source and target tables, start/end time, status, and row counts (read, written, quarantined).</w:t>
      </w:r>
    </w:p>
    <w:p>
      <w:pPr>
        <w:pStyle w:val="ListParagraph"/>
        <w:numPr>
          <w:ilvl w:val="0"/>
          <w:numId w:val="2"/>
        </w:numPr>
        <w:spacing w:after="60"/>
      </w:pPr>
      <w:r>
        <w:rPr>
          <w:b w:val="false"/>
          <w:bCs w:val="false"/>
        </w:rPr>
        <w:t xml:space="preserve">Lineage comes from Unity Catalog's built-in lineage.</w:t>
      </w:r>
    </w:p>
    <w:p>
      <w:pPr>
        <w:pStyle w:val="ListParagraph"/>
        <w:numPr>
          <w:ilvl w:val="0"/>
          <w:numId w:val="2"/>
        </w:numPr>
        <w:spacing w:after="60"/>
      </w:pPr>
      <w:r>
        <w:rPr>
          <w:b w:val="false"/>
          <w:bCs w:val="false"/>
        </w:rPr>
        <w:t xml:space="preserve">Reuse shared helper code (DQX wrapper, audit logger, config reader) instead of copying notebooks per table.</w:t>
      </w:r>
    </w:p>
    <w:p>
      <w:pPr>
        <w:pStyle w:val="Heading1"/>
        <w:spacing w:after="160" w:before="320"/>
      </w:pPr>
      <w:r>
        <w:t xml:space="preserve">11. Repo Naming Standards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4000"/>
      </w:tblGrid>
      <w:tr>
        <w:tc>
          <w:tcPr>
            <w:tcW w:type="dxa" w:w="2300"/>
            <w:shd w:fill="1F3864" w:val="clear"/>
            <w:tcMar>
              <w:top w:type="dxa" w:w="80"/>
              <w:left w:type="dxa" w:w="100"/>
              <w:bottom w:type="dxa" w:w="80"/>
              <w:right w:type="dxa" w:w="100"/>
            </w:tcMar>
            <w:vAlign w:val="center"/>
          </w:tcPr>
          <w:p>
            <w:r>
              <w:rPr>
                <w:b/>
                <w:bCs/>
                <w:color w:val="FFFFFF"/>
                <w:sz w:val="20"/>
                <w:szCs w:val="20"/>
              </w:rPr>
              <w:t xml:space="preserve">Object</w:t>
            </w:r>
          </w:p>
        </w:tc>
        <w:tc>
          <w:tcPr>
            <w:tcW w:type="dxa" w:w="3500"/>
            <w:shd w:fill="1F3864" w:val="clear"/>
            <w:tcMar>
              <w:top w:type="dxa" w:w="80"/>
              <w:left w:type="dxa" w:w="100"/>
              <w:bottom w:type="dxa" w:w="80"/>
              <w:right w:type="dxa" w:w="100"/>
            </w:tcMar>
            <w:vAlign w:val="center"/>
          </w:tcPr>
          <w:p>
            <w:r>
              <w:rPr>
                <w:b/>
                <w:bCs/>
                <w:color w:val="FFFFFF"/>
                <w:sz w:val="20"/>
                <w:szCs w:val="20"/>
              </w:rPr>
              <w:t xml:space="preserve">Pattern</w:t>
            </w:r>
          </w:p>
        </w:tc>
        <w:tc>
          <w:tcPr>
            <w:tcW w:type="dxa" w:w="4000"/>
            <w:shd w:fill="1F3864" w:val="clear"/>
            <w:tcMar>
              <w:top w:type="dxa" w:w="80"/>
              <w:left w:type="dxa" w:w="100"/>
              <w:bottom w:type="dxa" w:w="80"/>
              <w:right w:type="dxa" w:w="100"/>
            </w:tcMar>
            <w:vAlign w:val="center"/>
          </w:tcPr>
          <w:p>
            <w:r>
              <w:rPr>
                <w:b/>
                <w:bCs/>
                <w:color w:val="FFFFFF"/>
                <w:sz w:val="20"/>
                <w:szCs w:val="20"/>
              </w:rPr>
              <w:t xml:space="preserve">Example</w:t>
            </w:r>
          </w:p>
        </w:tc>
      </w:tr>
      <w:tr>
        <w:tc>
          <w:tcPr>
            <w:tcW w:type="dxa" w:w="2300"/>
            <w:shd w:fill="FFFFFF" w:val="clear"/>
            <w:tcMar>
              <w:top w:type="dxa" w:w="80"/>
              <w:left w:type="dxa" w:w="100"/>
              <w:bottom w:type="dxa" w:w="80"/>
              <w:right w:type="dxa" w:w="100"/>
            </w:tcMar>
            <w:vAlign w:val="center"/>
          </w:tcPr>
          <w:p>
            <w:r>
              <w:rPr>
                <w:b w:val="false"/>
                <w:bCs w:val="false"/>
                <w:color w:val="000000"/>
                <w:sz w:val="20"/>
                <w:szCs w:val="20"/>
              </w:rPr>
              <w:t xml:space="preserve">Project umbrella</w:t>
            </w:r>
          </w:p>
        </w:tc>
        <w:tc>
          <w:tcPr>
            <w:tcW w:type="dxa" w:w="3500"/>
            <w:shd w:fill="FFFFFF" w:val="clear"/>
            <w:tcMar>
              <w:top w:type="dxa" w:w="80"/>
              <w:left w:type="dxa" w:w="100"/>
              <w:bottom w:type="dxa" w:w="80"/>
              <w:right w:type="dxa" w:w="100"/>
            </w:tcMar>
            <w:vAlign w:val="center"/>
          </w:tcPr>
          <w:p>
            <w:r>
              <w:rPr>
                <w:b w:val="false"/>
                <w:bCs w:val="false"/>
                <w:color w:val="000000"/>
                <w:sz w:val="20"/>
                <w:szCs w:val="20"/>
              </w:rPr>
              <w:t xml:space="preserve">aftermarketdbx</w:t>
            </w:r>
          </w:p>
        </w:tc>
        <w:tc>
          <w:tcPr>
            <w:tcW w:type="dxa" w:w="4000"/>
            <w:shd w:fill="FFFFFF" w:val="clear"/>
            <w:tcMar>
              <w:top w:type="dxa" w:w="80"/>
              <w:left w:type="dxa" w:w="100"/>
              <w:bottom w:type="dxa" w:w="80"/>
              <w:right w:type="dxa" w:w="100"/>
            </w:tcMar>
            <w:vAlign w:val="center"/>
          </w:tcPr>
          <w:p>
            <w:r>
              <w:rPr>
                <w:b w:val="false"/>
                <w:bCs w:val="false"/>
                <w:color w:val="000000"/>
                <w:sz w:val="20"/>
                <w:szCs w:val="20"/>
              </w:rPr>
              <w:t xml:space="preserve">aftermarketdbx</w:t>
            </w:r>
          </w:p>
        </w:tc>
      </w:tr>
      <w:tr>
        <w:tc>
          <w:tcPr>
            <w:tcW w:type="dxa" w:w="2300"/>
            <w:shd w:fill="F2F2F2" w:val="clear"/>
            <w:tcMar>
              <w:top w:type="dxa" w:w="80"/>
              <w:left w:type="dxa" w:w="100"/>
              <w:bottom w:type="dxa" w:w="80"/>
              <w:right w:type="dxa" w:w="100"/>
            </w:tcMar>
            <w:vAlign w:val="center"/>
          </w:tcPr>
          <w:p>
            <w:r>
              <w:rPr>
                <w:b w:val="false"/>
                <w:bCs w:val="false"/>
                <w:color w:val="000000"/>
                <w:sz w:val="20"/>
                <w:szCs w:val="20"/>
              </w:rPr>
              <w:t xml:space="preserve">Source repo</w:t>
            </w:r>
          </w:p>
        </w:tc>
        <w:tc>
          <w:tcPr>
            <w:tcW w:type="dxa" w:w="3500"/>
            <w:shd w:fill="F2F2F2" w:val="clear"/>
            <w:tcMar>
              <w:top w:type="dxa" w:w="80"/>
              <w:left w:type="dxa" w:w="100"/>
              <w:bottom w:type="dxa" w:w="80"/>
              <w:right w:type="dxa" w:w="100"/>
            </w:tcMar>
            <w:vAlign w:val="center"/>
          </w:tcPr>
          <w:p>
            <w:r>
              <w:rPr>
                <w:b w:val="false"/>
                <w:bCs w:val="false"/>
                <w:color w:val="000000"/>
                <w:sz w:val="20"/>
                <w:szCs w:val="20"/>
              </w:rPr>
              <w:t xml:space="preserve">aftermarketdbx-&lt;source/project&gt;</w:t>
            </w:r>
          </w:p>
        </w:tc>
        <w:tc>
          <w:tcPr>
            <w:tcW w:type="dxa" w:w="4000"/>
            <w:shd w:fill="F2F2F2" w:val="clear"/>
            <w:tcMar>
              <w:top w:type="dxa" w:w="80"/>
              <w:left w:type="dxa" w:w="100"/>
              <w:bottom w:type="dxa" w:w="80"/>
              <w:right w:type="dxa" w:w="100"/>
            </w:tcMar>
            <w:vAlign w:val="center"/>
          </w:tcPr>
          <w:p>
            <w:r>
              <w:rPr>
                <w:b w:val="false"/>
                <w:bCs w:val="false"/>
                <w:color w:val="000000"/>
                <w:sz w:val="20"/>
                <w:szCs w:val="20"/>
              </w:rPr>
              <w:t xml:space="preserve">aftermarketdbx-sap, aftermarketdbx-sio</w:t>
            </w:r>
          </w:p>
        </w:tc>
      </w:tr>
      <w:tr>
        <w:tc>
          <w:tcPr>
            <w:tcW w:type="dxa" w:w="2300"/>
            <w:shd w:fill="FFFFFF" w:val="clear"/>
            <w:tcMar>
              <w:top w:type="dxa" w:w="80"/>
              <w:left w:type="dxa" w:w="100"/>
              <w:bottom w:type="dxa" w:w="80"/>
              <w:right w:type="dxa" w:w="100"/>
            </w:tcMar>
            <w:vAlign w:val="center"/>
          </w:tcPr>
          <w:p>
            <w:r>
              <w:rPr>
                <w:b w:val="false"/>
                <w:bCs w:val="false"/>
                <w:color w:val="000000"/>
                <w:sz w:val="20"/>
                <w:szCs w:val="20"/>
              </w:rPr>
              <w:t xml:space="preserve">Shared framework repo</w:t>
            </w:r>
          </w:p>
        </w:tc>
        <w:tc>
          <w:tcPr>
            <w:tcW w:type="dxa" w:w="3500"/>
            <w:shd w:fill="FFFFFF" w:val="clear"/>
            <w:tcMar>
              <w:top w:type="dxa" w:w="80"/>
              <w:left w:type="dxa" w:w="100"/>
              <w:bottom w:type="dxa" w:w="80"/>
              <w:right w:type="dxa" w:w="100"/>
            </w:tcMar>
            <w:vAlign w:val="center"/>
          </w:tcPr>
          <w:p>
            <w:r>
              <w:rPr>
                <w:b w:val="false"/>
                <w:bCs w:val="false"/>
                <w:color w:val="000000"/>
                <w:sz w:val="20"/>
                <w:szCs w:val="20"/>
              </w:rPr>
              <w:t xml:space="preserve">aftermarketdbx-framework</w:t>
            </w:r>
          </w:p>
        </w:tc>
        <w:tc>
          <w:tcPr>
            <w:tcW w:type="dxa" w:w="4000"/>
            <w:shd w:fill="FFFFFF" w:val="clear"/>
            <w:tcMar>
              <w:top w:type="dxa" w:w="80"/>
              <w:left w:type="dxa" w:w="100"/>
              <w:bottom w:type="dxa" w:w="80"/>
              <w:right w:type="dxa" w:w="100"/>
            </w:tcMar>
            <w:vAlign w:val="center"/>
          </w:tcPr>
          <w:p>
            <w:r>
              <w:rPr>
                <w:b w:val="false"/>
                <w:bCs w:val="false"/>
                <w:color w:val="000000"/>
                <w:sz w:val="20"/>
                <w:szCs w:val="20"/>
              </w:rPr>
              <w:t xml:space="preserve">aftermarketdbx-framework</w:t>
            </w:r>
          </w:p>
        </w:tc>
      </w:tr>
      <w:tr>
        <w:tc>
          <w:tcPr>
            <w:tcW w:type="dxa" w:w="2300"/>
            <w:shd w:fill="F2F2F2" w:val="clear"/>
            <w:tcMar>
              <w:top w:type="dxa" w:w="80"/>
              <w:left w:type="dxa" w:w="100"/>
              <w:bottom w:type="dxa" w:w="80"/>
              <w:right w:type="dxa" w:w="100"/>
            </w:tcMar>
            <w:vAlign w:val="center"/>
          </w:tcPr>
          <w:p>
            <w:r>
              <w:rPr>
                <w:b w:val="false"/>
                <w:bCs w:val="false"/>
                <w:color w:val="000000"/>
                <w:sz w:val="20"/>
                <w:szCs w:val="20"/>
              </w:rPr>
              <w:t xml:space="preserve">Contract path (inside a source repo)</w:t>
            </w:r>
          </w:p>
        </w:tc>
        <w:tc>
          <w:tcPr>
            <w:tcW w:type="dxa" w:w="3500"/>
            <w:shd w:fill="F2F2F2" w:val="clear"/>
            <w:tcMar>
              <w:top w:type="dxa" w:w="80"/>
              <w:left w:type="dxa" w:w="100"/>
              <w:bottom w:type="dxa" w:w="80"/>
              <w:right w:type="dxa" w:w="100"/>
            </w:tcMar>
            <w:vAlign w:val="center"/>
          </w:tcPr>
          <w:p>
            <w:r>
              <w:rPr>
                <w:b w:val="false"/>
                <w:bCs w:val="false"/>
                <w:color w:val="000000"/>
                <w:sz w:val="20"/>
                <w:szCs w:val="20"/>
              </w:rPr>
              <w:t xml:space="preserve">contracts/&lt;catalog&gt;.&lt;schema&gt;.&lt;table&gt;/contract.yaml</w:t>
            </w:r>
          </w:p>
        </w:tc>
        <w:tc>
          <w:tcPr>
            <w:tcW w:type="dxa" w:w="4000"/>
            <w:shd w:fill="F2F2F2" w:val="clear"/>
            <w:tcMar>
              <w:top w:type="dxa" w:w="80"/>
              <w:left w:type="dxa" w:w="100"/>
              <w:bottom w:type="dxa" w:w="80"/>
              <w:right w:type="dxa" w:w="100"/>
            </w:tcMar>
            <w:vAlign w:val="center"/>
          </w:tcPr>
          <w:p>
            <w:r>
              <w:rPr>
                <w:b w:val="false"/>
                <w:bCs w:val="false"/>
                <w:color w:val="000000"/>
                <w:sz w:val="20"/>
                <w:szCs w:val="20"/>
              </w:rPr>
              <w:t xml:space="preserve">contracts/name-101.gold.gold_finance_gl_summary/contract.yaml</w:t>
            </w:r>
          </w:p>
        </w:tc>
      </w:tr>
    </w:tbl>
    <w:p>
      <w:pPr>
        <w:pStyle w:val="Heading1"/>
        <w:spacing w:after="160" w:before="320"/>
      </w:pPr>
      <w:r>
        <w:t xml:space="preserve">12. Appendix — Diagram Source (Mermaid)</w:t>
      </w:r>
    </w:p>
    <w:p>
      <w:pPr>
        <w:pStyle w:val="Heading2"/>
        <w:spacing w:after="120" w:before="240"/>
      </w:pPr>
      <w:r>
        <w:t xml:space="preserve">A.1 Proposed Architecture</w:t>
      </w:r>
    </w:p>
    <w:p>
      <w:pPr>
        <w:shd w:fill="F5F5F5" w:val="clear"/>
        <w:spacing w:after="0"/>
      </w:pPr>
      <w:r>
        <w:rPr>
          <w:rFonts w:ascii="Consolas" w:cs="Consolas" w:eastAsia="Consolas" w:hAnsi="Consolas"/>
          <w:color w:val="1F3864"/>
          <w:sz w:val="18"/>
          <w:szCs w:val="18"/>
        </w:rPr>
        <w:t xml:space="preserve">flowchart LR</w:t>
      </w:r>
    </w:p>
    <w:p>
      <w:pPr>
        <w:shd w:fill="F5F5F5" w:val="clear"/>
        <w:spacing w:after="0"/>
      </w:pPr>
      <w:r>
        <w:rPr>
          <w:rFonts w:ascii="Consolas" w:cs="Consolas" w:eastAsia="Consolas" w:hAnsi="Consolas"/>
          <w:color w:val="1F3864"/>
          <w:sz w:val="18"/>
          <w:szCs w:val="18"/>
        </w:rPr>
        <w:t xml:space="preserve">  SAP --&gt; BIS[BIS Extraction]</w:t>
      </w:r>
    </w:p>
    <w:p>
      <w:pPr>
        <w:shd w:fill="F5F5F5" w:val="clear"/>
        <w:spacing w:after="0"/>
      </w:pPr>
      <w:r>
        <w:rPr>
          <w:rFonts w:ascii="Consolas" w:cs="Consolas" w:eastAsia="Consolas" w:hAnsi="Consolas"/>
          <w:color w:val="1F3864"/>
          <w:sz w:val="18"/>
          <w:szCs w:val="18"/>
        </w:rPr>
        <w:t xml:space="preserve">  CIO --&gt; BIS</w:t>
      </w:r>
    </w:p>
    <w:p>
      <w:pPr>
        <w:shd w:fill="F5F5F5" w:val="clear"/>
        <w:spacing w:after="0"/>
      </w:pPr>
      <w:r>
        <w:rPr>
          <w:rFonts w:ascii="Consolas" w:cs="Consolas" w:eastAsia="Consolas" w:hAnsi="Consolas"/>
          <w:color w:val="1F3864"/>
          <w:sz w:val="18"/>
          <w:szCs w:val="18"/>
        </w:rPr>
        <w:t xml:space="preserve">  Excel[Raw Excel] --&gt; BIS</w:t>
      </w:r>
    </w:p>
    <w:p>
      <w:pPr>
        <w:shd w:fill="F5F5F5" w:val="clear"/>
        <w:spacing w:after="0"/>
      </w:pPr>
      <w:r>
        <w:rPr>
          <w:rFonts w:ascii="Consolas" w:cs="Consolas" w:eastAsia="Consolas" w:hAnsi="Consolas"/>
          <w:color w:val="1F3864"/>
          <w:sz w:val="18"/>
          <w:szCs w:val="18"/>
        </w:rPr>
        <w:t xml:space="preserve">  API --&gt; BIS</w:t>
      </w:r>
    </w:p>
    <w:p>
      <w:pPr>
        <w:shd w:fill="F5F5F5" w:val="clear"/>
        <w:spacing w:after="0"/>
      </w:pPr>
      <w:r>
        <w:rPr>
          <w:rFonts w:ascii="Consolas" w:cs="Consolas" w:eastAsia="Consolas" w:hAnsi="Consolas"/>
          <w:color w:val="1F3864"/>
          <w:sz w:val="18"/>
          <w:szCs w:val="18"/>
        </w:rPr>
        <w:t xml:space="preserve">  BIS --&gt; RAW[(BIS prod_silver = our RAW)]</w:t>
      </w:r>
    </w:p>
    <w:p>
      <w:pPr>
        <w:shd w:fill="F5F5F5" w:val="clear"/>
        <w:spacing w:after="0"/>
      </w:pPr>
      <w:r>
        <w:rPr>
          <w:rFonts w:ascii="Consolas" w:cs="Consolas" w:eastAsia="Consolas" w:hAnsi="Consolas"/>
          <w:color w:val="1F3864"/>
          <w:sz w:val="18"/>
          <w:szCs w:val="18"/>
        </w:rPr>
        <w:t xml:space="preserve">  RAW --&gt; CHECK{Good shape?}</w:t>
      </w:r>
    </w:p>
    <w:p>
      <w:pPr>
        <w:shd w:fill="F5F5F5" w:val="clear"/>
        <w:spacing w:after="0"/>
      </w:pPr>
      <w:r>
        <w:rPr>
          <w:rFonts w:ascii="Consolas" w:cs="Consolas" w:eastAsia="Consolas" w:hAnsi="Consolas"/>
          <w:color w:val="1F3864"/>
          <w:sz w:val="18"/>
          <w:szCs w:val="18"/>
        </w:rPr>
        <w:t xml:space="preserve">  CHECK --&gt;|good shape| MV[DE Gold - Materialized View on BIS silver]</w:t>
      </w:r>
    </w:p>
    <w:p>
      <w:pPr>
        <w:shd w:fill="F5F5F5" w:val="clear"/>
        <w:spacing w:after="0"/>
      </w:pPr>
      <w:r>
        <w:rPr>
          <w:rFonts w:ascii="Consolas" w:cs="Consolas" w:eastAsia="Consolas" w:hAnsi="Consolas"/>
          <w:color w:val="1F3864"/>
          <w:sz w:val="18"/>
          <w:szCs w:val="18"/>
        </w:rPr>
        <w:t xml:space="preserve">  CHECK --&gt;|not good| SILVER[DE Silver - cleansed]</w:t>
      </w:r>
    </w:p>
    <w:p>
      <w:pPr>
        <w:shd w:fill="F5F5F5" w:val="clear"/>
        <w:spacing w:after="0"/>
      </w:pPr>
      <w:r>
        <w:rPr>
          <w:rFonts w:ascii="Consolas" w:cs="Consolas" w:eastAsia="Consolas" w:hAnsi="Consolas"/>
          <w:color w:val="1F3864"/>
          <w:sz w:val="18"/>
          <w:szCs w:val="18"/>
        </w:rPr>
        <w:t xml:space="preserve">  SILVER --&gt; GOLD[DE Gold - Materialized View]</w:t>
      </w:r>
    </w:p>
    <w:p>
      <w:pPr>
        <w:shd w:fill="F5F5F5" w:val="clear"/>
        <w:spacing w:after="0"/>
      </w:pPr>
      <w:r>
        <w:rPr>
          <w:rFonts w:ascii="Consolas" w:cs="Consolas" w:eastAsia="Consolas" w:hAnsi="Consolas"/>
          <w:color w:val="1F3864"/>
          <w:sz w:val="18"/>
          <w:szCs w:val="18"/>
        </w:rPr>
        <w:t xml:space="preserve">  MV --&gt; ANALYSTS[Analysts / Reporting]</w:t>
      </w:r>
    </w:p>
    <w:p>
      <w:pPr>
        <w:shd w:fill="F5F5F5" w:val="clear"/>
        <w:spacing w:after="0"/>
      </w:pPr>
      <w:r>
        <w:rPr>
          <w:rFonts w:ascii="Consolas" w:cs="Consolas" w:eastAsia="Consolas" w:hAnsi="Consolas"/>
          <w:color w:val="1F3864"/>
          <w:sz w:val="18"/>
          <w:szCs w:val="18"/>
        </w:rPr>
        <w:t xml:space="preserve">  GOLD --&gt; ANALYSTS</w:t>
      </w:r>
    </w:p>
    <w:p>
      <w:pPr>
        <w:pStyle w:val="Heading2"/>
        <w:spacing w:after="120" w:before="240"/>
      </w:pPr>
      <w:r>
        <w:t xml:space="preserve">A.2 CI/CD Flow</w:t>
      </w:r>
    </w:p>
    <w:p>
      <w:pPr>
        <w:shd w:fill="F5F5F5" w:val="clear"/>
        <w:spacing w:after="0"/>
      </w:pPr>
      <w:r>
        <w:rPr>
          <w:rFonts w:ascii="Consolas" w:cs="Consolas" w:eastAsia="Consolas" w:hAnsi="Consolas"/>
          <w:color w:val="1F3864"/>
          <w:sz w:val="18"/>
          <w:szCs w:val="18"/>
        </w:rPr>
        <w:t xml:space="preserve">flowchart LR</w:t>
      </w:r>
    </w:p>
    <w:p>
      <w:pPr>
        <w:shd w:fill="F5F5F5" w:val="clear"/>
        <w:spacing w:after="0"/>
      </w:pPr>
      <w:r>
        <w:rPr>
          <w:rFonts w:ascii="Consolas" w:cs="Consolas" w:eastAsia="Consolas" w:hAnsi="Consolas"/>
          <w:color w:val="1F3864"/>
          <w:sz w:val="18"/>
          <w:szCs w:val="18"/>
        </w:rPr>
        <w:t xml:space="preserve">  MAIN0[(main)] --&gt;|branch| FEAT[feature/ticket-id_desc]</w:t>
      </w:r>
    </w:p>
    <w:p>
      <w:pPr>
        <w:shd w:fill="F5F5F5" w:val="clear"/>
        <w:spacing w:after="0"/>
      </w:pPr>
      <w:r>
        <w:rPr>
          <w:rFonts w:ascii="Consolas" w:cs="Consolas" w:eastAsia="Consolas" w:hAnsi="Consolas"/>
          <w:color w:val="1F3864"/>
          <w:sz w:val="18"/>
          <w:szCs w:val="18"/>
        </w:rPr>
        <w:t xml:space="preserve">  FEAT --&gt;|dev work| DEV[bundle deploy -t dev]</w:t>
      </w:r>
    </w:p>
    <w:p>
      <w:pPr>
        <w:shd w:fill="F5F5F5" w:val="clear"/>
        <w:spacing w:after="0"/>
      </w:pPr>
      <w:r>
        <w:rPr>
          <w:rFonts w:ascii="Consolas" w:cs="Consolas" w:eastAsia="Consolas" w:hAnsi="Consolas"/>
          <w:color w:val="1F3864"/>
          <w:sz w:val="18"/>
          <w:szCs w:val="18"/>
        </w:rPr>
        <w:t xml:space="preserve">  DEV --&gt;|dev done, push to QA| QA[bundle deploy -t qa]</w:t>
      </w:r>
    </w:p>
    <w:p>
      <w:pPr>
        <w:shd w:fill="F5F5F5" w:val="clear"/>
        <w:spacing w:after="0"/>
      </w:pPr>
      <w:r>
        <w:rPr>
          <w:rFonts w:ascii="Consolas" w:cs="Consolas" w:eastAsia="Consolas" w:hAnsi="Consolas"/>
          <w:color w:val="1F3864"/>
          <w:sz w:val="18"/>
          <w:szCs w:val="18"/>
        </w:rPr>
        <w:t xml:space="preserve">  QA --&gt;|QA passed| PR[PR to main - approval Kishan / Chenna]</w:t>
      </w:r>
    </w:p>
    <w:p>
      <w:pPr>
        <w:shd w:fill="F5F5F5" w:val="clear"/>
        <w:spacing w:after="0"/>
      </w:pPr>
      <w:r>
        <w:rPr>
          <w:rFonts w:ascii="Consolas" w:cs="Consolas" w:eastAsia="Consolas" w:hAnsi="Consolas"/>
          <w:color w:val="1F3864"/>
          <w:sz w:val="18"/>
          <w:szCs w:val="18"/>
        </w:rPr>
        <w:t xml:space="preserve">  PR --&gt;|approved| MAIN1[(main)]</w:t>
      </w:r>
    </w:p>
    <w:p>
      <w:pPr>
        <w:shd w:fill="F5F5F5" w:val="clear"/>
        <w:spacing w:after="0"/>
      </w:pPr>
      <w:r>
        <w:rPr>
          <w:rFonts w:ascii="Consolas" w:cs="Consolas" w:eastAsia="Consolas" w:hAnsi="Consolas"/>
          <w:color w:val="1F3864"/>
          <w:sz w:val="18"/>
          <w:szCs w:val="18"/>
        </w:rPr>
        <w:t xml:space="preserve">  MAIN1 --&gt;|on merge| PROD[bundle deploy -t prod - service principal]</w:t>
      </w:r>
    </w:p>
    <w:p>
      <w:pPr>
        <w:shd w:fill="F5F5F5" w:val="clear"/>
        <w:spacing w:after="0"/>
      </w:pPr>
      <w:r>
        <w:rPr>
          <w:rFonts w:ascii="Consolas" w:cs="Consolas" w:eastAsia="Consolas" w:hAnsi="Consolas"/>
          <w:color w:val="1F3864"/>
          <w:sz w:val="18"/>
          <w:szCs w:val="18"/>
        </w:rPr>
        <w:t xml:space="preserve">  MAIN1 -.branch from main.-&gt; HOT[hotfix/ticket-id_desc]</w:t>
      </w:r>
    </w:p>
    <w:p>
      <w:pPr>
        <w:shd w:fill="F5F5F5" w:val="clear"/>
        <w:spacing w:after="0"/>
      </w:pPr>
      <w:r>
        <w:rPr>
          <w:rFonts w:ascii="Consolas" w:cs="Consolas" w:eastAsia="Consolas" w:hAnsi="Consolas"/>
          <w:color w:val="1F3864"/>
          <w:sz w:val="18"/>
          <w:szCs w:val="18"/>
        </w:rPr>
        <w:t xml:space="preserve">  HOT --&gt; HQA[bundle deploy -t qa - quick test]</w:t>
      </w:r>
    </w:p>
    <w:p>
      <w:pPr>
        <w:shd w:fill="F5F5F5" w:val="clear"/>
        <w:spacing w:after="0"/>
      </w:pPr>
      <w:r>
        <w:rPr>
          <w:rFonts w:ascii="Consolas" w:cs="Consolas" w:eastAsia="Consolas" w:hAnsi="Consolas"/>
          <w:color w:val="1F3864"/>
          <w:sz w:val="18"/>
          <w:szCs w:val="18"/>
        </w:rPr>
        <w:t xml:space="preserve">  HQA --&gt; HPR[Expedited PR - approval Kishan / Chenna]</w:t>
      </w:r>
    </w:p>
    <w:p>
      <w:pPr>
        <w:shd w:fill="F5F5F5" w:val="clear"/>
        <w:spacing w:after="0"/>
      </w:pPr>
      <w:r>
        <w:rPr>
          <w:rFonts w:ascii="Consolas" w:cs="Consolas" w:eastAsia="Consolas" w:hAnsi="Consolas"/>
          <w:color w:val="1F3864"/>
          <w:sz w:val="18"/>
          <w:szCs w:val="18"/>
        </w:rPr>
        <w:t xml:space="preserve">  HPR --&gt; MAIN1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aftermarketdbx — DE Standards &amp; Governance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9696fb5d23c0fc3f76d5325dceac9ba1ee4f0b4.png"/><Relationship Id="rId10" Type="http://schemas.openxmlformats.org/officeDocument/2006/relationships/image" Target="media/37f42a3a6b55b3fe6b213050bdfdcfbd72f4e3db.png"/><Relationship Id="rId11" Type="http://schemas.openxmlformats.org/officeDocument/2006/relationships/image" Target="media/c718e020df53f95806317612b5b3d61e86b7f53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2026-10-13T22:15:03.575Z</dcterms:created>
  <dcterms:modified xsi:type="dcterms:W3CDTF">2026-10-13T22:15:03.575Z</dcterms:modified>
</cp:coreProperties>
</file>

<file path=docProps/custom.xml><?xml version="1.0" encoding="utf-8"?>
<Properties xmlns="http://schemas.openxmlformats.org/officeDocument/2006/custom-properties" xmlns:vt="http://schemas.openxmlformats.org/officeDocument/2006/docPropsVTypes"/>
</file>