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Calibri" w:hAnsi="Calibri"/>
          <w:b/>
          <w:color w:val="1A365D"/>
          <w:sz w:val="52"/>
        </w:rPr>
        <w:t>VPM360 Enterprise Integration Specification</w:t>
      </w:r>
    </w:p>
    <w:p>
      <w:pPr>
        <w:spacing w:after="320"/>
      </w:pPr>
      <w:r>
        <w:rPr>
          <w:rFonts w:ascii="Calibri" w:hAnsi="Calibri"/>
          <w:color w:val="2B6CB0"/>
          <w:sz w:val="28"/>
        </w:rPr>
        <w:t>Database Tables, Column Schemas, Pydantic DTOs &amp; API/JSON Routes</w:t>
      </w:r>
    </w:p>
    <w:p>
      <w:pPr>
        <w:spacing w:after="480"/>
      </w:pPr>
      <w:r>
        <w:rPr>
          <w:i/>
          <w:color w:val="718096"/>
          <w:sz w:val="20"/>
        </w:rPr>
        <w:t>Target Database: postgresql+psycopg://appuser:***@localhost:5433/appdb</w:t>
        <w:br/>
        <w:t>BRD Reference: VPM360 IndusInd Enterprise BRD, HLD &amp; TDD v1.0</w:t>
        <w:br/>
        <w:t>Date: October 26, 2026 | Version: 1.0.0 Enterprise</w:t>
      </w:r>
    </w:p>
    <w:p>
      <w:r>
        <w:br w:type="page"/>
      </w:r>
    </w:p>
    <w:p>
      <w:pPr>
        <w:pStyle w:val="Heading1"/>
        <w:spacing w:before="360" w:after="120"/>
      </w:pPr>
      <w:r>
        <w:rPr>
          <w:rFonts w:ascii="Calibri" w:hAnsi="Calibri"/>
          <w:b/>
          <w:color w:val="1A365D"/>
          <w:sz w:val="36"/>
        </w:rPr>
        <w:t>1. Executive Summary &amp; Architecture Overview</w:t>
      </w:r>
    </w:p>
    <w:p>
      <w:r>
        <w:rPr>
          <w:sz w:val="20"/>
        </w:rPr>
        <w:t>This technical document provides the complete specification of database tables, column definitions, constraints, Pydantic validation schemas, and REST API/JSON provider routes developed for the VPM360 IndusInd Enterprise platform. The solution unifies four enterprise systems into an automated, idempotent vulnerability and patch remediation workflow:</w:t>
      </w:r>
    </w:p>
    <w:p>
      <w:pPr>
        <w:pStyle w:val="ListBullet"/>
      </w:pPr>
      <w:r>
        <w:rPr>
          <w:b/>
          <w:sz w:val="19"/>
        </w:rPr>
        <w:t xml:space="preserve">Tenable Vulnerability Management: </w:t>
      </w:r>
      <w:r>
        <w:rPr>
          <w:sz w:val="19"/>
        </w:rPr>
        <w:t>Ingests and correlates vulnerability findings with CVSS v3 precedence over v4 (never v2), scans metadata, and retains full 54 BRD Appendix A fields in source_payload.</w:t>
      </w:r>
    </w:p>
    <w:p>
      <w:pPr>
        <w:pStyle w:val="ListBullet"/>
      </w:pPr>
      <w:r>
        <w:rPr>
          <w:b/>
          <w:sz w:val="19"/>
        </w:rPr>
        <w:t xml:space="preserve">BMC Helix CMDB: </w:t>
      </w:r>
      <w:r>
        <w:rPr>
          <w:sz w:val="19"/>
        </w:rPr>
        <w:t>Performs exact IP address correlation across Servers (Appendix C.1 - 22 fields), Middleware (Appendix C.2 - 19 fields), and Databases (Appendix C.3 - 14 fields), returning BRD-mandated execution outcomes (MATCHED, CMDB_NOT_FOUND, AMBIGUOUS_MATCH, CMDB_CI_INACTIVE).</w:t>
      </w:r>
    </w:p>
    <w:p>
      <w:pPr>
        <w:pStyle w:val="ListBullet"/>
      </w:pPr>
      <w:r>
        <w:rPr>
          <w:b/>
          <w:sz w:val="19"/>
        </w:rPr>
        <w:t xml:space="preserve">BMC Helix ITSM &amp; ISTM Alias: </w:t>
      </w:r>
      <w:r>
        <w:rPr>
          <w:sz w:val="19"/>
        </w:rPr>
        <w:t>Manages change requests, worklogs, and audit history conforming to BRD Appendix D QA change request specifications (19 fields). Full route aliases are mounted identically under both /api/v1/itsm and /api/v1/istm.</w:t>
      </w:r>
    </w:p>
    <w:p>
      <w:pPr>
        <w:pStyle w:val="ListBullet"/>
      </w:pPr>
      <w:r>
        <w:rPr>
          <w:b/>
          <w:sz w:val="19"/>
        </w:rPr>
        <w:t xml:space="preserve">Red Hat Satellite 6.9: </w:t>
      </w:r>
      <w:r>
        <w:rPr>
          <w:sz w:val="19"/>
        </w:rPr>
        <w:t>Supports host inventory, Ansible/Remote execution job templates, simulated and live job execution with static host selection, and job cancellation.</w:t>
      </w:r>
    </w:p>
    <w:p>
      <w:r>
        <w:rPr>
          <w:sz w:val="20"/>
        </w:rPr>
        <w:t>Dual-Mode Architecture: Every integration operates seamlessly in both API/PostgreSQL Database mode (persisted ACID storage with SQLAlchemy 2.0 and psycopg3) and JSON Provider mode (in-memory fixture preview and file-based mutation via JSON fixtures).</w:t>
      </w:r>
    </w:p>
    <w:p>
      <w:pPr>
        <w:pStyle w:val="Heading1"/>
        <w:spacing w:before="360" w:after="120"/>
      </w:pPr>
      <w:r>
        <w:rPr>
          <w:rFonts w:ascii="Calibri" w:hAnsi="Calibri"/>
          <w:b/>
          <w:color w:val="1A365D"/>
          <w:sz w:val="36"/>
        </w:rPr>
        <w:t>2. Database Tables &amp; Column Schema Catalog</w:t>
      </w:r>
    </w:p>
    <w:p>
      <w:pPr>
        <w:pStyle w:val="Heading2"/>
        <w:spacing w:before="280" w:after="80"/>
      </w:pPr>
      <w:r>
        <w:rPr>
          <w:rFonts w:ascii="Calibri" w:hAnsi="Calibri"/>
          <w:b/>
          <w:color w:val="2B6CB0"/>
          <w:sz w:val="28"/>
        </w:rPr>
        <w:t>2.1 Tenable Integration Tables</w:t>
      </w:r>
    </w:p>
    <w:p>
      <w:pPr>
        <w:pStyle w:val="Heading3"/>
        <w:spacing w:before="200" w:after="60"/>
      </w:pPr>
      <w:r>
        <w:rPr>
          <w:rFonts w:ascii="Calibri" w:hAnsi="Calibri"/>
          <w:b/>
          <w:color w:val="4A5568"/>
          <w:sz w:val="23"/>
        </w:rPr>
        <w:t>Table: tenable_scans</w:t>
      </w:r>
    </w:p>
    <w:p>
      <w:r>
        <w:rPr>
          <w:i/>
          <w:sz w:val="19"/>
        </w:rPr>
        <w:t>Description: Stores Tenable scan runs, execution status, completion timestamps, and full scanResult source payload.</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source_scan_id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tenable_findings</w:t>
      </w:r>
    </w:p>
    <w:p>
      <w:r>
        <w:rPr>
          <w:i/>
          <w:sz w:val="19"/>
        </w:rPr>
        <w:t>Description: Stores normalized Tenable vulnerability findings with CVSS v3/v4 score precedence and 54-field payload snapshot.</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source_finding_id</w:t>
            </w:r>
          </w:p>
        </w:tc>
        <w:tc>
          <w:tcPr>
            <w:tcW w:type="dxa" w:w="1728"/>
            <w:shd w:fill="FFFFFF"/>
            <w:tcMar>
              <w:top w:w="80" w:type="dxa"/>
              <w:bottom w:w="80" w:type="dxa"/>
              <w:left w:w="120" w:type="dxa"/>
              <w:right w:w="120" w:type="dxa"/>
            </w:tcMar>
          </w:tcPr>
          <w:p>
            <w:r>
              <w:rPr>
                <w:rFonts w:ascii="Calibri" w:hAnsi="Calibri"/>
                <w:color w:val="2D3748"/>
                <w:sz w:val="18"/>
              </w:rPr>
              <w:t>VARCHAR(150)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7FAFC"/>
            <w:tcMar>
              <w:top w:w="80" w:type="dxa"/>
              <w:bottom w:w="80" w:type="dxa"/>
              <w:left w:w="120" w:type="dxa"/>
              <w:right w:w="120" w:type="dxa"/>
            </w:tcMar>
          </w:tcPr>
          <w:p>
            <w:r>
              <w:rPr>
                <w:rFonts w:ascii="Calibri" w:hAnsi="Calibri"/>
                <w:color w:val="2D3748"/>
                <w:sz w:val="18"/>
              </w:rPr>
              <w:t>scan_id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FK -&gt; tenable_scans.id, 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plugin_id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plugin_name</w:t>
            </w:r>
          </w:p>
        </w:tc>
        <w:tc>
          <w:tcPr>
            <w:tcW w:type="dxa" w:w="1728"/>
            <w:shd w:fill="F7FAFC"/>
            <w:tcMar>
              <w:top w:w="80" w:type="dxa"/>
              <w:bottom w:w="80" w:type="dxa"/>
              <w:left w:w="120" w:type="dxa"/>
              <w:right w:w="120" w:type="dxa"/>
            </w:tcMar>
          </w:tcPr>
          <w:p>
            <w:r>
              <w:rPr>
                <w:rFonts w:ascii="Calibri" w:hAnsi="Calibri"/>
                <w:color w:val="2D3748"/>
                <w:sz w:val="18"/>
              </w:rPr>
              <w:t>VARCHAR(500)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dns_name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host_id</w:t>
            </w:r>
          </w:p>
        </w:tc>
        <w:tc>
          <w:tcPr>
            <w:tcW w:type="dxa" w:w="1728"/>
            <w:shd w:fill="FFFFFF"/>
            <w:tcMar>
              <w:top w:w="80" w:type="dxa"/>
              <w:bottom w:w="80" w:type="dxa"/>
              <w:left w:w="120" w:type="dxa"/>
              <w:right w:w="120" w:type="dxa"/>
            </w:tcMar>
          </w:tcPr>
          <w:p>
            <w:r>
              <w:rPr>
                <w:rFonts w:ascii="Calibri" w:hAnsi="Calibri"/>
                <w:color w:val="2D3748"/>
                <w:sz w:val="18"/>
              </w:rPr>
              <w:t>VARCHAR(150)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Reference to target Satellite host</w:t>
            </w:r>
          </w:p>
        </w:tc>
      </w:tr>
      <w:tr>
        <w:tc>
          <w:tcPr>
            <w:tcW w:type="dxa" w:w="2160"/>
            <w:shd w:fill="F7FAFC"/>
            <w:tcMar>
              <w:top w:w="80" w:type="dxa"/>
              <w:bottom w:w="80" w:type="dxa"/>
              <w:left w:w="120" w:type="dxa"/>
              <w:right w:w="120" w:type="dxa"/>
            </w:tcMar>
          </w:tcPr>
          <w:p>
            <w:r>
              <w:rPr>
                <w:rFonts w:ascii="Calibri" w:hAnsi="Calibri"/>
                <w:color w:val="2D3748"/>
                <w:sz w:val="18"/>
              </w:rPr>
              <w:t>severity</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synopsis</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plugin_output</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steps_to_remediate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cvss_v3_base_score</w:t>
            </w:r>
          </w:p>
        </w:tc>
        <w:tc>
          <w:tcPr>
            <w:tcW w:type="dxa" w:w="1728"/>
            <w:shd w:fill="FFFFFF"/>
            <w:tcMar>
              <w:top w:w="80" w:type="dxa"/>
              <w:bottom w:w="80" w:type="dxa"/>
              <w:left w:w="120" w:type="dxa"/>
              <w:right w:w="120" w:type="dxa"/>
            </w:tcMar>
          </w:tcPr>
          <w:p>
            <w:r>
              <w:rPr>
                <w:rFonts w:ascii="Calibri" w:hAnsi="Calibri"/>
                <w:color w:val="2D3748"/>
                <w:sz w:val="18"/>
              </w:rPr>
              <w:t>FLOAT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CVSS vulnerability severity base score (0.0 to 10.0)</w:t>
            </w:r>
          </w:p>
        </w:tc>
      </w:tr>
      <w:tr>
        <w:tc>
          <w:tcPr>
            <w:tcW w:type="dxa" w:w="2160"/>
            <w:shd w:fill="F7FAFC"/>
            <w:tcMar>
              <w:top w:w="80" w:type="dxa"/>
              <w:bottom w:w="80" w:type="dxa"/>
              <w:left w:w="120" w:type="dxa"/>
              <w:right w:w="120" w:type="dxa"/>
            </w:tcMar>
          </w:tcPr>
          <w:p>
            <w:r>
              <w:rPr>
                <w:rFonts w:ascii="Calibri" w:hAnsi="Calibri"/>
                <w:color w:val="2D3748"/>
                <w:sz w:val="18"/>
              </w:rPr>
              <w:t>cvss_v4_base_score</w:t>
            </w:r>
          </w:p>
        </w:tc>
        <w:tc>
          <w:tcPr>
            <w:tcW w:type="dxa" w:w="1728"/>
            <w:shd w:fill="F7FAFC"/>
            <w:tcMar>
              <w:top w:w="80" w:type="dxa"/>
              <w:bottom w:w="80" w:type="dxa"/>
              <w:left w:w="120" w:type="dxa"/>
              <w:right w:w="120" w:type="dxa"/>
            </w:tcMar>
          </w:tcPr>
          <w:p>
            <w:r>
              <w:rPr>
                <w:rFonts w:ascii="Calibri" w:hAnsi="Calibri"/>
                <w:color w:val="2D3748"/>
                <w:sz w:val="18"/>
              </w:rPr>
              <w:t>FLOAT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CVSS vulnerability severity base score (0.0 to 10.0)</w:t>
            </w:r>
          </w:p>
        </w:tc>
      </w:tr>
      <w:tr>
        <w:tc>
          <w:tcPr>
            <w:tcW w:type="dxa" w:w="2160"/>
            <w:shd w:fill="FFFFFF"/>
            <w:tcMar>
              <w:top w:w="80" w:type="dxa"/>
              <w:bottom w:w="80" w:type="dxa"/>
              <w:left w:w="120" w:type="dxa"/>
              <w:right w:w="120" w:type="dxa"/>
            </w:tcMar>
          </w:tcPr>
          <w:p>
            <w:r>
              <w:rPr>
                <w:rFonts w:ascii="Calibri" w:hAnsi="Calibri"/>
                <w:color w:val="2D3748"/>
                <w:sz w:val="18"/>
              </w:rPr>
              <w:t>first_discovered</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last_observed</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repository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protocol</w:t>
            </w:r>
          </w:p>
        </w:tc>
        <w:tc>
          <w:tcPr>
            <w:tcW w:type="dxa" w:w="1728"/>
            <w:shd w:fill="F7FAFC"/>
            <w:tcMar>
              <w:top w:w="80" w:type="dxa"/>
              <w:bottom w:w="80" w:type="dxa"/>
              <w:left w:w="120" w:type="dxa"/>
              <w:right w:w="120" w:type="dxa"/>
            </w:tcMar>
          </w:tcPr>
          <w:p>
            <w:r>
              <w:rPr>
                <w:rFonts w:ascii="Calibri" w:hAnsi="Calibri"/>
                <w:color w:val="2D3748"/>
                <w:sz w:val="18"/>
              </w:rPr>
              <w:t>VARCHAR(30)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port</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TENABLE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tenable_finding_cves</w:t>
      </w:r>
    </w:p>
    <w:p>
      <w:r>
        <w:rPr>
          <w:i/>
          <w:sz w:val="19"/>
        </w:rPr>
        <w:t>Description: Associates CVE identifiers to specific vulnerability findings in a 1-to-many relationship.</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finding_id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tenable_findings.id</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cve</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bl>
    <w:p>
      <w:pPr>
        <w:spacing w:after="120"/>
      </w:pPr>
    </w:p>
    <w:p>
      <w:pPr>
        <w:pStyle w:val="Heading2"/>
        <w:spacing w:before="280" w:after="80"/>
      </w:pPr>
      <w:r>
        <w:rPr>
          <w:rFonts w:ascii="Calibri" w:hAnsi="Calibri"/>
          <w:b/>
          <w:color w:val="2B6CB0"/>
          <w:sz w:val="28"/>
        </w:rPr>
        <w:t>2.2 BMC Helix CMDB Tables</w:t>
      </w:r>
    </w:p>
    <w:p>
      <w:pPr>
        <w:pStyle w:val="Heading3"/>
        <w:spacing w:before="200" w:after="60"/>
      </w:pPr>
      <w:r>
        <w:rPr>
          <w:rFonts w:ascii="Calibri" w:hAnsi="Calibri"/>
          <w:b/>
          <w:color w:val="4A5568"/>
          <w:sz w:val="23"/>
        </w:rPr>
        <w:t>Table: cmdb_servers</w:t>
      </w:r>
    </w:p>
    <w:p>
      <w:r>
        <w:rPr>
          <w:i/>
          <w:sz w:val="19"/>
        </w:rPr>
        <w:t>Description: Stores BMC Helix CMDB ComputerSystem/Server CIs (22 fields from BRD Appendix C.1) used as primary patch correlation targets.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dns_host_name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ip_address</w:t>
            </w:r>
          </w:p>
        </w:tc>
        <w:tc>
          <w:tcPr>
            <w:tcW w:type="dxa" w:w="1728"/>
            <w:shd w:fill="F7FAFC"/>
            <w:tcMar>
              <w:top w:w="80" w:type="dxa"/>
              <w:bottom w:w="80" w:type="dxa"/>
              <w:left w:w="120" w:type="dxa"/>
              <w:right w:w="120" w:type="dxa"/>
            </w:tcMar>
          </w:tcPr>
          <w:p>
            <w:r>
              <w:rPr>
                <w:rFonts w:ascii="Calibri" w:hAnsi="Calibri"/>
                <w:color w:val="2D3748"/>
                <w:sz w:val="18"/>
              </w:rPr>
              <w:t>VARCHAR(45)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FFFFF"/>
            <w:tcMar>
              <w:top w:w="80" w:type="dxa"/>
              <w:bottom w:w="80" w:type="dxa"/>
              <w:left w:w="120" w:type="dxa"/>
              <w:right w:w="120" w:type="dxa"/>
            </w:tcMar>
          </w:tcPr>
          <w:p>
            <w:r>
              <w:rPr>
                <w:rFonts w:ascii="Calibri" w:hAnsi="Calibri"/>
                <w:color w:val="2D3748"/>
                <w:sz w:val="18"/>
              </w:rPr>
              <w:t>application_name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asset_owner</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it_application_owner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system_environment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production_status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os_type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os_version</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is_virtual</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internet_facing</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virtual_system_type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server_type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operating_system</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risk_classification</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target_date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last_patch_updated_at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cmdb_middleware</w:t>
      </w:r>
    </w:p>
    <w:p>
      <w:r>
        <w:rPr>
          <w:i/>
          <w:sz w:val="19"/>
        </w:rPr>
        <w:t>Description: Stores BMC Helix CMDB Middleware CIs (19 fields from BRD Appendix C.2) linked to server infrastructure.</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server_instance_id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hostname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application_name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asset_owner</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it_application_owner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middleware_type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version</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recommended_version</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environment</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production_status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core_count</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os_type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latest_patch_release_date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end_of_support_date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target_date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cmdb_databases</w:t>
      </w:r>
    </w:p>
    <w:p>
      <w:r>
        <w:rPr>
          <w:i/>
          <w:sz w:val="19"/>
        </w:rPr>
        <w:t>Description: Stores BMC Helix CMDB Database CIs (14 fields from BRD Appendix C.3) representing database instances.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ci_name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server_instance_id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hostname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location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asset_owner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database_type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version</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production_status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risk_classification</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last_patch_updated_at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target_date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updated_at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cmdb_relationships</w:t>
      </w:r>
    </w:p>
    <w:p>
      <w:r>
        <w:rPr>
          <w:i/>
          <w:sz w:val="19"/>
        </w:rPr>
        <w:t>Description: Represents CMDB CI-to-CI dependency relationships (e.g. Runs On, Hosted By, Impacts).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source_relationship_id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source_instance_id</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FFFFF"/>
            <w:tcMar>
              <w:top w:w="80" w:type="dxa"/>
              <w:bottom w:w="80" w:type="dxa"/>
              <w:left w:w="120" w:type="dxa"/>
              <w:right w:w="120" w:type="dxa"/>
            </w:tcMar>
          </w:tcPr>
          <w:p>
            <w:r>
              <w:rPr>
                <w:rFonts w:ascii="Calibri" w:hAnsi="Calibri"/>
                <w:color w:val="2D3748"/>
                <w:sz w:val="18"/>
              </w:rPr>
              <w:t>destination_instance_id</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relationship_type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CMDB</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2"/>
        <w:spacing w:before="280" w:after="80"/>
      </w:pPr>
      <w:r>
        <w:rPr>
          <w:rFonts w:ascii="Calibri" w:hAnsi="Calibri"/>
          <w:b/>
          <w:color w:val="2B6CB0"/>
          <w:sz w:val="28"/>
        </w:rPr>
        <w:t>2.3 BMC Helix ITSM &amp; ISTM Tables</w:t>
      </w:r>
    </w:p>
    <w:p>
      <w:pPr>
        <w:pStyle w:val="Heading3"/>
        <w:spacing w:before="200" w:after="60"/>
      </w:pPr>
      <w:r>
        <w:rPr>
          <w:rFonts w:ascii="Calibri" w:hAnsi="Calibri"/>
          <w:b/>
          <w:color w:val="4A5568"/>
          <w:sz w:val="23"/>
        </w:rPr>
        <w:t>Table: itsm_changes</w:t>
      </w:r>
    </w:p>
    <w:p>
      <w:r>
        <w:rPr>
          <w:i/>
          <w:sz w:val="19"/>
        </w:rPr>
        <w:t>Description: Stores BMC Helix ITSM Change Requests implementing all 19 BRD Appendix D QA Change fields.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source_change_id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7FAFC"/>
            <w:tcMar>
              <w:top w:w="80" w:type="dxa"/>
              <w:bottom w:w="80" w:type="dxa"/>
              <w:left w:w="120" w:type="dxa"/>
              <w:right w:w="120" w:type="dxa"/>
            </w:tcMar>
          </w:tcPr>
          <w:p>
            <w:r>
              <w:rPr>
                <w:rFonts w:ascii="Calibri" w:hAnsi="Calibri"/>
                <w:color w:val="2D3748"/>
                <w:sz w:val="18"/>
              </w:rPr>
              <w:t>first_name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last_name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status</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FFFFF"/>
            <w:tcMar>
              <w:top w:w="80" w:type="dxa"/>
              <w:bottom w:w="80" w:type="dxa"/>
              <w:left w:w="120" w:type="dxa"/>
              <w:right w:w="120" w:type="dxa"/>
            </w:tcMar>
          </w:tcPr>
          <w:p>
            <w:r>
              <w:rPr>
                <w:rFonts w:ascii="Calibri" w:hAnsi="Calibri"/>
                <w:color w:val="2D3748"/>
                <w:sz w:val="18"/>
              </w:rPr>
              <w:t>impact</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urgency</w:t>
            </w:r>
          </w:p>
        </w:tc>
        <w:tc>
          <w:tcPr>
            <w:tcW w:type="dxa" w:w="1728"/>
            <w:shd w:fill="F7FAFC"/>
            <w:tcMar>
              <w:top w:w="80" w:type="dxa"/>
              <w:bottom w:w="80" w:type="dxa"/>
              <w:left w:w="120" w:type="dxa"/>
              <w:right w:w="120" w:type="dxa"/>
            </w:tcMar>
          </w:tcPr>
          <w:p>
            <w:r>
              <w:rPr>
                <w:rFonts w:ascii="Calibri" w:hAnsi="Calibri"/>
                <w:color w:val="2D3748"/>
                <w:sz w:val="18"/>
              </w:rPr>
              <w:t>VARCHAR(50)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location_company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detailed_description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company</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support_organization</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support_group_name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change_nature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nature_of_change</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application_infrastructure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downtime_required</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service_ci</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description</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environment</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scheduled_start_at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scheduled_end_at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itsm_worklogs</w:t>
      </w:r>
    </w:p>
    <w:p>
      <w:r>
        <w:rPr>
          <w:i/>
          <w:sz w:val="19"/>
        </w:rPr>
        <w:t>Description: Stores time-stamped worklog notes and activity updates associated with change requests.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change_id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itsm_changes.id, 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source_worklog_id</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UNIQUE</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worklog_type</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description</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submitter</w:t>
            </w:r>
          </w:p>
        </w:tc>
        <w:tc>
          <w:tcPr>
            <w:tcW w:type="dxa" w:w="1728"/>
            <w:shd w:fill="FFFFFF"/>
            <w:tcMar>
              <w:top w:w="80" w:type="dxa"/>
              <w:bottom w:w="80" w:type="dxa"/>
              <w:left w:w="120" w:type="dxa"/>
              <w:right w:w="120" w:type="dxa"/>
            </w:tcMar>
          </w:tcPr>
          <w:p>
            <w:r>
              <w:rPr>
                <w:rFonts w:ascii="Calibri" w:hAnsi="Calibri"/>
                <w:color w:val="2D3748"/>
                <w:sz w:val="18"/>
              </w:rPr>
              <w:t>VARCHAR(255)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itsm_change_history</w:t>
      </w:r>
    </w:p>
    <w:p>
      <w:r>
        <w:rPr>
          <w:i/>
          <w:sz w:val="19"/>
        </w:rPr>
        <w:t>Description: Maintains an immutable historical audit log of status transitions and approvals for ITSM changes.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change_id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itsm_changes.id, 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action</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previous_status</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new_status</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details</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ITSM</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2"/>
        <w:spacing w:before="280" w:after="80"/>
      </w:pPr>
      <w:r>
        <w:rPr>
          <w:rFonts w:ascii="Calibri" w:hAnsi="Calibri"/>
          <w:b/>
          <w:color w:val="2B6CB0"/>
          <w:sz w:val="28"/>
        </w:rPr>
        <w:t>2.4 Red Hat Satellite Tables</w:t>
      </w:r>
    </w:p>
    <w:p>
      <w:pPr>
        <w:pStyle w:val="Heading3"/>
        <w:spacing w:before="200" w:after="60"/>
      </w:pPr>
      <w:r>
        <w:rPr>
          <w:rFonts w:ascii="Calibri" w:hAnsi="Calibri"/>
          <w:b/>
          <w:color w:val="4A5568"/>
          <w:sz w:val="23"/>
        </w:rPr>
        <w:t>Table: satellite_hosts</w:t>
      </w:r>
    </w:p>
    <w:p>
      <w:r>
        <w:rPr>
          <w:i/>
          <w:sz w:val="19"/>
        </w:rPr>
        <w:t>Description: Maintains Red Hat Satellite 6.9 registered host inventory targets for patch deployment.</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source_host_id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ip_address</w:t>
            </w:r>
          </w:p>
        </w:tc>
        <w:tc>
          <w:tcPr>
            <w:tcW w:type="dxa" w:w="1728"/>
            <w:shd w:fill="FFFFFF"/>
            <w:tcMar>
              <w:top w:w="80" w:type="dxa"/>
              <w:bottom w:w="80" w:type="dxa"/>
              <w:left w:w="120" w:type="dxa"/>
              <w:right w:w="120" w:type="dxa"/>
            </w:tcMar>
          </w:tcPr>
          <w:p>
            <w:r>
              <w:rPr>
                <w:rFonts w:ascii="Calibri" w:hAnsi="Calibri"/>
                <w:color w:val="2D3748"/>
                <w:sz w:val="18"/>
              </w:rPr>
              <w:t>VARCHAR(45)</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IPv4/IPv6 address used for CMDB CI correlation</w:t>
            </w:r>
          </w:p>
        </w:tc>
      </w:tr>
      <w:tr>
        <w:tc>
          <w:tcPr>
            <w:tcW w:type="dxa" w:w="2160"/>
            <w:shd w:fill="F7FAFC"/>
            <w:tcMar>
              <w:top w:w="80" w:type="dxa"/>
              <w:bottom w:w="80" w:type="dxa"/>
              <w:left w:w="120" w:type="dxa"/>
              <w:right w:w="120" w:type="dxa"/>
            </w:tcMar>
          </w:tcPr>
          <w:p>
            <w:r>
              <w:rPr>
                <w:rFonts w:ascii="Calibri" w:hAnsi="Calibri"/>
                <w:color w:val="2D3748"/>
                <w:sz w:val="18"/>
              </w:rPr>
              <w:t>operating_system</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organization_id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location_id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FFFFF"/>
            <w:tcMar>
              <w:top w:w="80" w:type="dxa"/>
              <w:bottom w:w="80" w:type="dxa"/>
              <w:left w:w="120" w:type="dxa"/>
              <w:right w:w="120" w:type="dxa"/>
            </w:tcMar>
          </w:tcPr>
          <w:p>
            <w:r>
              <w:rPr>
                <w:rFonts w:ascii="Calibri" w:hAnsi="Calibri"/>
                <w:color w:val="2D3748"/>
                <w:sz w:val="18"/>
              </w:rPr>
              <w:t>updated_at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last modified</w:t>
            </w:r>
          </w:p>
        </w:tc>
      </w:tr>
    </w:tbl>
    <w:p>
      <w:pPr>
        <w:spacing w:after="120"/>
      </w:pPr>
    </w:p>
    <w:p>
      <w:pPr>
        <w:pStyle w:val="Heading3"/>
        <w:spacing w:before="200" w:after="60"/>
      </w:pPr>
      <w:r>
        <w:rPr>
          <w:rFonts w:ascii="Calibri" w:hAnsi="Calibri"/>
          <w:b/>
          <w:color w:val="4A5568"/>
          <w:sz w:val="23"/>
        </w:rPr>
        <w:t>Table: satellite_job_templates</w:t>
      </w:r>
    </w:p>
    <w:p>
      <w:r>
        <w:rPr>
          <w:i/>
          <w:sz w:val="19"/>
        </w:rPr>
        <w:t>Description: Stores Satellite Remote Execution and Ansible playbook job templates.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source_template_id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name</w:t>
            </w:r>
          </w:p>
        </w:tc>
        <w:tc>
          <w:tcPr>
            <w:tcW w:type="dxa" w:w="1728"/>
            <w:shd w:fill="F7FAFC"/>
            <w:tcMar>
              <w:top w:w="80" w:type="dxa"/>
              <w:bottom w:w="80" w:type="dxa"/>
              <w:left w:w="120" w:type="dxa"/>
              <w:right w:w="120" w:type="dxa"/>
            </w:tcMar>
          </w:tcPr>
          <w:p>
            <w:r>
              <w:rPr>
                <w:rFonts w:ascii="Calibri" w:hAnsi="Calibri"/>
                <w:color w:val="2D3748"/>
                <w:sz w:val="18"/>
              </w:rPr>
              <w:t>VARCHAR(255)</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description</w:t>
            </w:r>
          </w:p>
        </w:tc>
        <w:tc>
          <w:tcPr>
            <w:tcW w:type="dxa" w:w="1728"/>
            <w:shd w:fill="FFFFFF"/>
            <w:tcMar>
              <w:top w:w="80" w:type="dxa"/>
              <w:bottom w:w="80" w:type="dxa"/>
              <w:left w:w="120" w:type="dxa"/>
              <w:right w:w="120" w:type="dxa"/>
            </w:tcMar>
          </w:tcPr>
          <w:p>
            <w:r>
              <w:rPr>
                <w:rFonts w:ascii="Calibri" w:hAnsi="Calibri"/>
                <w:color w:val="2D3748"/>
                <w:sz w:val="18"/>
              </w:rPr>
              <w:t>TEXT</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template_type</w:t>
            </w:r>
          </w:p>
        </w:tc>
        <w:tc>
          <w:tcPr>
            <w:tcW w:type="dxa" w:w="1728"/>
            <w:shd w:fill="F7FAFC"/>
            <w:tcMar>
              <w:top w:w="80" w:type="dxa"/>
              <w:bottom w:w="80" w:type="dxa"/>
              <w:left w:w="120" w:type="dxa"/>
              <w:right w:w="120" w:type="dxa"/>
            </w:tcMar>
          </w:tcPr>
          <w:p>
            <w:r>
              <w:rPr>
                <w:rFonts w:ascii="Calibri" w:hAnsi="Calibri"/>
                <w:color w:val="2D3748"/>
                <w:sz w:val="18"/>
              </w:rPr>
              <w:t>VARCHAR(100)</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input_schema</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source_payload</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satellite_job_runs</w:t>
      </w:r>
    </w:p>
    <w:p>
      <w:r>
        <w:rPr>
          <w:i/>
          <w:sz w:val="19"/>
        </w:rPr>
        <w:t>Description: Tracks execution instances of Satellite remediation playbooks with status lifecycle.</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source_invocation_id</w:t>
            </w:r>
          </w:p>
        </w:tc>
        <w:tc>
          <w:tcPr>
            <w:tcW w:type="dxa" w:w="1728"/>
            <w:shd w:fill="FFFFFF"/>
            <w:tcMar>
              <w:top w:w="80" w:type="dxa"/>
              <w:bottom w:w="80" w:type="dxa"/>
              <w:left w:w="120" w:type="dxa"/>
              <w:right w:w="120" w:type="dxa"/>
            </w:tcMar>
          </w:tcPr>
          <w:p>
            <w:r>
              <w:rPr>
                <w:rFonts w:ascii="Calibri" w:hAnsi="Calibri"/>
                <w:color w:val="2D3748"/>
                <w:sz w:val="18"/>
              </w:rPr>
              <w:t>VARCHAR(100)</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UNIQUE</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template_id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FK -&gt; satellite_job_templates.id, INDEX</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inputs</w:t>
            </w:r>
          </w:p>
        </w:tc>
        <w:tc>
          <w:tcPr>
            <w:tcW w:type="dxa" w:w="1728"/>
            <w:shd w:fill="F7FAFC"/>
            <w:tcMar>
              <w:top w:w="80" w:type="dxa"/>
              <w:bottom w:w="80" w:type="dxa"/>
              <w:left w:w="120" w:type="dxa"/>
              <w:right w:w="120" w:type="dxa"/>
            </w:tcMar>
          </w:tcPr>
          <w:p>
            <w:r>
              <w:rPr>
                <w:rFonts w:ascii="Calibri" w:hAnsi="Calibri"/>
                <w:color w:val="2D3748"/>
                <w:sz w:val="18"/>
              </w:rPr>
              <w:t>JSONB</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Playbook execution input parameters (JSONB)</w:t>
            </w:r>
          </w:p>
        </w:tc>
      </w:tr>
      <w:tr>
        <w:tc>
          <w:tcPr>
            <w:tcW w:type="dxa" w:w="2160"/>
            <w:shd w:fill="FFFFFF"/>
            <w:tcMar>
              <w:top w:w="80" w:type="dxa"/>
              <w:bottom w:w="80" w:type="dxa"/>
              <w:left w:w="120" w:type="dxa"/>
              <w:right w:w="120" w:type="dxa"/>
            </w:tcMar>
          </w:tcPr>
          <w:p>
            <w:r>
              <w:rPr>
                <w:rFonts w:ascii="Calibri" w:hAnsi="Calibri"/>
                <w:color w:val="2D3748"/>
                <w:sz w:val="18"/>
              </w:rPr>
              <w:t>started_at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completed_at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created_at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Timestamp when the record was persisted (server default NOW())</w:t>
            </w:r>
          </w:p>
        </w:tc>
      </w:tr>
    </w:tbl>
    <w:p>
      <w:pPr>
        <w:spacing w:after="120"/>
      </w:pPr>
    </w:p>
    <w:p>
      <w:pPr>
        <w:pStyle w:val="Heading3"/>
        <w:spacing w:before="200" w:after="60"/>
      </w:pPr>
      <w:r>
        <w:rPr>
          <w:rFonts w:ascii="Calibri" w:hAnsi="Calibri"/>
          <w:b/>
          <w:color w:val="4A5568"/>
          <w:sz w:val="23"/>
        </w:rPr>
        <w:t>Table: satellite_job_host_results</w:t>
      </w:r>
    </w:p>
    <w:p>
      <w:r>
        <w:rPr>
          <w:i/>
          <w:sz w:val="19"/>
        </w:rPr>
        <w:t>Description: Stores per-host execution outcomes, exit codes, and stdout/stderr logs for each job run.</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job_run_id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FK -&gt; satellite_job_runs.id</w:t>
            </w:r>
          </w:p>
        </w:tc>
        <w:tc>
          <w:tcPr>
            <w:tcW w:type="dxa" w:w="3168"/>
            <w:shd w:fill="FFFFFF"/>
            <w:tcMar>
              <w:top w:w="80" w:type="dxa"/>
              <w:bottom w:w="80" w:type="dxa"/>
              <w:left w:w="120" w:type="dxa"/>
              <w:right w:w="120" w:type="dxa"/>
            </w:tcMar>
          </w:tcPr>
          <w:p>
            <w:r>
              <w:rPr>
                <w:rFonts w:ascii="Calibri" w:hAnsi="Calibri"/>
                <w:color w:val="2D3748"/>
                <w:sz w:val="18"/>
              </w:rPr>
              <w:t>Reference to parent Satellite job run</w:t>
            </w:r>
          </w:p>
        </w:tc>
      </w:tr>
      <w:tr>
        <w:tc>
          <w:tcPr>
            <w:tcW w:type="dxa" w:w="2160"/>
            <w:shd w:fill="F7FAFC"/>
            <w:tcMar>
              <w:top w:w="80" w:type="dxa"/>
              <w:bottom w:w="80" w:type="dxa"/>
              <w:left w:w="120" w:type="dxa"/>
              <w:right w:w="120" w:type="dxa"/>
            </w:tcMar>
          </w:tcPr>
          <w:p>
            <w:r>
              <w:rPr>
                <w:rFonts w:ascii="Calibri" w:hAnsi="Calibri"/>
                <w:color w:val="2D3748"/>
                <w:sz w:val="18"/>
              </w:rPr>
              <w:t>host_id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FK -&gt; satellite_hosts.id</w:t>
            </w:r>
          </w:p>
        </w:tc>
        <w:tc>
          <w:tcPr>
            <w:tcW w:type="dxa" w:w="3168"/>
            <w:shd w:fill="F7FAFC"/>
            <w:tcMar>
              <w:top w:w="80" w:type="dxa"/>
              <w:bottom w:w="80" w:type="dxa"/>
              <w:left w:w="120" w:type="dxa"/>
              <w:right w:w="120" w:type="dxa"/>
            </w:tcMar>
          </w:tcPr>
          <w:p>
            <w:r>
              <w:rPr>
                <w:rFonts w:ascii="Calibri" w:hAnsi="Calibri"/>
                <w:color w:val="2D3748"/>
                <w:sz w:val="18"/>
              </w:rPr>
              <w:t>Reference to target Satellite host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result_text</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source_payload</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External system unique identifier from SATELLITE</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bl>
    <w:p>
      <w:pPr>
        <w:spacing w:after="120"/>
      </w:pPr>
    </w:p>
    <w:p>
      <w:pPr>
        <w:pStyle w:val="Heading2"/>
        <w:spacing w:before="280" w:after="80"/>
      </w:pPr>
      <w:r>
        <w:rPr>
          <w:rFonts w:ascii="Calibri" w:hAnsi="Calibri"/>
          <w:b/>
          <w:color w:val="2B6CB0"/>
          <w:sz w:val="28"/>
        </w:rPr>
        <w:t>2.5 Platform Audit &amp; Synchronization Tables</w:t>
      </w:r>
    </w:p>
    <w:p>
      <w:pPr>
        <w:pStyle w:val="Heading3"/>
        <w:spacing w:before="200" w:after="60"/>
      </w:pPr>
      <w:r>
        <w:rPr>
          <w:rFonts w:ascii="Calibri" w:hAnsi="Calibri"/>
          <w:b/>
          <w:color w:val="4A5568"/>
          <w:sz w:val="23"/>
        </w:rPr>
        <w:t>Table: sync_runs</w:t>
      </w:r>
    </w:p>
    <w:p>
      <w:r>
        <w:rPr>
          <w:i/>
          <w:sz w:val="19"/>
        </w:rPr>
        <w:t>Description: Audit table tracking background synchronization cycles, records processed, and failure counts.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integration</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INDEX</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provider</w:t>
            </w:r>
          </w:p>
        </w:tc>
        <w:tc>
          <w:tcPr>
            <w:tcW w:type="dxa" w:w="1728"/>
            <w:shd w:fill="F7FAFC"/>
            <w:tcMar>
              <w:top w:w="80" w:type="dxa"/>
              <w:bottom w:w="80" w:type="dxa"/>
              <w:left w:w="120" w:type="dxa"/>
              <w:right w:w="120" w:type="dxa"/>
            </w:tcMar>
          </w:tcPr>
          <w:p>
            <w:r>
              <w:rPr>
                <w:rFonts w:ascii="Calibri" w:hAnsi="Calibri"/>
                <w:color w:val="2D3748"/>
                <w:sz w:val="18"/>
              </w:rPr>
              <w:t>VARCHAR(20)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w:t>
            </w:r>
          </w:p>
        </w:tc>
        <w:tc>
          <w:tcPr>
            <w:tcW w:type="dxa" w:w="1728"/>
            <w:shd w:fill="FFFFFF"/>
            <w:tcMar>
              <w:top w:w="80" w:type="dxa"/>
              <w:bottom w:w="80" w:type="dxa"/>
              <w:left w:w="120" w:type="dxa"/>
              <w:right w:w="120" w:type="dxa"/>
            </w:tcMar>
          </w:tcPr>
          <w:p>
            <w:r>
              <w:rPr>
                <w:rFonts w:ascii="Calibri" w:hAnsi="Calibri"/>
                <w:color w:val="2D3748"/>
                <w:sz w:val="18"/>
              </w:rPr>
              <w:t>VARCHAR(30)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Current lifecycle or execution status</w:t>
            </w:r>
          </w:p>
        </w:tc>
      </w:tr>
      <w:tr>
        <w:tc>
          <w:tcPr>
            <w:tcW w:type="dxa" w:w="2160"/>
            <w:shd w:fill="F7FAFC"/>
            <w:tcMar>
              <w:top w:w="80" w:type="dxa"/>
              <w:bottom w:w="80" w:type="dxa"/>
              <w:left w:w="120" w:type="dxa"/>
              <w:right w:w="120" w:type="dxa"/>
            </w:tcMar>
          </w:tcPr>
          <w:p>
            <w:r>
              <w:rPr>
                <w:rFonts w:ascii="Calibri" w:hAnsi="Calibri"/>
                <w:color w:val="2D3748"/>
                <w:sz w:val="18"/>
              </w:rPr>
              <w:t>records_processed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records_failed</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started_at</w:t>
            </w:r>
          </w:p>
        </w:tc>
        <w:tc>
          <w:tcPr>
            <w:tcW w:type="dxa" w:w="1728"/>
            <w:shd w:fill="F7FAFC"/>
            <w:tcMar>
              <w:top w:w="80" w:type="dxa"/>
              <w:bottom w:w="80" w:type="dxa"/>
              <w:left w:w="120" w:type="dxa"/>
              <w:right w:w="120" w:type="dxa"/>
            </w:tcMar>
          </w:tcPr>
          <w:p>
            <w:r>
              <w:rPr>
                <w:rFonts w:ascii="Calibri" w:hAnsi="Calibri"/>
                <w:color w:val="2D3748"/>
                <w:sz w:val="18"/>
              </w:rPr>
              <w:t>DATETIME</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completed_at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error_message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metadata</w:t>
            </w:r>
          </w:p>
        </w:tc>
        <w:tc>
          <w:tcPr>
            <w:tcW w:type="dxa" w:w="1728"/>
            <w:shd w:fill="FFFFFF"/>
            <w:tcMar>
              <w:top w:w="80" w:type="dxa"/>
              <w:bottom w:w="80" w:type="dxa"/>
              <w:left w:w="120" w:type="dxa"/>
              <w:right w:w="120" w:type="dxa"/>
            </w:tcMar>
          </w:tcPr>
          <w:p>
            <w:r>
              <w:rPr>
                <w:rFonts w:ascii="Calibri" w:hAnsi="Calibri"/>
                <w:color w:val="2D3748"/>
                <w:sz w:val="18"/>
              </w:rPr>
              <w:t>JSONB</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bl>
    <w:p>
      <w:pPr>
        <w:spacing w:after="120"/>
      </w:pPr>
    </w:p>
    <w:p>
      <w:pPr>
        <w:pStyle w:val="Heading3"/>
        <w:spacing w:before="200" w:after="60"/>
      </w:pPr>
      <w:r>
        <w:rPr>
          <w:rFonts w:ascii="Calibri" w:hAnsi="Calibri"/>
          <w:b/>
          <w:color w:val="4A5568"/>
          <w:sz w:val="23"/>
        </w:rPr>
        <w:t>Table: mock_request_logs</w:t>
      </w:r>
    </w:p>
    <w:p>
      <w:r>
        <w:rPr>
          <w:i/>
          <w:sz w:val="19"/>
        </w:rPr>
        <w:t>Description: Diagnostics log recording incoming integration API payloads and external HTTP interactions.</w:t>
      </w:r>
    </w:p>
    <w:tbl>
      <w:tblPr>
        <w:tblW w:type="auto" w:w="0"/>
        <w:jc w:val="center"/>
        <w:tblLook w:firstColumn="1" w:firstRow="1" w:lastColumn="0" w:lastRow="0" w:noHBand="0" w:noVBand="1" w:val="04A0"/>
      </w:tblPr>
      <w:tblGrid>
        <w:gridCol w:w="1987"/>
        <w:gridCol w:w="1987"/>
        <w:gridCol w:w="1987"/>
        <w:gridCol w:w="1987"/>
        <w:gridCol w:w="1987"/>
      </w:tblGrid>
      <w:tr>
        <w:tc>
          <w:tcPr>
            <w:tcW w:type="dxa" w:w="2160"/>
            <w:shd w:fill="1A365D"/>
            <w:tcMar>
              <w:top w:w="120" w:type="dxa"/>
              <w:bottom w:w="120" w:type="dxa"/>
              <w:left w:w="140" w:type="dxa"/>
              <w:right w:w="140" w:type="dxa"/>
            </w:tcMar>
          </w:tcPr>
          <w:p>
            <w:pPr>
              <w:jc w:val="left"/>
            </w:pPr>
            <w:r>
              <w:rPr>
                <w:rFonts w:ascii="Calibri" w:hAnsi="Calibri"/>
                <w:b/>
                <w:color w:val="FFFFFF"/>
                <w:sz w:val="19"/>
              </w:rPr>
              <w:t>Column Name</w:t>
            </w:r>
          </w:p>
        </w:tc>
        <w:tc>
          <w:tcPr>
            <w:tcW w:type="dxa" w:w="1728"/>
            <w:shd w:fill="1A365D"/>
            <w:tcMar>
              <w:top w:w="120" w:type="dxa"/>
              <w:bottom w:w="120" w:type="dxa"/>
              <w:left w:w="140" w:type="dxa"/>
              <w:right w:w="140" w:type="dxa"/>
            </w:tcMar>
          </w:tcPr>
          <w:p>
            <w:pPr>
              <w:jc w:val="left"/>
            </w:pPr>
            <w:r>
              <w:rPr>
                <w:rFonts w:ascii="Calibri" w:hAnsi="Calibri"/>
                <w:b/>
                <w:color w:val="FFFFFF"/>
                <w:sz w:val="19"/>
              </w:rPr>
              <w:t>Type</w:t>
            </w:r>
          </w:p>
        </w:tc>
        <w:tc>
          <w:tcPr>
            <w:tcW w:type="dxa" w:w="864"/>
            <w:shd w:fill="1A365D"/>
            <w:tcMar>
              <w:top w:w="120" w:type="dxa"/>
              <w:bottom w:w="120" w:type="dxa"/>
              <w:left w:w="140" w:type="dxa"/>
              <w:right w:w="140" w:type="dxa"/>
            </w:tcMar>
          </w:tcPr>
          <w:p>
            <w:pPr>
              <w:jc w:val="left"/>
            </w:pPr>
            <w:r>
              <w:rPr>
                <w:rFonts w:ascii="Calibri" w:hAnsi="Calibri"/>
                <w:b/>
                <w:color w:val="FFFFFF"/>
                <w:sz w:val="19"/>
              </w:rPr>
              <w:t>Null?</w:t>
            </w:r>
          </w:p>
        </w:tc>
        <w:tc>
          <w:tcPr>
            <w:tcW w:type="dxa" w:w="2160"/>
            <w:shd w:fill="1A365D"/>
            <w:tcMar>
              <w:top w:w="120" w:type="dxa"/>
              <w:bottom w:w="120" w:type="dxa"/>
              <w:left w:w="140" w:type="dxa"/>
              <w:right w:w="140" w:type="dxa"/>
            </w:tcMar>
          </w:tcPr>
          <w:p>
            <w:pPr>
              <w:jc w:val="left"/>
            </w:pPr>
            <w:r>
              <w:rPr>
                <w:rFonts w:ascii="Calibri" w:hAnsi="Calibri"/>
                <w:b/>
                <w:color w:val="FFFFFF"/>
                <w:sz w:val="19"/>
              </w:rPr>
              <w:t>Key / Constraints</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Notes</w:t>
            </w:r>
          </w:p>
        </w:tc>
      </w:tr>
      <w:tr>
        <w:tc>
          <w:tcPr>
            <w:tcW w:type="dxa" w:w="2160"/>
            <w:shd w:fill="F7FAFC"/>
            <w:tcMar>
              <w:top w:w="80" w:type="dxa"/>
              <w:bottom w:w="80" w:type="dxa"/>
              <w:left w:w="120" w:type="dxa"/>
              <w:right w:w="120" w:type="dxa"/>
            </w:tcMar>
          </w:tcPr>
          <w:p>
            <w:r>
              <w:rPr>
                <w:rFonts w:ascii="Calibri" w:hAnsi="Calibri"/>
                <w:color w:val="2D3748"/>
                <w:sz w:val="18"/>
              </w:rPr>
              <w:t>id</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PRIMARY KEY</w:t>
            </w:r>
          </w:p>
        </w:tc>
        <w:tc>
          <w:tcPr>
            <w:tcW w:type="dxa" w:w="3168"/>
            <w:shd w:fill="F7FAFC"/>
            <w:tcMar>
              <w:top w:w="80" w:type="dxa"/>
              <w:bottom w:w="80" w:type="dxa"/>
              <w:left w:w="120" w:type="dxa"/>
              <w:right w:w="120" w:type="dxa"/>
            </w:tcMar>
          </w:tcPr>
          <w:p>
            <w:r>
              <w:rPr>
                <w:rFonts w:ascii="Calibri" w:hAnsi="Calibri"/>
                <w:color w:val="2D3748"/>
                <w:sz w:val="18"/>
              </w:rPr>
              <w:t>Primary key surrogate ID (serial integer)</w:t>
            </w:r>
          </w:p>
        </w:tc>
      </w:tr>
      <w:tr>
        <w:tc>
          <w:tcPr>
            <w:tcW w:type="dxa" w:w="2160"/>
            <w:shd w:fill="FFFFFF"/>
            <w:tcMar>
              <w:top w:w="80" w:type="dxa"/>
              <w:bottom w:w="80" w:type="dxa"/>
              <w:left w:w="120" w:type="dxa"/>
              <w:right w:w="120" w:type="dxa"/>
            </w:tcMar>
          </w:tcPr>
          <w:p>
            <w:r>
              <w:rPr>
                <w:rFonts w:ascii="Calibri" w:hAnsi="Calibri"/>
                <w:color w:val="2D3748"/>
                <w:sz w:val="18"/>
              </w:rPr>
              <w:t>integration</w:t>
            </w:r>
          </w:p>
        </w:tc>
        <w:tc>
          <w:tcPr>
            <w:tcW w:type="dxa" w:w="1728"/>
            <w:shd w:fill="FFFFFF"/>
            <w:tcMar>
              <w:top w:w="80" w:type="dxa"/>
              <w:bottom w:w="80" w:type="dxa"/>
              <w:left w:w="120" w:type="dxa"/>
              <w:right w:w="120" w:type="dxa"/>
            </w:tcMar>
          </w:tcPr>
          <w:p>
            <w:r>
              <w:rPr>
                <w:rFonts w:ascii="Calibri" w:hAnsi="Calibri"/>
                <w:color w:val="2D3748"/>
                <w:sz w:val="18"/>
              </w:rPr>
              <w:t>VARCHAR(50)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provider</w:t>
            </w:r>
          </w:p>
        </w:tc>
        <w:tc>
          <w:tcPr>
            <w:tcW w:type="dxa" w:w="1728"/>
            <w:shd w:fill="F7FAFC"/>
            <w:tcMar>
              <w:top w:w="80" w:type="dxa"/>
              <w:bottom w:w="80" w:type="dxa"/>
              <w:left w:w="120" w:type="dxa"/>
              <w:right w:w="120" w:type="dxa"/>
            </w:tcMar>
          </w:tcPr>
          <w:p>
            <w:r>
              <w:rPr>
                <w:rFonts w:ascii="Calibri" w:hAnsi="Calibri"/>
                <w:color w:val="2D3748"/>
                <w:sz w:val="18"/>
              </w:rPr>
              <w:t>VARCHAR(20)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method</w:t>
            </w:r>
          </w:p>
        </w:tc>
        <w:tc>
          <w:tcPr>
            <w:tcW w:type="dxa" w:w="1728"/>
            <w:shd w:fill="FFFFFF"/>
            <w:tcMar>
              <w:top w:w="80" w:type="dxa"/>
              <w:bottom w:w="80" w:type="dxa"/>
              <w:left w:w="120" w:type="dxa"/>
              <w:right w:w="120" w:type="dxa"/>
            </w:tcMar>
          </w:tcPr>
          <w:p>
            <w:r>
              <w:rPr>
                <w:rFonts w:ascii="Calibri" w:hAnsi="Calibri"/>
                <w:color w:val="2D3748"/>
                <w:sz w:val="18"/>
              </w:rPr>
              <w:t>VARCHAR(10)</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endpoint</w:t>
            </w:r>
          </w:p>
        </w:tc>
        <w:tc>
          <w:tcPr>
            <w:tcW w:type="dxa" w:w="1728"/>
            <w:shd w:fill="F7FAFC"/>
            <w:tcMar>
              <w:top w:w="80" w:type="dxa"/>
              <w:bottom w:w="80" w:type="dxa"/>
              <w:left w:w="120" w:type="dxa"/>
              <w:right w:w="120" w:type="dxa"/>
            </w:tcMar>
          </w:tcPr>
          <w:p>
            <w:r>
              <w:rPr>
                <w:rFonts w:ascii="Calibri" w:hAnsi="Calibri"/>
                <w:color w:val="2D3748"/>
                <w:sz w:val="18"/>
              </w:rPr>
              <w:t>VARCHAR(500)</w:t>
            </w:r>
          </w:p>
        </w:tc>
        <w:tc>
          <w:tcPr>
            <w:tcW w:type="dxa" w:w="864"/>
            <w:shd w:fill="F7FAFC"/>
            <w:tcMar>
              <w:top w:w="80" w:type="dxa"/>
              <w:bottom w:w="80" w:type="dxa"/>
              <w:left w:w="120" w:type="dxa"/>
              <w:right w:w="120" w:type="dxa"/>
            </w:tcMar>
          </w:tcPr>
          <w:p>
            <w:r>
              <w:rPr>
                <w:rFonts w:ascii="Calibri" w:hAnsi="Calibri"/>
                <w:color w:val="2D3748"/>
                <w:sz w:val="18"/>
              </w:rPr>
              <w:t>NO</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status_code</w:t>
            </w:r>
          </w:p>
        </w:tc>
        <w:tc>
          <w:tcPr>
            <w:tcW w:type="dxa" w:w="1728"/>
            <w:shd w:fill="FFFFFF"/>
            <w:tcMar>
              <w:top w:w="80" w:type="dxa"/>
              <w:bottom w:w="80" w:type="dxa"/>
              <w:left w:w="120" w:type="dxa"/>
              <w:right w:w="120" w:type="dxa"/>
            </w:tcMar>
          </w:tcPr>
          <w:p>
            <w:r>
              <w:rPr>
                <w:rFonts w:ascii="Calibri" w:hAnsi="Calibri"/>
                <w:color w:val="2D3748"/>
                <w:sz w:val="18"/>
              </w:rPr>
              <w:t>INTEGER</w:t>
            </w:r>
          </w:p>
        </w:tc>
        <w:tc>
          <w:tcPr>
            <w:tcW w:type="dxa" w:w="864"/>
            <w:shd w:fill="FFFFFF"/>
            <w:tcMar>
              <w:top w:w="80" w:type="dxa"/>
              <w:bottom w:w="80" w:type="dxa"/>
              <w:left w:w="120" w:type="dxa"/>
              <w:right w:w="120" w:type="dxa"/>
            </w:tcMar>
          </w:tcPr>
          <w:p>
            <w:r>
              <w:rPr>
                <w:rFonts w:ascii="Calibri" w:hAnsi="Calibri"/>
                <w:color w:val="2D3748"/>
                <w:sz w:val="18"/>
              </w:rPr>
              <w:t>YES</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w:t>
            </w:r>
          </w:p>
        </w:tc>
      </w:tr>
      <w:tr>
        <w:tc>
          <w:tcPr>
            <w:tcW w:type="dxa" w:w="2160"/>
            <w:shd w:fill="F7FAFC"/>
            <w:tcMar>
              <w:top w:w="80" w:type="dxa"/>
              <w:bottom w:w="80" w:type="dxa"/>
              <w:left w:w="120" w:type="dxa"/>
              <w:right w:w="120" w:type="dxa"/>
            </w:tcMar>
          </w:tcPr>
          <w:p>
            <w:r>
              <w:rPr>
                <w:rFonts w:ascii="Calibri" w:hAnsi="Calibri"/>
                <w:color w:val="2D3748"/>
                <w:sz w:val="18"/>
              </w:rPr>
              <w:t>duration_ms</w:t>
            </w:r>
          </w:p>
        </w:tc>
        <w:tc>
          <w:tcPr>
            <w:tcW w:type="dxa" w:w="1728"/>
            <w:shd w:fill="F7FAFC"/>
            <w:tcMar>
              <w:top w:w="80" w:type="dxa"/>
              <w:bottom w:w="80" w:type="dxa"/>
              <w:left w:w="120" w:type="dxa"/>
              <w:right w:w="120" w:type="dxa"/>
            </w:tcMar>
          </w:tcPr>
          <w:p>
            <w:r>
              <w:rPr>
                <w:rFonts w:ascii="Calibri" w:hAnsi="Calibri"/>
                <w:color w:val="2D3748"/>
                <w:sz w:val="18"/>
              </w:rPr>
              <w:t>INTEGER</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r>
        <w:tc>
          <w:tcPr>
            <w:tcW w:type="dxa" w:w="2160"/>
            <w:shd w:fill="FFFFFF"/>
            <w:tcMar>
              <w:top w:w="80" w:type="dxa"/>
              <w:bottom w:w="80" w:type="dxa"/>
              <w:left w:w="120" w:type="dxa"/>
              <w:right w:w="120" w:type="dxa"/>
            </w:tcMar>
          </w:tcPr>
          <w:p>
            <w:r>
              <w:rPr>
                <w:rFonts w:ascii="Calibri" w:hAnsi="Calibri"/>
                <w:color w:val="2D3748"/>
                <w:sz w:val="18"/>
              </w:rPr>
              <w:t>created_at</w:t>
            </w:r>
          </w:p>
        </w:tc>
        <w:tc>
          <w:tcPr>
            <w:tcW w:type="dxa" w:w="1728"/>
            <w:shd w:fill="FFFFFF"/>
            <w:tcMar>
              <w:top w:w="80" w:type="dxa"/>
              <w:bottom w:w="80" w:type="dxa"/>
              <w:left w:w="120" w:type="dxa"/>
              <w:right w:w="120" w:type="dxa"/>
            </w:tcMar>
          </w:tcPr>
          <w:p>
            <w:r>
              <w:rPr>
                <w:rFonts w:ascii="Calibri" w:hAnsi="Calibri"/>
                <w:color w:val="2D3748"/>
                <w:sz w:val="18"/>
              </w:rPr>
              <w:t>DATETIME</w:t>
            </w:r>
          </w:p>
        </w:tc>
        <w:tc>
          <w:tcPr>
            <w:tcW w:type="dxa" w:w="864"/>
            <w:shd w:fill="FFFFFF"/>
            <w:tcMar>
              <w:top w:w="80" w:type="dxa"/>
              <w:bottom w:w="80" w:type="dxa"/>
              <w:left w:w="120" w:type="dxa"/>
              <w:right w:w="120" w:type="dxa"/>
            </w:tcMar>
          </w:tcPr>
          <w:p>
            <w:r>
              <w:rPr>
                <w:rFonts w:ascii="Calibri" w:hAnsi="Calibri"/>
                <w:color w:val="2D3748"/>
                <w:sz w:val="18"/>
              </w:rPr>
              <w:t>NO</w:t>
            </w:r>
          </w:p>
        </w:tc>
        <w:tc>
          <w:tcPr>
            <w:tcW w:type="dxa" w:w="2160"/>
            <w:shd w:fill="FFFFFF"/>
            <w:tcMar>
              <w:top w:w="80" w:type="dxa"/>
              <w:bottom w:w="80" w:type="dxa"/>
              <w:left w:w="120" w:type="dxa"/>
              <w:right w:w="120" w:type="dxa"/>
            </w:tcMar>
          </w:tcPr>
          <w:p>
            <w:r>
              <w:rPr>
                <w:rFonts w:ascii="Calibri" w:hAnsi="Calibri"/>
                <w:color w:val="2D3748"/>
                <w:sz w:val="18"/>
              </w:rPr>
              <w:t>-</w:t>
            </w:r>
          </w:p>
        </w:tc>
        <w:tc>
          <w:tcPr>
            <w:tcW w:type="dxa" w:w="3168"/>
            <w:shd w:fill="FFFFFF"/>
            <w:tcMar>
              <w:top w:w="80" w:type="dxa"/>
              <w:bottom w:w="80" w:type="dxa"/>
              <w:left w:w="120" w:type="dxa"/>
              <w:right w:w="120" w:type="dxa"/>
            </w:tcMar>
          </w:tcPr>
          <w:p>
            <w:r>
              <w:rPr>
                <w:rFonts w:ascii="Calibri" w:hAnsi="Calibri"/>
                <w:color w:val="2D3748"/>
                <w:sz w:val="18"/>
              </w:rPr>
              <w:t>Timestamp when the record was persisted (server default NOW())</w:t>
            </w:r>
          </w:p>
        </w:tc>
      </w:tr>
      <w:tr>
        <w:tc>
          <w:tcPr>
            <w:tcW w:type="dxa" w:w="2160"/>
            <w:shd w:fill="F7FAFC"/>
            <w:tcMar>
              <w:top w:w="80" w:type="dxa"/>
              <w:bottom w:w="80" w:type="dxa"/>
              <w:left w:w="120" w:type="dxa"/>
              <w:right w:w="120" w:type="dxa"/>
            </w:tcMar>
          </w:tcPr>
          <w:p>
            <w:r>
              <w:rPr>
                <w:rFonts w:ascii="Calibri" w:hAnsi="Calibri"/>
                <w:color w:val="2D3748"/>
                <w:sz w:val="18"/>
              </w:rPr>
              <w:t>error_message</w:t>
            </w:r>
          </w:p>
        </w:tc>
        <w:tc>
          <w:tcPr>
            <w:tcW w:type="dxa" w:w="1728"/>
            <w:shd w:fill="F7FAFC"/>
            <w:tcMar>
              <w:top w:w="80" w:type="dxa"/>
              <w:bottom w:w="80" w:type="dxa"/>
              <w:left w:w="120" w:type="dxa"/>
              <w:right w:w="120" w:type="dxa"/>
            </w:tcMar>
          </w:tcPr>
          <w:p>
            <w:r>
              <w:rPr>
                <w:rFonts w:ascii="Calibri" w:hAnsi="Calibri"/>
                <w:color w:val="2D3748"/>
                <w:sz w:val="18"/>
              </w:rPr>
              <w:t>TEXT</w:t>
            </w:r>
          </w:p>
        </w:tc>
        <w:tc>
          <w:tcPr>
            <w:tcW w:type="dxa" w:w="864"/>
            <w:shd w:fill="F7FAFC"/>
            <w:tcMar>
              <w:top w:w="80" w:type="dxa"/>
              <w:bottom w:w="80" w:type="dxa"/>
              <w:left w:w="120" w:type="dxa"/>
              <w:right w:w="120" w:type="dxa"/>
            </w:tcMar>
          </w:tcPr>
          <w:p>
            <w:r>
              <w:rPr>
                <w:rFonts w:ascii="Calibri" w:hAnsi="Calibri"/>
                <w:color w:val="2D3748"/>
                <w:sz w:val="18"/>
              </w:rPr>
              <w:t>YES</w:t>
            </w:r>
          </w:p>
        </w:tc>
        <w:tc>
          <w:tcPr>
            <w:tcW w:type="dxa" w:w="2160"/>
            <w:shd w:fill="F7FAFC"/>
            <w:tcMar>
              <w:top w:w="80" w:type="dxa"/>
              <w:bottom w:w="80" w:type="dxa"/>
              <w:left w:w="120" w:type="dxa"/>
              <w:right w:w="120" w:type="dxa"/>
            </w:tcMar>
          </w:tcPr>
          <w:p>
            <w:r>
              <w:rPr>
                <w:rFonts w:ascii="Calibri" w:hAnsi="Calibri"/>
                <w:color w:val="2D3748"/>
                <w:sz w:val="18"/>
              </w:rPr>
              <w:t>-</w:t>
            </w:r>
          </w:p>
        </w:tc>
        <w:tc>
          <w:tcPr>
            <w:tcW w:type="dxa" w:w="3168"/>
            <w:shd w:fill="F7FAFC"/>
            <w:tcMar>
              <w:top w:w="80" w:type="dxa"/>
              <w:bottom w:w="80" w:type="dxa"/>
              <w:left w:w="120" w:type="dxa"/>
              <w:right w:w="120" w:type="dxa"/>
            </w:tcMar>
          </w:tcPr>
          <w:p>
            <w:r>
              <w:rPr>
                <w:rFonts w:ascii="Calibri" w:hAnsi="Calibri"/>
                <w:color w:val="2D3748"/>
                <w:sz w:val="18"/>
              </w:rPr>
              <w:t>-</w:t>
            </w:r>
          </w:p>
        </w:tc>
      </w:tr>
    </w:tbl>
    <w:p>
      <w:pPr>
        <w:spacing w:after="120"/>
      </w:pPr>
    </w:p>
    <w:p>
      <w:r>
        <w:br w:type="page"/>
      </w:r>
    </w:p>
    <w:p>
      <w:pPr>
        <w:pStyle w:val="Heading1"/>
        <w:spacing w:before="360" w:after="120"/>
      </w:pPr>
      <w:r>
        <w:rPr>
          <w:rFonts w:ascii="Calibri" w:hAnsi="Calibri"/>
          <w:b/>
          <w:color w:val="1A365D"/>
          <w:sz w:val="36"/>
        </w:rPr>
        <w:t>3. Pydantic Validation &amp; Transfer Schemas (DTOs)</w:t>
      </w:r>
    </w:p>
    <w:p>
      <w:r>
        <w:rPr>
          <w:sz w:val="20"/>
        </w:rPr>
        <w:t>All incoming payloads and outgoing API responses are strictly validated through Pydantic v2 models. Extra inputs are forbidden (`extra='forbid'`) to guarantee contract fidelity, while `from_attributes=True` allows direct serialization from SQLAlchemy ORM entities.</w:t>
      </w:r>
    </w:p>
    <w:p>
      <w:pPr>
        <w:pStyle w:val="Heading2"/>
        <w:spacing w:before="280" w:after="80"/>
      </w:pPr>
      <w:r>
        <w:rPr>
          <w:rFonts w:ascii="Calibri" w:hAnsi="Calibri"/>
          <w:b/>
          <w:color w:val="2B6CB0"/>
          <w:sz w:val="28"/>
        </w:rPr>
        <w:t>3.1 Tenable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TenableFindingCreate</w:t>
            </w:r>
          </w:p>
        </w:tc>
        <w:tc>
          <w:tcPr>
            <w:tcW w:type="dxa" w:w="3168"/>
            <w:shd w:fill="F7FAFC"/>
            <w:tcMar>
              <w:top w:w="80" w:type="dxa"/>
              <w:bottom w:w="80" w:type="dxa"/>
              <w:left w:w="120" w:type="dxa"/>
              <w:right w:w="120" w:type="dxa"/>
            </w:tcMar>
          </w:tcPr>
          <w:p>
            <w:r>
              <w:rPr>
                <w:rFonts w:ascii="Calibri" w:hAnsi="Calibri"/>
                <w:color w:val="2D3748"/>
                <w:sz w:val="18"/>
              </w:rPr>
              <w:t>Request body for manually creating or simulating vulnerability findings.</w:t>
            </w:r>
          </w:p>
        </w:tc>
        <w:tc>
          <w:tcPr>
            <w:tcW w:type="dxa" w:w="4032"/>
            <w:shd w:fill="F7FAFC"/>
            <w:tcMar>
              <w:top w:w="80" w:type="dxa"/>
              <w:bottom w:w="80" w:type="dxa"/>
              <w:left w:w="120" w:type="dxa"/>
              <w:right w:w="120" w:type="dxa"/>
            </w:tcMar>
          </w:tcPr>
          <w:p>
            <w:r>
              <w:rPr>
                <w:rFonts w:ascii="Calibri" w:hAnsi="Calibri"/>
                <w:color w:val="2D3748"/>
                <w:sz w:val="18"/>
              </w:rPr>
              <w:t>plugin_id (int), source_finding_id, ip_address, severity, synopsis, description, cvss_v3_base_score, cvss_v4_base_score, port, repository, protocol</w:t>
            </w:r>
          </w:p>
        </w:tc>
      </w:tr>
      <w:tr>
        <w:tc>
          <w:tcPr>
            <w:tcW w:type="dxa" w:w="2880"/>
            <w:shd w:fill="FFFFFF"/>
            <w:tcMar>
              <w:top w:w="80" w:type="dxa"/>
              <w:bottom w:w="80" w:type="dxa"/>
              <w:left w:w="120" w:type="dxa"/>
              <w:right w:w="120" w:type="dxa"/>
            </w:tcMar>
          </w:tcPr>
          <w:p>
            <w:r>
              <w:rPr>
                <w:rFonts w:ascii="Calibri" w:hAnsi="Calibri"/>
                <w:color w:val="2D3748"/>
                <w:sz w:val="18"/>
              </w:rPr>
              <w:t>TenableFindingResponse</w:t>
            </w:r>
          </w:p>
        </w:tc>
        <w:tc>
          <w:tcPr>
            <w:tcW w:type="dxa" w:w="3168"/>
            <w:shd w:fill="FFFFFF"/>
            <w:tcMar>
              <w:top w:w="80" w:type="dxa"/>
              <w:bottom w:w="80" w:type="dxa"/>
              <w:left w:w="120" w:type="dxa"/>
              <w:right w:w="120" w:type="dxa"/>
            </w:tcMar>
          </w:tcPr>
          <w:p>
            <w:r>
              <w:rPr>
                <w:rFonts w:ascii="Calibri" w:hAnsi="Calibri"/>
                <w:color w:val="2D3748"/>
                <w:sz w:val="18"/>
              </w:rPr>
              <w:t>Response representation of a persisted vulnerability finding.</w:t>
            </w:r>
          </w:p>
        </w:tc>
        <w:tc>
          <w:tcPr>
            <w:tcW w:type="dxa" w:w="4032"/>
            <w:shd w:fill="FFFFFF"/>
            <w:tcMar>
              <w:top w:w="80" w:type="dxa"/>
              <w:bottom w:w="80" w:type="dxa"/>
              <w:left w:w="120" w:type="dxa"/>
              <w:right w:w="120" w:type="dxa"/>
            </w:tcMar>
          </w:tcPr>
          <w:p>
            <w:r>
              <w:rPr>
                <w:rFonts w:ascii="Calibri" w:hAnsi="Calibri"/>
                <w:color w:val="2D3748"/>
                <w:sz w:val="18"/>
              </w:rPr>
              <w:t>id (int), actionable (computed bool), source_finding_id, plugin_id, plugin_name, severity, cvss_v3_base_score, cvss_v4_base_score, first_discovered, last_observed, created_at, updated_at</w:t>
            </w:r>
          </w:p>
        </w:tc>
      </w:tr>
      <w:tr>
        <w:tc>
          <w:tcPr>
            <w:tcW w:type="dxa" w:w="2880"/>
            <w:shd w:fill="F7FAFC"/>
            <w:tcMar>
              <w:top w:w="80" w:type="dxa"/>
              <w:bottom w:w="80" w:type="dxa"/>
              <w:left w:w="120" w:type="dxa"/>
              <w:right w:w="120" w:type="dxa"/>
            </w:tcMar>
          </w:tcPr>
          <w:p>
            <w:r>
              <w:rPr>
                <w:rFonts w:ascii="Calibri" w:hAnsi="Calibri"/>
                <w:color w:val="2D3748"/>
                <w:sz w:val="18"/>
              </w:rPr>
              <w:t>TenableFindingListResponse</w:t>
            </w:r>
          </w:p>
        </w:tc>
        <w:tc>
          <w:tcPr>
            <w:tcW w:type="dxa" w:w="3168"/>
            <w:shd w:fill="F7FAFC"/>
            <w:tcMar>
              <w:top w:w="80" w:type="dxa"/>
              <w:bottom w:w="80" w:type="dxa"/>
              <w:left w:w="120" w:type="dxa"/>
              <w:right w:w="120" w:type="dxa"/>
            </w:tcMar>
          </w:tcPr>
          <w:p>
            <w:r>
              <w:rPr>
                <w:rFonts w:ascii="Calibri" w:hAnsi="Calibri"/>
                <w:color w:val="2D3748"/>
                <w:sz w:val="18"/>
              </w:rPr>
              <w:t>Paginated list response container for findings.</w:t>
            </w:r>
          </w:p>
        </w:tc>
        <w:tc>
          <w:tcPr>
            <w:tcW w:type="dxa" w:w="4032"/>
            <w:shd w:fill="F7FAFC"/>
            <w:tcMar>
              <w:top w:w="80" w:type="dxa"/>
              <w:bottom w:w="80" w:type="dxa"/>
              <w:left w:w="120" w:type="dxa"/>
              <w:right w:w="120" w:type="dxa"/>
            </w:tcMar>
          </w:tcPr>
          <w:p>
            <w:r>
              <w:rPr>
                <w:rFonts w:ascii="Calibri" w:hAnsi="Calibri"/>
                <w:color w:val="2D3748"/>
                <w:sz w:val="18"/>
              </w:rPr>
              <w:t>items (list[TenableFindingResponse]), total (int), limit (int), offset (int), has_more (bool)</w:t>
            </w:r>
          </w:p>
        </w:tc>
      </w:tr>
      <w:tr>
        <w:tc>
          <w:tcPr>
            <w:tcW w:type="dxa" w:w="2880"/>
            <w:shd w:fill="FFFFFF"/>
            <w:tcMar>
              <w:top w:w="80" w:type="dxa"/>
              <w:bottom w:w="80" w:type="dxa"/>
              <w:left w:w="120" w:type="dxa"/>
              <w:right w:w="120" w:type="dxa"/>
            </w:tcMar>
          </w:tcPr>
          <w:p>
            <w:r>
              <w:rPr>
                <w:rFonts w:ascii="Calibri" w:hAnsi="Calibri"/>
                <w:color w:val="2D3748"/>
                <w:sz w:val="18"/>
              </w:rPr>
              <w:t>TenableScanCreate</w:t>
            </w:r>
          </w:p>
        </w:tc>
        <w:tc>
          <w:tcPr>
            <w:tcW w:type="dxa" w:w="3168"/>
            <w:shd w:fill="FFFFFF"/>
            <w:tcMar>
              <w:top w:w="80" w:type="dxa"/>
              <w:bottom w:w="80" w:type="dxa"/>
              <w:left w:w="120" w:type="dxa"/>
              <w:right w:w="120" w:type="dxa"/>
            </w:tcMar>
          </w:tcPr>
          <w:p>
            <w:r>
              <w:rPr>
                <w:rFonts w:ascii="Calibri" w:hAnsi="Calibri"/>
                <w:color w:val="2D3748"/>
                <w:sz w:val="18"/>
              </w:rPr>
              <w:t>Request schema for creating a Tenable scan record.</w:t>
            </w:r>
          </w:p>
        </w:tc>
        <w:tc>
          <w:tcPr>
            <w:tcW w:type="dxa" w:w="4032"/>
            <w:shd w:fill="FFFFFF"/>
            <w:tcMar>
              <w:top w:w="80" w:type="dxa"/>
              <w:bottom w:w="80" w:type="dxa"/>
              <w:left w:w="120" w:type="dxa"/>
              <w:right w:w="120" w:type="dxa"/>
            </w:tcMar>
          </w:tcPr>
          <w:p>
            <w:r>
              <w:rPr>
                <w:rFonts w:ascii="Calibri" w:hAnsi="Calibri"/>
                <w:color w:val="2D3748"/>
                <w:sz w:val="18"/>
              </w:rPr>
              <w:t>source_scan_id (str), name (str), status (str), started_at, completed_at, source_payload (dict)</w:t>
            </w:r>
          </w:p>
        </w:tc>
      </w:tr>
      <w:tr>
        <w:tc>
          <w:tcPr>
            <w:tcW w:type="dxa" w:w="2880"/>
            <w:shd w:fill="F7FAFC"/>
            <w:tcMar>
              <w:top w:w="80" w:type="dxa"/>
              <w:bottom w:w="80" w:type="dxa"/>
              <w:left w:w="120" w:type="dxa"/>
              <w:right w:w="120" w:type="dxa"/>
            </w:tcMar>
          </w:tcPr>
          <w:p>
            <w:r>
              <w:rPr>
                <w:rFonts w:ascii="Calibri" w:hAnsi="Calibri"/>
                <w:color w:val="2D3748"/>
                <w:sz w:val="18"/>
              </w:rPr>
              <w:t>TenableScanResponse</w:t>
            </w:r>
          </w:p>
        </w:tc>
        <w:tc>
          <w:tcPr>
            <w:tcW w:type="dxa" w:w="3168"/>
            <w:shd w:fill="F7FAFC"/>
            <w:tcMar>
              <w:top w:w="80" w:type="dxa"/>
              <w:bottom w:w="80" w:type="dxa"/>
              <w:left w:w="120" w:type="dxa"/>
              <w:right w:w="120" w:type="dxa"/>
            </w:tcMar>
          </w:tcPr>
          <w:p>
            <w:r>
              <w:rPr>
                <w:rFonts w:ascii="Calibri" w:hAnsi="Calibri"/>
                <w:color w:val="2D3748"/>
                <w:sz w:val="18"/>
              </w:rPr>
              <w:t>Response schema for a persisted Tenable scan.</w:t>
            </w:r>
          </w:p>
        </w:tc>
        <w:tc>
          <w:tcPr>
            <w:tcW w:type="dxa" w:w="4032"/>
            <w:shd w:fill="F7FAFC"/>
            <w:tcMar>
              <w:top w:w="80" w:type="dxa"/>
              <w:bottom w:w="80" w:type="dxa"/>
              <w:left w:w="120" w:type="dxa"/>
              <w:right w:w="120" w:type="dxa"/>
            </w:tcMar>
          </w:tcPr>
          <w:p>
            <w:r>
              <w:rPr>
                <w:rFonts w:ascii="Calibri" w:hAnsi="Calibri"/>
                <w:color w:val="2D3748"/>
                <w:sz w:val="18"/>
              </w:rPr>
              <w:t>id (int), source_scan_id, name, status, started_at, completed_at, source_payload, created_at, updated_at</w:t>
            </w:r>
          </w:p>
        </w:tc>
      </w:tr>
      <w:tr>
        <w:tc>
          <w:tcPr>
            <w:tcW w:type="dxa" w:w="2880"/>
            <w:shd w:fill="FFFFFF"/>
            <w:tcMar>
              <w:top w:w="80" w:type="dxa"/>
              <w:bottom w:w="80" w:type="dxa"/>
              <w:left w:w="120" w:type="dxa"/>
              <w:right w:w="120" w:type="dxa"/>
            </w:tcMar>
          </w:tcPr>
          <w:p>
            <w:r>
              <w:rPr>
                <w:rFonts w:ascii="Calibri" w:hAnsi="Calibri"/>
                <w:color w:val="2D3748"/>
                <w:sz w:val="18"/>
              </w:rPr>
              <w:t>TenableScanListResponse</w:t>
            </w:r>
          </w:p>
        </w:tc>
        <w:tc>
          <w:tcPr>
            <w:tcW w:type="dxa" w:w="3168"/>
            <w:shd w:fill="FFFFFF"/>
            <w:tcMar>
              <w:top w:w="80" w:type="dxa"/>
              <w:bottom w:w="80" w:type="dxa"/>
              <w:left w:w="120" w:type="dxa"/>
              <w:right w:w="120" w:type="dxa"/>
            </w:tcMar>
          </w:tcPr>
          <w:p>
            <w:r>
              <w:rPr>
                <w:rFonts w:ascii="Calibri" w:hAnsi="Calibri"/>
                <w:color w:val="2D3748"/>
                <w:sz w:val="18"/>
              </w:rPr>
              <w:t>Paginated list container for Tenable scans.</w:t>
            </w:r>
          </w:p>
        </w:tc>
        <w:tc>
          <w:tcPr>
            <w:tcW w:type="dxa" w:w="4032"/>
            <w:shd w:fill="FFFFFF"/>
            <w:tcMar>
              <w:top w:w="80" w:type="dxa"/>
              <w:bottom w:w="80" w:type="dxa"/>
              <w:left w:w="120" w:type="dxa"/>
              <w:right w:w="120" w:type="dxa"/>
            </w:tcMar>
          </w:tcPr>
          <w:p>
            <w:r>
              <w:rPr>
                <w:rFonts w:ascii="Calibri" w:hAnsi="Calibri"/>
                <w:color w:val="2D3748"/>
                <w:sz w:val="18"/>
              </w:rPr>
              <w:t>items (list[TenableScanResponse]), total, limit, offset, has_more</w:t>
            </w:r>
          </w:p>
        </w:tc>
      </w:tr>
      <w:tr>
        <w:tc>
          <w:tcPr>
            <w:tcW w:type="dxa" w:w="2880"/>
            <w:shd w:fill="F7FAFC"/>
            <w:tcMar>
              <w:top w:w="80" w:type="dxa"/>
              <w:bottom w:w="80" w:type="dxa"/>
              <w:left w:w="120" w:type="dxa"/>
              <w:right w:w="120" w:type="dxa"/>
            </w:tcMar>
          </w:tcPr>
          <w:p>
            <w:r>
              <w:rPr>
                <w:rFonts w:ascii="Calibri" w:hAnsi="Calibri"/>
                <w:color w:val="2D3748"/>
                <w:sz w:val="18"/>
              </w:rPr>
              <w:t>TenableImportResponse</w:t>
            </w:r>
          </w:p>
        </w:tc>
        <w:tc>
          <w:tcPr>
            <w:tcW w:type="dxa" w:w="3168"/>
            <w:shd w:fill="F7FAFC"/>
            <w:tcMar>
              <w:top w:w="80" w:type="dxa"/>
              <w:bottom w:w="80" w:type="dxa"/>
              <w:left w:w="120" w:type="dxa"/>
              <w:right w:w="120" w:type="dxa"/>
            </w:tcMar>
          </w:tcPr>
          <w:p>
            <w:r>
              <w:rPr>
                <w:rFonts w:ascii="Calibri" w:hAnsi="Calibri"/>
                <w:color w:val="2D3748"/>
                <w:sz w:val="18"/>
              </w:rPr>
              <w:t>Summary response returned by provider import endpoint.</w:t>
            </w:r>
          </w:p>
        </w:tc>
        <w:tc>
          <w:tcPr>
            <w:tcW w:type="dxa" w:w="4032"/>
            <w:shd w:fill="F7FAFC"/>
            <w:tcMar>
              <w:top w:w="80" w:type="dxa"/>
              <w:bottom w:w="80" w:type="dxa"/>
              <w:left w:w="120" w:type="dxa"/>
              <w:right w:w="120" w:type="dxa"/>
            </w:tcMar>
          </w:tcPr>
          <w:p>
            <w:r>
              <w:rPr>
                <w:rFonts w:ascii="Calibri" w:hAnsi="Calibri"/>
                <w:color w:val="2D3748"/>
                <w:sz w:val="18"/>
              </w:rPr>
              <w:t>records_received, created, updated, skipped_without_source_identity, informational_records_retained, errors, source_offset, source_limit</w:t>
            </w:r>
          </w:p>
        </w:tc>
      </w:tr>
    </w:tbl>
    <w:p>
      <w:pPr>
        <w:spacing w:after="120"/>
      </w:pPr>
    </w:p>
    <w:p>
      <w:pPr>
        <w:pStyle w:val="Heading2"/>
        <w:spacing w:before="280" w:after="80"/>
      </w:pPr>
      <w:r>
        <w:rPr>
          <w:rFonts w:ascii="Calibri" w:hAnsi="Calibri"/>
          <w:b/>
          <w:color w:val="2B6CB0"/>
          <w:sz w:val="28"/>
        </w:rPr>
        <w:t>3.2 CMDB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CMDBServerCreate / Update</w:t>
            </w:r>
          </w:p>
        </w:tc>
        <w:tc>
          <w:tcPr>
            <w:tcW w:type="dxa" w:w="3168"/>
            <w:shd w:fill="F7FAFC"/>
            <w:tcMar>
              <w:top w:w="80" w:type="dxa"/>
              <w:bottom w:w="80" w:type="dxa"/>
              <w:left w:w="120" w:type="dxa"/>
              <w:right w:w="120" w:type="dxa"/>
            </w:tcMar>
          </w:tcPr>
          <w:p>
            <w:r>
              <w:rPr>
                <w:rFonts w:ascii="Calibri" w:hAnsi="Calibri"/>
                <w:color w:val="2D3748"/>
                <w:sz w:val="18"/>
              </w:rPr>
              <w:t>Request schemas for creating/modifying server and OS CIs (Appendix C.1).</w:t>
            </w:r>
          </w:p>
        </w:tc>
        <w:tc>
          <w:tcPr>
            <w:tcW w:type="dxa" w:w="4032"/>
            <w:shd w:fill="F7FAFC"/>
            <w:tcMar>
              <w:top w:w="80" w:type="dxa"/>
              <w:bottom w:w="80" w:type="dxa"/>
              <w:left w:w="120" w:type="dxa"/>
              <w:right w:w="120" w:type="dxa"/>
            </w:tcMar>
          </w:tcPr>
          <w:p>
            <w:r>
              <w:rPr>
                <w:rFonts w:ascii="Calibri" w:hAnsi="Calibri"/>
                <w:color w:val="2D3748"/>
                <w:sz w:val="18"/>
              </w:rPr>
              <w:t>source_instance_id (required), ci_name, dns_host_name, ip_address, application_name, asset_owner, environment, production_status, operating_system, risk_classification, target_date</w:t>
            </w:r>
          </w:p>
        </w:tc>
      </w:tr>
      <w:tr>
        <w:tc>
          <w:tcPr>
            <w:tcW w:type="dxa" w:w="2880"/>
            <w:shd w:fill="FFFFFF"/>
            <w:tcMar>
              <w:top w:w="80" w:type="dxa"/>
              <w:bottom w:w="80" w:type="dxa"/>
              <w:left w:w="120" w:type="dxa"/>
              <w:right w:w="120" w:type="dxa"/>
            </w:tcMar>
          </w:tcPr>
          <w:p>
            <w:r>
              <w:rPr>
                <w:rFonts w:ascii="Calibri" w:hAnsi="Calibri"/>
                <w:color w:val="2D3748"/>
                <w:sz w:val="18"/>
              </w:rPr>
              <w:t>CMDBServerResponse / List</w:t>
            </w:r>
          </w:p>
        </w:tc>
        <w:tc>
          <w:tcPr>
            <w:tcW w:type="dxa" w:w="3168"/>
            <w:shd w:fill="FFFFFF"/>
            <w:tcMar>
              <w:top w:w="80" w:type="dxa"/>
              <w:bottom w:w="80" w:type="dxa"/>
              <w:left w:w="120" w:type="dxa"/>
              <w:right w:w="120" w:type="dxa"/>
            </w:tcMar>
          </w:tcPr>
          <w:p>
            <w:r>
              <w:rPr>
                <w:rFonts w:ascii="Calibri" w:hAnsi="Calibri"/>
                <w:color w:val="2D3748"/>
                <w:sz w:val="18"/>
              </w:rPr>
              <w:t>Response schema and paginated list for server CIs.</w:t>
            </w:r>
          </w:p>
        </w:tc>
        <w:tc>
          <w:tcPr>
            <w:tcW w:type="dxa" w:w="4032"/>
            <w:shd w:fill="FFFFFF"/>
            <w:tcMar>
              <w:top w:w="80" w:type="dxa"/>
              <w:bottom w:w="80" w:type="dxa"/>
              <w:left w:w="120" w:type="dxa"/>
              <w:right w:w="120" w:type="dxa"/>
            </w:tcMar>
          </w:tcPr>
          <w:p>
            <w:r>
              <w:rPr>
                <w:rFonts w:ascii="Calibri" w:hAnsi="Calibri"/>
                <w:color w:val="2D3748"/>
                <w:sz w:val="18"/>
              </w:rPr>
              <w:t>id (int), source_instance_id, ci_name, ip_address, production_status, operating_system, created_at, updated_at</w:t>
            </w:r>
          </w:p>
        </w:tc>
      </w:tr>
      <w:tr>
        <w:tc>
          <w:tcPr>
            <w:tcW w:type="dxa" w:w="2880"/>
            <w:shd w:fill="F7FAFC"/>
            <w:tcMar>
              <w:top w:w="80" w:type="dxa"/>
              <w:bottom w:w="80" w:type="dxa"/>
              <w:left w:w="120" w:type="dxa"/>
              <w:right w:w="120" w:type="dxa"/>
            </w:tcMar>
          </w:tcPr>
          <w:p>
            <w:r>
              <w:rPr>
                <w:rFonts w:ascii="Calibri" w:hAnsi="Calibri"/>
                <w:color w:val="2D3748"/>
                <w:sz w:val="18"/>
              </w:rPr>
              <w:t>CMDBMiddlewareCreate / Response</w:t>
            </w:r>
          </w:p>
        </w:tc>
        <w:tc>
          <w:tcPr>
            <w:tcW w:type="dxa" w:w="3168"/>
            <w:shd w:fill="F7FAFC"/>
            <w:tcMar>
              <w:top w:w="80" w:type="dxa"/>
              <w:bottom w:w="80" w:type="dxa"/>
              <w:left w:w="120" w:type="dxa"/>
              <w:right w:w="120" w:type="dxa"/>
            </w:tcMar>
          </w:tcPr>
          <w:p>
            <w:r>
              <w:rPr>
                <w:rFonts w:ascii="Calibri" w:hAnsi="Calibri"/>
                <w:color w:val="2D3748"/>
                <w:sz w:val="18"/>
              </w:rPr>
              <w:t>Schema for middleware CIs (Appendix C.2 - 19 fields).</w:t>
            </w:r>
          </w:p>
        </w:tc>
        <w:tc>
          <w:tcPr>
            <w:tcW w:type="dxa" w:w="4032"/>
            <w:shd w:fill="F7FAFC"/>
            <w:tcMar>
              <w:top w:w="80" w:type="dxa"/>
              <w:bottom w:w="80" w:type="dxa"/>
              <w:left w:w="120" w:type="dxa"/>
              <w:right w:w="120" w:type="dxa"/>
            </w:tcMar>
          </w:tcPr>
          <w:p>
            <w:r>
              <w:rPr>
                <w:rFonts w:ascii="Calibri" w:hAnsi="Calibri"/>
                <w:color w:val="2D3748"/>
                <w:sz w:val="18"/>
              </w:rPr>
              <w:t>source_instance_id, middleware_name, version, hostname, ip_address, application_name, recommended_version, latest_patch_release_date, target_date</w:t>
            </w:r>
          </w:p>
        </w:tc>
      </w:tr>
      <w:tr>
        <w:tc>
          <w:tcPr>
            <w:tcW w:type="dxa" w:w="2880"/>
            <w:shd w:fill="FFFFFF"/>
            <w:tcMar>
              <w:top w:w="80" w:type="dxa"/>
              <w:bottom w:w="80" w:type="dxa"/>
              <w:left w:w="120" w:type="dxa"/>
              <w:right w:w="120" w:type="dxa"/>
            </w:tcMar>
          </w:tcPr>
          <w:p>
            <w:r>
              <w:rPr>
                <w:rFonts w:ascii="Calibri" w:hAnsi="Calibri"/>
                <w:color w:val="2D3748"/>
                <w:sz w:val="18"/>
              </w:rPr>
              <w:t>CMDBDatabaseCreate / Response</w:t>
            </w:r>
          </w:p>
        </w:tc>
        <w:tc>
          <w:tcPr>
            <w:tcW w:type="dxa" w:w="3168"/>
            <w:shd w:fill="FFFFFF"/>
            <w:tcMar>
              <w:top w:w="80" w:type="dxa"/>
              <w:bottom w:w="80" w:type="dxa"/>
              <w:left w:w="120" w:type="dxa"/>
              <w:right w:w="120" w:type="dxa"/>
            </w:tcMar>
          </w:tcPr>
          <w:p>
            <w:r>
              <w:rPr>
                <w:rFonts w:ascii="Calibri" w:hAnsi="Calibri"/>
                <w:color w:val="2D3748"/>
                <w:sz w:val="18"/>
              </w:rPr>
              <w:t>Schema for database CIs (Appendix C.3 - 14 fields).</w:t>
            </w:r>
          </w:p>
        </w:tc>
        <w:tc>
          <w:tcPr>
            <w:tcW w:type="dxa" w:w="4032"/>
            <w:shd w:fill="FFFFFF"/>
            <w:tcMar>
              <w:top w:w="80" w:type="dxa"/>
              <w:bottom w:w="80" w:type="dxa"/>
              <w:left w:w="120" w:type="dxa"/>
              <w:right w:w="120" w:type="dxa"/>
            </w:tcMar>
          </w:tcPr>
          <w:p>
            <w:r>
              <w:rPr>
                <w:rFonts w:ascii="Calibri" w:hAnsi="Calibri"/>
                <w:color w:val="2D3748"/>
                <w:sz w:val="18"/>
              </w:rPr>
              <w:t>source_instance_id, database_name, version, hostname, ip_address, db_type, asset_owner, last_patch_updated_at, target_date</w:t>
            </w:r>
          </w:p>
        </w:tc>
      </w:tr>
      <w:tr>
        <w:tc>
          <w:tcPr>
            <w:tcW w:type="dxa" w:w="2880"/>
            <w:shd w:fill="F7FAFC"/>
            <w:tcMar>
              <w:top w:w="80" w:type="dxa"/>
              <w:bottom w:w="80" w:type="dxa"/>
              <w:left w:w="120" w:type="dxa"/>
              <w:right w:w="120" w:type="dxa"/>
            </w:tcMar>
          </w:tcPr>
          <w:p>
            <w:r>
              <w:rPr>
                <w:rFonts w:ascii="Calibri" w:hAnsi="Calibri"/>
                <w:color w:val="2D3748"/>
                <w:sz w:val="18"/>
              </w:rPr>
              <w:t>CMDBRelationshipCreate / Response</w:t>
            </w:r>
          </w:p>
        </w:tc>
        <w:tc>
          <w:tcPr>
            <w:tcW w:type="dxa" w:w="3168"/>
            <w:shd w:fill="F7FAFC"/>
            <w:tcMar>
              <w:top w:w="80" w:type="dxa"/>
              <w:bottom w:w="80" w:type="dxa"/>
              <w:left w:w="120" w:type="dxa"/>
              <w:right w:w="120" w:type="dxa"/>
            </w:tcMar>
          </w:tcPr>
          <w:p>
            <w:r>
              <w:rPr>
                <w:rFonts w:ascii="Calibri" w:hAnsi="Calibri"/>
                <w:color w:val="2D3748"/>
                <w:sz w:val="18"/>
              </w:rPr>
              <w:t>Schema for CMDB CI-to-CI graph relationships.</w:t>
            </w:r>
          </w:p>
        </w:tc>
        <w:tc>
          <w:tcPr>
            <w:tcW w:type="dxa" w:w="4032"/>
            <w:shd w:fill="F7FAFC"/>
            <w:tcMar>
              <w:top w:w="80" w:type="dxa"/>
              <w:bottom w:w="80" w:type="dxa"/>
              <w:left w:w="120" w:type="dxa"/>
              <w:right w:w="120" w:type="dxa"/>
            </w:tcMar>
          </w:tcPr>
          <w:p>
            <w:r>
              <w:rPr>
                <w:rFonts w:ascii="Calibri" w:hAnsi="Calibri"/>
                <w:color w:val="2D3748"/>
                <w:sz w:val="18"/>
              </w:rPr>
              <w:t>source_relationship_id, source_ci_type, source_ci_id, target_ci_type, target_ci_id, relationship_type</w:t>
            </w:r>
          </w:p>
        </w:tc>
      </w:tr>
      <w:tr>
        <w:tc>
          <w:tcPr>
            <w:tcW w:type="dxa" w:w="2880"/>
            <w:shd w:fill="FFFFFF"/>
            <w:tcMar>
              <w:top w:w="80" w:type="dxa"/>
              <w:bottom w:w="80" w:type="dxa"/>
              <w:left w:w="120" w:type="dxa"/>
              <w:right w:w="120" w:type="dxa"/>
            </w:tcMar>
          </w:tcPr>
          <w:p>
            <w:r>
              <w:rPr>
                <w:rFonts w:ascii="Calibri" w:hAnsi="Calibri"/>
                <w:color w:val="2D3748"/>
                <w:sz w:val="18"/>
              </w:rPr>
              <w:t>CMDBLookupResponse</w:t>
            </w:r>
          </w:p>
        </w:tc>
        <w:tc>
          <w:tcPr>
            <w:tcW w:type="dxa" w:w="3168"/>
            <w:shd w:fill="FFFFFF"/>
            <w:tcMar>
              <w:top w:w="80" w:type="dxa"/>
              <w:bottom w:w="80" w:type="dxa"/>
              <w:left w:w="120" w:type="dxa"/>
              <w:right w:w="120" w:type="dxa"/>
            </w:tcMar>
          </w:tcPr>
          <w:p>
            <w:r>
              <w:rPr>
                <w:rFonts w:ascii="Calibri" w:hAnsi="Calibri"/>
                <w:color w:val="2D3748"/>
                <w:sz w:val="18"/>
              </w:rPr>
              <w:t>Response schema for BRD 4.3 IP correlation outcome.</w:t>
            </w:r>
          </w:p>
        </w:tc>
        <w:tc>
          <w:tcPr>
            <w:tcW w:type="dxa" w:w="4032"/>
            <w:shd w:fill="FFFFFF"/>
            <w:tcMar>
              <w:top w:w="80" w:type="dxa"/>
              <w:bottom w:w="80" w:type="dxa"/>
              <w:left w:w="120" w:type="dxa"/>
              <w:right w:w="120" w:type="dxa"/>
            </w:tcMar>
          </w:tcPr>
          <w:p>
            <w:r>
              <w:rPr>
                <w:rFonts w:ascii="Calibri" w:hAnsi="Calibri"/>
                <w:color w:val="2D3748"/>
                <w:sz w:val="18"/>
              </w:rPr>
              <w:t>ip_address, correlation_outcome (MATCHED, CMDB_NOT_FOUND, AMBIGUOUS_MATCH, CMDB_CI_INACTIVE), matched_servers (list), message</w:t>
            </w:r>
          </w:p>
        </w:tc>
      </w:tr>
      <w:tr>
        <w:tc>
          <w:tcPr>
            <w:tcW w:type="dxa" w:w="2880"/>
            <w:shd w:fill="F7FAFC"/>
            <w:tcMar>
              <w:top w:w="80" w:type="dxa"/>
              <w:bottom w:w="80" w:type="dxa"/>
              <w:left w:w="120" w:type="dxa"/>
              <w:right w:w="120" w:type="dxa"/>
            </w:tcMar>
          </w:tcPr>
          <w:p>
            <w:r>
              <w:rPr>
                <w:rFonts w:ascii="Calibri" w:hAnsi="Calibri"/>
                <w:color w:val="2D3748"/>
                <w:sz w:val="18"/>
              </w:rPr>
              <w:t>CMDBImportResponse</w:t>
            </w:r>
          </w:p>
        </w:tc>
        <w:tc>
          <w:tcPr>
            <w:tcW w:type="dxa" w:w="3168"/>
            <w:shd w:fill="F7FAFC"/>
            <w:tcMar>
              <w:top w:w="80" w:type="dxa"/>
              <w:bottom w:w="80" w:type="dxa"/>
              <w:left w:w="120" w:type="dxa"/>
              <w:right w:w="120" w:type="dxa"/>
            </w:tcMar>
          </w:tcPr>
          <w:p>
            <w:r>
              <w:rPr>
                <w:rFonts w:ascii="Calibri" w:hAnsi="Calibri"/>
                <w:color w:val="2D3748"/>
                <w:sz w:val="18"/>
              </w:rPr>
              <w:t>Summary schema for CMDB provider import.</w:t>
            </w:r>
          </w:p>
        </w:tc>
        <w:tc>
          <w:tcPr>
            <w:tcW w:type="dxa" w:w="4032"/>
            <w:shd w:fill="F7FAFC"/>
            <w:tcMar>
              <w:top w:w="80" w:type="dxa"/>
              <w:bottom w:w="80" w:type="dxa"/>
              <w:left w:w="120" w:type="dxa"/>
              <w:right w:w="120" w:type="dxa"/>
            </w:tcMar>
          </w:tcPr>
          <w:p>
            <w:r>
              <w:rPr>
                <w:rFonts w:ascii="Calibri" w:hAnsi="Calibri"/>
                <w:color w:val="2D3748"/>
                <w:sz w:val="18"/>
              </w:rPr>
              <w:t>servers_imported, middleware_imported, databases_imported, relationships_imported, total_imported</w:t>
            </w:r>
          </w:p>
        </w:tc>
      </w:tr>
    </w:tbl>
    <w:p>
      <w:pPr>
        <w:spacing w:after="120"/>
      </w:pPr>
    </w:p>
    <w:p>
      <w:pPr>
        <w:pStyle w:val="Heading2"/>
        <w:spacing w:before="280" w:after="80"/>
      </w:pPr>
      <w:r>
        <w:rPr>
          <w:rFonts w:ascii="Calibri" w:hAnsi="Calibri"/>
          <w:b/>
          <w:color w:val="2B6CB0"/>
          <w:sz w:val="28"/>
        </w:rPr>
        <w:t>3.3 ITSM / ISTM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ITSMChangeCreate / Update</w:t>
            </w:r>
          </w:p>
        </w:tc>
        <w:tc>
          <w:tcPr>
            <w:tcW w:type="dxa" w:w="3168"/>
            <w:shd w:fill="F7FAFC"/>
            <w:tcMar>
              <w:top w:w="80" w:type="dxa"/>
              <w:bottom w:w="80" w:type="dxa"/>
              <w:left w:w="120" w:type="dxa"/>
              <w:right w:w="120" w:type="dxa"/>
            </w:tcMar>
          </w:tcPr>
          <w:p>
            <w:r>
              <w:rPr>
                <w:rFonts w:ascii="Calibri" w:hAnsi="Calibri"/>
                <w:color w:val="2D3748"/>
                <w:sz w:val="18"/>
              </w:rPr>
              <w:t>Request schemas for creating/updating change requests (Appendix D - 19 fields).</w:t>
            </w:r>
          </w:p>
        </w:tc>
        <w:tc>
          <w:tcPr>
            <w:tcW w:type="dxa" w:w="4032"/>
            <w:shd w:fill="F7FAFC"/>
            <w:tcMar>
              <w:top w:w="80" w:type="dxa"/>
              <w:bottom w:w="80" w:type="dxa"/>
              <w:left w:w="120" w:type="dxa"/>
              <w:right w:w="120" w:type="dxa"/>
            </w:tcMar>
          </w:tcPr>
          <w:p>
            <w:r>
              <w:rPr>
                <w:rFonts w:ascii="Calibri" w:hAnsi="Calibri"/>
                <w:color w:val="2D3748"/>
                <w:sz w:val="18"/>
              </w:rPr>
              <w:t>source_change_id (required), first_name, last_name, status, impact, urgency, company, support_organization, change_nature, application_infrastructure, downtime_required, service_ci, description, environment</w:t>
            </w:r>
          </w:p>
        </w:tc>
      </w:tr>
      <w:tr>
        <w:tc>
          <w:tcPr>
            <w:tcW w:type="dxa" w:w="2880"/>
            <w:shd w:fill="FFFFFF"/>
            <w:tcMar>
              <w:top w:w="80" w:type="dxa"/>
              <w:bottom w:w="80" w:type="dxa"/>
              <w:left w:w="120" w:type="dxa"/>
              <w:right w:w="120" w:type="dxa"/>
            </w:tcMar>
          </w:tcPr>
          <w:p>
            <w:r>
              <w:rPr>
                <w:rFonts w:ascii="Calibri" w:hAnsi="Calibri"/>
                <w:color w:val="2D3748"/>
                <w:sz w:val="18"/>
              </w:rPr>
              <w:t>ITSMChangeResponse / List</w:t>
            </w:r>
          </w:p>
        </w:tc>
        <w:tc>
          <w:tcPr>
            <w:tcW w:type="dxa" w:w="3168"/>
            <w:shd w:fill="FFFFFF"/>
            <w:tcMar>
              <w:top w:w="80" w:type="dxa"/>
              <w:bottom w:w="80" w:type="dxa"/>
              <w:left w:w="120" w:type="dxa"/>
              <w:right w:w="120" w:type="dxa"/>
            </w:tcMar>
          </w:tcPr>
          <w:p>
            <w:r>
              <w:rPr>
                <w:rFonts w:ascii="Calibri" w:hAnsi="Calibri"/>
                <w:color w:val="2D3748"/>
                <w:sz w:val="18"/>
              </w:rPr>
              <w:t>Response schema and paginated list for change requests.</w:t>
            </w:r>
          </w:p>
        </w:tc>
        <w:tc>
          <w:tcPr>
            <w:tcW w:type="dxa" w:w="4032"/>
            <w:shd w:fill="FFFFFF"/>
            <w:tcMar>
              <w:top w:w="80" w:type="dxa"/>
              <w:bottom w:w="80" w:type="dxa"/>
              <w:left w:w="120" w:type="dxa"/>
              <w:right w:w="120" w:type="dxa"/>
            </w:tcMar>
          </w:tcPr>
          <w:p>
            <w:r>
              <w:rPr>
                <w:rFonts w:ascii="Calibri" w:hAnsi="Calibri"/>
                <w:color w:val="2D3748"/>
                <w:sz w:val="18"/>
              </w:rPr>
              <w:t>id (int), source_change_id, description, status, service_ci, environment, scheduled_start_at, scheduled_end_at, created_at, updated_at</w:t>
            </w:r>
          </w:p>
        </w:tc>
      </w:tr>
      <w:tr>
        <w:tc>
          <w:tcPr>
            <w:tcW w:type="dxa" w:w="2880"/>
            <w:shd w:fill="F7FAFC"/>
            <w:tcMar>
              <w:top w:w="80" w:type="dxa"/>
              <w:bottom w:w="80" w:type="dxa"/>
              <w:left w:w="120" w:type="dxa"/>
              <w:right w:w="120" w:type="dxa"/>
            </w:tcMar>
          </w:tcPr>
          <w:p>
            <w:r>
              <w:rPr>
                <w:rFonts w:ascii="Calibri" w:hAnsi="Calibri"/>
                <w:color w:val="2D3748"/>
                <w:sz w:val="18"/>
              </w:rPr>
              <w:t>ITSMWorklogCreate / Response</w:t>
            </w:r>
          </w:p>
        </w:tc>
        <w:tc>
          <w:tcPr>
            <w:tcW w:type="dxa" w:w="3168"/>
            <w:shd w:fill="F7FAFC"/>
            <w:tcMar>
              <w:top w:w="80" w:type="dxa"/>
              <w:bottom w:w="80" w:type="dxa"/>
              <w:left w:w="120" w:type="dxa"/>
              <w:right w:w="120" w:type="dxa"/>
            </w:tcMar>
          </w:tcPr>
          <w:p>
            <w:r>
              <w:rPr>
                <w:rFonts w:ascii="Calibri" w:hAnsi="Calibri"/>
                <w:color w:val="2D3748"/>
                <w:sz w:val="18"/>
              </w:rPr>
              <w:t>Schema for adding/retrieving worklog notes.</w:t>
            </w:r>
          </w:p>
        </w:tc>
        <w:tc>
          <w:tcPr>
            <w:tcW w:type="dxa" w:w="4032"/>
            <w:shd w:fill="F7FAFC"/>
            <w:tcMar>
              <w:top w:w="80" w:type="dxa"/>
              <w:bottom w:w="80" w:type="dxa"/>
              <w:left w:w="120" w:type="dxa"/>
              <w:right w:w="120" w:type="dxa"/>
            </w:tcMar>
          </w:tcPr>
          <w:p>
            <w:r>
              <w:rPr>
                <w:rFonts w:ascii="Calibri" w:hAnsi="Calibri"/>
                <w:color w:val="2D3748"/>
                <w:sz w:val="18"/>
              </w:rPr>
              <w:t>description (required), submitter, worklog_type, source_worklog_id, change_id (int), created_at</w:t>
            </w:r>
          </w:p>
        </w:tc>
      </w:tr>
      <w:tr>
        <w:tc>
          <w:tcPr>
            <w:tcW w:type="dxa" w:w="2880"/>
            <w:shd w:fill="FFFFFF"/>
            <w:tcMar>
              <w:top w:w="80" w:type="dxa"/>
              <w:bottom w:w="80" w:type="dxa"/>
              <w:left w:w="120" w:type="dxa"/>
              <w:right w:w="120" w:type="dxa"/>
            </w:tcMar>
          </w:tcPr>
          <w:p>
            <w:r>
              <w:rPr>
                <w:rFonts w:ascii="Calibri" w:hAnsi="Calibri"/>
                <w:color w:val="2D3748"/>
                <w:sz w:val="18"/>
              </w:rPr>
              <w:t>ITSMChangeHistoryResponse</w:t>
            </w:r>
          </w:p>
        </w:tc>
        <w:tc>
          <w:tcPr>
            <w:tcW w:type="dxa" w:w="3168"/>
            <w:shd w:fill="FFFFFF"/>
            <w:tcMar>
              <w:top w:w="80" w:type="dxa"/>
              <w:bottom w:w="80" w:type="dxa"/>
              <w:left w:w="120" w:type="dxa"/>
              <w:right w:w="120" w:type="dxa"/>
            </w:tcMar>
          </w:tcPr>
          <w:p>
            <w:r>
              <w:rPr>
                <w:rFonts w:ascii="Calibri" w:hAnsi="Calibri"/>
                <w:color w:val="2D3748"/>
                <w:sz w:val="18"/>
              </w:rPr>
              <w:t>Schema representing change status transitions.</w:t>
            </w:r>
          </w:p>
        </w:tc>
        <w:tc>
          <w:tcPr>
            <w:tcW w:type="dxa" w:w="4032"/>
            <w:shd w:fill="FFFFFF"/>
            <w:tcMar>
              <w:top w:w="80" w:type="dxa"/>
              <w:bottom w:w="80" w:type="dxa"/>
              <w:left w:w="120" w:type="dxa"/>
              <w:right w:w="120" w:type="dxa"/>
            </w:tcMar>
          </w:tcPr>
          <w:p>
            <w:r>
              <w:rPr>
                <w:rFonts w:ascii="Calibri" w:hAnsi="Calibri"/>
                <w:color w:val="2D3748"/>
                <w:sz w:val="18"/>
              </w:rPr>
              <w:t>id (int), change_id, old_status, new_status, changed_by, notes, created_at</w:t>
            </w:r>
          </w:p>
        </w:tc>
      </w:tr>
      <w:tr>
        <w:tc>
          <w:tcPr>
            <w:tcW w:type="dxa" w:w="2880"/>
            <w:shd w:fill="F7FAFC"/>
            <w:tcMar>
              <w:top w:w="80" w:type="dxa"/>
              <w:bottom w:w="80" w:type="dxa"/>
              <w:left w:w="120" w:type="dxa"/>
              <w:right w:w="120" w:type="dxa"/>
            </w:tcMar>
          </w:tcPr>
          <w:p>
            <w:r>
              <w:rPr>
                <w:rFonts w:ascii="Calibri" w:hAnsi="Calibri"/>
                <w:color w:val="2D3748"/>
                <w:sz w:val="18"/>
              </w:rPr>
              <w:t>ITSMImportResponse</w:t>
            </w:r>
          </w:p>
        </w:tc>
        <w:tc>
          <w:tcPr>
            <w:tcW w:type="dxa" w:w="3168"/>
            <w:shd w:fill="F7FAFC"/>
            <w:tcMar>
              <w:top w:w="80" w:type="dxa"/>
              <w:bottom w:w="80" w:type="dxa"/>
              <w:left w:w="120" w:type="dxa"/>
              <w:right w:w="120" w:type="dxa"/>
            </w:tcMar>
          </w:tcPr>
          <w:p>
            <w:r>
              <w:rPr>
                <w:rFonts w:ascii="Calibri" w:hAnsi="Calibri"/>
                <w:color w:val="2D3748"/>
                <w:sz w:val="18"/>
              </w:rPr>
              <w:t>Summary schema for ITSM provider import.</w:t>
            </w:r>
          </w:p>
        </w:tc>
        <w:tc>
          <w:tcPr>
            <w:tcW w:type="dxa" w:w="4032"/>
            <w:shd w:fill="F7FAFC"/>
            <w:tcMar>
              <w:top w:w="80" w:type="dxa"/>
              <w:bottom w:w="80" w:type="dxa"/>
              <w:left w:w="120" w:type="dxa"/>
              <w:right w:w="120" w:type="dxa"/>
            </w:tcMar>
          </w:tcPr>
          <w:p>
            <w:r>
              <w:rPr>
                <w:rFonts w:ascii="Calibri" w:hAnsi="Calibri"/>
                <w:color w:val="2D3748"/>
                <w:sz w:val="18"/>
              </w:rPr>
              <w:t>changes_imported, worklogs_imported, total_imported</w:t>
            </w:r>
          </w:p>
        </w:tc>
      </w:tr>
    </w:tbl>
    <w:p>
      <w:pPr>
        <w:spacing w:after="120"/>
      </w:pPr>
    </w:p>
    <w:p>
      <w:pPr>
        <w:pStyle w:val="Heading2"/>
        <w:spacing w:before="280" w:after="80"/>
      </w:pPr>
      <w:r>
        <w:rPr>
          <w:rFonts w:ascii="Calibri" w:hAnsi="Calibri"/>
          <w:b/>
          <w:color w:val="2B6CB0"/>
          <w:sz w:val="28"/>
        </w:rPr>
        <w:t>3.4 Satellite Pydantic Schemas</w:t>
      </w:r>
    </w:p>
    <w:tbl>
      <w:tblPr>
        <w:tblW w:type="auto" w:w="0"/>
        <w:jc w:val="center"/>
        <w:tblLook w:firstColumn="1" w:firstRow="1" w:lastColumn="0" w:lastRow="0" w:noHBand="0" w:noVBand="1" w:val="04A0"/>
      </w:tblPr>
      <w:tblGrid>
        <w:gridCol w:w="3312"/>
        <w:gridCol w:w="3312"/>
        <w:gridCol w:w="3312"/>
      </w:tblGrid>
      <w:tr>
        <w:tc>
          <w:tcPr>
            <w:tcW w:type="dxa" w:w="2880"/>
            <w:shd w:fill="1A365D"/>
            <w:tcMar>
              <w:top w:w="120" w:type="dxa"/>
              <w:bottom w:w="120" w:type="dxa"/>
              <w:left w:w="140" w:type="dxa"/>
              <w:right w:w="140" w:type="dxa"/>
            </w:tcMar>
          </w:tcPr>
          <w:p>
            <w:pPr>
              <w:jc w:val="left"/>
            </w:pPr>
            <w:r>
              <w:rPr>
                <w:rFonts w:ascii="Calibri" w:hAnsi="Calibri"/>
                <w:b/>
                <w:color w:val="FFFFFF"/>
                <w:sz w:val="19"/>
              </w:rPr>
              <w:t>Schema Name</w:t>
            </w:r>
          </w:p>
        </w:tc>
        <w:tc>
          <w:tcPr>
            <w:tcW w:type="dxa" w:w="3168"/>
            <w:shd w:fill="1A365D"/>
            <w:tcMar>
              <w:top w:w="120" w:type="dxa"/>
              <w:bottom w:w="120" w:type="dxa"/>
              <w:left w:w="140" w:type="dxa"/>
              <w:right w:w="140" w:type="dxa"/>
            </w:tcMar>
          </w:tcPr>
          <w:p>
            <w:pPr>
              <w:jc w:val="left"/>
            </w:pPr>
            <w:r>
              <w:rPr>
                <w:rFonts w:ascii="Calibri" w:hAnsi="Calibri"/>
                <w:b/>
                <w:color w:val="FFFFFF"/>
                <w:sz w:val="19"/>
              </w:rPr>
              <w:t>Role &amp; Usage</w:t>
            </w:r>
          </w:p>
        </w:tc>
        <w:tc>
          <w:tcPr>
            <w:tcW w:type="dxa" w:w="4032"/>
            <w:shd w:fill="1A365D"/>
            <w:tcMar>
              <w:top w:w="120" w:type="dxa"/>
              <w:bottom w:w="120" w:type="dxa"/>
              <w:left w:w="140" w:type="dxa"/>
              <w:right w:w="140" w:type="dxa"/>
            </w:tcMar>
          </w:tcPr>
          <w:p>
            <w:pPr>
              <w:jc w:val="left"/>
            </w:pPr>
            <w:r>
              <w:rPr>
                <w:rFonts w:ascii="Calibri" w:hAnsi="Calibri"/>
                <w:b/>
                <w:color w:val="FFFFFF"/>
                <w:sz w:val="19"/>
              </w:rPr>
              <w:t>Key Attributes &amp; Constraints</w:t>
            </w:r>
          </w:p>
        </w:tc>
      </w:tr>
      <w:tr>
        <w:tc>
          <w:tcPr>
            <w:tcW w:type="dxa" w:w="2880"/>
            <w:shd w:fill="F7FAFC"/>
            <w:tcMar>
              <w:top w:w="80" w:type="dxa"/>
              <w:bottom w:w="80" w:type="dxa"/>
              <w:left w:w="120" w:type="dxa"/>
              <w:right w:w="120" w:type="dxa"/>
            </w:tcMar>
          </w:tcPr>
          <w:p>
            <w:r>
              <w:rPr>
                <w:rFonts w:ascii="Calibri" w:hAnsi="Calibri"/>
                <w:color w:val="2D3748"/>
                <w:sz w:val="18"/>
              </w:rPr>
              <w:t>SatelliteHostCreate / Response</w:t>
            </w:r>
          </w:p>
        </w:tc>
        <w:tc>
          <w:tcPr>
            <w:tcW w:type="dxa" w:w="3168"/>
            <w:shd w:fill="F7FAFC"/>
            <w:tcMar>
              <w:top w:w="80" w:type="dxa"/>
              <w:bottom w:w="80" w:type="dxa"/>
              <w:left w:w="120" w:type="dxa"/>
              <w:right w:w="120" w:type="dxa"/>
            </w:tcMar>
          </w:tcPr>
          <w:p>
            <w:r>
              <w:rPr>
                <w:rFonts w:ascii="Calibri" w:hAnsi="Calibri"/>
                <w:color w:val="2D3748"/>
                <w:sz w:val="18"/>
              </w:rPr>
              <w:t>Request and response schemas for managed host targets.</w:t>
            </w:r>
          </w:p>
        </w:tc>
        <w:tc>
          <w:tcPr>
            <w:tcW w:type="dxa" w:w="4032"/>
            <w:shd w:fill="F7FAFC"/>
            <w:tcMar>
              <w:top w:w="80" w:type="dxa"/>
              <w:bottom w:w="80" w:type="dxa"/>
              <w:left w:w="120" w:type="dxa"/>
              <w:right w:w="120" w:type="dxa"/>
            </w:tcMar>
          </w:tcPr>
          <w:p>
            <w:r>
              <w:rPr>
                <w:rFonts w:ascii="Calibri" w:hAnsi="Calibri"/>
                <w:color w:val="2D3748"/>
                <w:sz w:val="18"/>
              </w:rPr>
              <w:t>source_host_id, name, ip_address, operating_system, organization_id, location_id, source_payload</w:t>
            </w:r>
          </w:p>
        </w:tc>
      </w:tr>
      <w:tr>
        <w:tc>
          <w:tcPr>
            <w:tcW w:type="dxa" w:w="2880"/>
            <w:shd w:fill="FFFFFF"/>
            <w:tcMar>
              <w:top w:w="80" w:type="dxa"/>
              <w:bottom w:w="80" w:type="dxa"/>
              <w:left w:w="120" w:type="dxa"/>
              <w:right w:w="120" w:type="dxa"/>
            </w:tcMar>
          </w:tcPr>
          <w:p>
            <w:r>
              <w:rPr>
                <w:rFonts w:ascii="Calibri" w:hAnsi="Calibri"/>
                <w:color w:val="2D3748"/>
                <w:sz w:val="18"/>
              </w:rPr>
              <w:t>SatelliteJobTemplateCreate / Response</w:t>
            </w:r>
          </w:p>
        </w:tc>
        <w:tc>
          <w:tcPr>
            <w:tcW w:type="dxa" w:w="3168"/>
            <w:shd w:fill="FFFFFF"/>
            <w:tcMar>
              <w:top w:w="80" w:type="dxa"/>
              <w:bottom w:w="80" w:type="dxa"/>
              <w:left w:w="120" w:type="dxa"/>
              <w:right w:w="120" w:type="dxa"/>
            </w:tcMar>
          </w:tcPr>
          <w:p>
            <w:r>
              <w:rPr>
                <w:rFonts w:ascii="Calibri" w:hAnsi="Calibri"/>
                <w:color w:val="2D3748"/>
                <w:sz w:val="18"/>
              </w:rPr>
              <w:t>Schema for Remote Execution / Ansible job templates.</w:t>
            </w:r>
          </w:p>
        </w:tc>
        <w:tc>
          <w:tcPr>
            <w:tcW w:type="dxa" w:w="4032"/>
            <w:shd w:fill="FFFFFF"/>
            <w:tcMar>
              <w:top w:w="80" w:type="dxa"/>
              <w:bottom w:w="80" w:type="dxa"/>
              <w:left w:w="120" w:type="dxa"/>
              <w:right w:w="120" w:type="dxa"/>
            </w:tcMar>
          </w:tcPr>
          <w:p>
            <w:r>
              <w:rPr>
                <w:rFonts w:ascii="Calibri" w:hAnsi="Calibri"/>
                <w:color w:val="2D3748"/>
                <w:sz w:val="18"/>
              </w:rPr>
              <w:t>source_template_id, name, description, template_type, input_schema, source_payload</w:t>
            </w:r>
          </w:p>
        </w:tc>
      </w:tr>
      <w:tr>
        <w:tc>
          <w:tcPr>
            <w:tcW w:type="dxa" w:w="2880"/>
            <w:shd w:fill="F7FAFC"/>
            <w:tcMar>
              <w:top w:w="80" w:type="dxa"/>
              <w:bottom w:w="80" w:type="dxa"/>
              <w:left w:w="120" w:type="dxa"/>
              <w:right w:w="120" w:type="dxa"/>
            </w:tcMar>
          </w:tcPr>
          <w:p>
            <w:r>
              <w:rPr>
                <w:rFonts w:ascii="Calibri" w:hAnsi="Calibri"/>
                <w:color w:val="2D3748"/>
                <w:sz w:val="18"/>
              </w:rPr>
              <w:t>SatelliteJobLaunchRequest</w:t>
            </w:r>
          </w:p>
        </w:tc>
        <w:tc>
          <w:tcPr>
            <w:tcW w:type="dxa" w:w="3168"/>
            <w:shd w:fill="F7FAFC"/>
            <w:tcMar>
              <w:top w:w="80" w:type="dxa"/>
              <w:bottom w:w="80" w:type="dxa"/>
              <w:left w:w="120" w:type="dxa"/>
              <w:right w:w="120" w:type="dxa"/>
            </w:tcMar>
          </w:tcPr>
          <w:p>
            <w:r>
              <w:rPr>
                <w:rFonts w:ascii="Calibri" w:hAnsi="Calibri"/>
                <w:color w:val="2D3748"/>
                <w:sz w:val="18"/>
              </w:rPr>
              <w:t>Request schema to launch/simulate a remediation job.</w:t>
            </w:r>
          </w:p>
        </w:tc>
        <w:tc>
          <w:tcPr>
            <w:tcW w:type="dxa" w:w="4032"/>
            <w:shd w:fill="F7FAFC"/>
            <w:tcMar>
              <w:top w:w="80" w:type="dxa"/>
              <w:bottom w:w="80" w:type="dxa"/>
              <w:left w:w="120" w:type="dxa"/>
              <w:right w:w="120" w:type="dxa"/>
            </w:tcMar>
          </w:tcPr>
          <w:p>
            <w:r>
              <w:rPr>
                <w:rFonts w:ascii="Calibri" w:hAnsi="Calibri"/>
                <w:color w:val="2D3748"/>
                <w:sz w:val="18"/>
              </w:rPr>
              <w:t>template_id (str), host_ids (list[str] non-empty), inputs (dict)</w:t>
            </w:r>
          </w:p>
        </w:tc>
      </w:tr>
      <w:tr>
        <w:tc>
          <w:tcPr>
            <w:tcW w:type="dxa" w:w="2880"/>
            <w:shd w:fill="FFFFFF"/>
            <w:tcMar>
              <w:top w:w="80" w:type="dxa"/>
              <w:bottom w:w="80" w:type="dxa"/>
              <w:left w:w="120" w:type="dxa"/>
              <w:right w:w="120" w:type="dxa"/>
            </w:tcMar>
          </w:tcPr>
          <w:p>
            <w:r>
              <w:rPr>
                <w:rFonts w:ascii="Calibri" w:hAnsi="Calibri"/>
                <w:color w:val="2D3748"/>
                <w:sz w:val="18"/>
              </w:rPr>
              <w:t>SatelliteJobRunResponse / List</w:t>
            </w:r>
          </w:p>
        </w:tc>
        <w:tc>
          <w:tcPr>
            <w:tcW w:type="dxa" w:w="3168"/>
            <w:shd w:fill="FFFFFF"/>
            <w:tcMar>
              <w:top w:w="80" w:type="dxa"/>
              <w:bottom w:w="80" w:type="dxa"/>
              <w:left w:w="120" w:type="dxa"/>
              <w:right w:w="120" w:type="dxa"/>
            </w:tcMar>
          </w:tcPr>
          <w:p>
            <w:r>
              <w:rPr>
                <w:rFonts w:ascii="Calibri" w:hAnsi="Calibri"/>
                <w:color w:val="2D3748"/>
                <w:sz w:val="18"/>
              </w:rPr>
              <w:t>Response representation of a job invocation.</w:t>
            </w:r>
          </w:p>
        </w:tc>
        <w:tc>
          <w:tcPr>
            <w:tcW w:type="dxa" w:w="4032"/>
            <w:shd w:fill="FFFFFF"/>
            <w:tcMar>
              <w:top w:w="80" w:type="dxa"/>
              <w:bottom w:w="80" w:type="dxa"/>
              <w:left w:w="120" w:type="dxa"/>
              <w:right w:w="120" w:type="dxa"/>
            </w:tcMar>
          </w:tcPr>
          <w:p>
            <w:r>
              <w:rPr>
                <w:rFonts w:ascii="Calibri" w:hAnsi="Calibri"/>
                <w:color w:val="2D3748"/>
                <w:sz w:val="18"/>
              </w:rPr>
              <w:t>id (int), source_invocation_id, template_id, status, inputs, started_at, completed_at, source_payload, created_at</w:t>
            </w:r>
          </w:p>
        </w:tc>
      </w:tr>
      <w:tr>
        <w:tc>
          <w:tcPr>
            <w:tcW w:type="dxa" w:w="2880"/>
            <w:shd w:fill="F7FAFC"/>
            <w:tcMar>
              <w:top w:w="80" w:type="dxa"/>
              <w:bottom w:w="80" w:type="dxa"/>
              <w:left w:w="120" w:type="dxa"/>
              <w:right w:w="120" w:type="dxa"/>
            </w:tcMar>
          </w:tcPr>
          <w:p>
            <w:r>
              <w:rPr>
                <w:rFonts w:ascii="Calibri" w:hAnsi="Calibri"/>
                <w:color w:val="2D3748"/>
                <w:sz w:val="18"/>
              </w:rPr>
              <w:t>SatelliteJobHostResultResponse</w:t>
            </w:r>
          </w:p>
        </w:tc>
        <w:tc>
          <w:tcPr>
            <w:tcW w:type="dxa" w:w="3168"/>
            <w:shd w:fill="F7FAFC"/>
            <w:tcMar>
              <w:top w:w="80" w:type="dxa"/>
              <w:bottom w:w="80" w:type="dxa"/>
              <w:left w:w="120" w:type="dxa"/>
              <w:right w:w="120" w:type="dxa"/>
            </w:tcMar>
          </w:tcPr>
          <w:p>
            <w:r>
              <w:rPr>
                <w:rFonts w:ascii="Calibri" w:hAnsi="Calibri"/>
                <w:color w:val="2D3748"/>
                <w:sz w:val="18"/>
              </w:rPr>
              <w:t>Per-host outcome schema for job execution.</w:t>
            </w:r>
          </w:p>
        </w:tc>
        <w:tc>
          <w:tcPr>
            <w:tcW w:type="dxa" w:w="4032"/>
            <w:shd w:fill="F7FAFC"/>
            <w:tcMar>
              <w:top w:w="80" w:type="dxa"/>
              <w:bottom w:w="80" w:type="dxa"/>
              <w:left w:w="120" w:type="dxa"/>
              <w:right w:w="120" w:type="dxa"/>
            </w:tcMar>
          </w:tcPr>
          <w:p>
            <w:r>
              <w:rPr>
                <w:rFonts w:ascii="Calibri" w:hAnsi="Calibri"/>
                <w:color w:val="2D3748"/>
                <w:sz w:val="18"/>
              </w:rPr>
              <w:t>id, job_run_id, host_id, status, result_text, exit_code, stdout, stderr, finished_at</w:t>
            </w:r>
          </w:p>
        </w:tc>
      </w:tr>
      <w:tr>
        <w:tc>
          <w:tcPr>
            <w:tcW w:type="dxa" w:w="2880"/>
            <w:shd w:fill="FFFFFF"/>
            <w:tcMar>
              <w:top w:w="80" w:type="dxa"/>
              <w:bottom w:w="80" w:type="dxa"/>
              <w:left w:w="120" w:type="dxa"/>
              <w:right w:w="120" w:type="dxa"/>
            </w:tcMar>
          </w:tcPr>
          <w:p>
            <w:r>
              <w:rPr>
                <w:rFonts w:ascii="Calibri" w:hAnsi="Calibri"/>
                <w:color w:val="2D3748"/>
                <w:sz w:val="18"/>
              </w:rPr>
              <w:t>SatelliteJobCancelRequest</w:t>
            </w:r>
          </w:p>
        </w:tc>
        <w:tc>
          <w:tcPr>
            <w:tcW w:type="dxa" w:w="3168"/>
            <w:shd w:fill="FFFFFF"/>
            <w:tcMar>
              <w:top w:w="80" w:type="dxa"/>
              <w:bottom w:w="80" w:type="dxa"/>
              <w:left w:w="120" w:type="dxa"/>
              <w:right w:w="120" w:type="dxa"/>
            </w:tcMar>
          </w:tcPr>
          <w:p>
            <w:r>
              <w:rPr>
                <w:rFonts w:ascii="Calibri" w:hAnsi="Calibri"/>
                <w:color w:val="2D3748"/>
                <w:sz w:val="18"/>
              </w:rPr>
              <w:t>Request schema to cancel a pending job.</w:t>
            </w:r>
          </w:p>
        </w:tc>
        <w:tc>
          <w:tcPr>
            <w:tcW w:type="dxa" w:w="4032"/>
            <w:shd w:fill="FFFFFF"/>
            <w:tcMar>
              <w:top w:w="80" w:type="dxa"/>
              <w:bottom w:w="80" w:type="dxa"/>
              <w:left w:w="120" w:type="dxa"/>
              <w:right w:w="120" w:type="dxa"/>
            </w:tcMar>
          </w:tcPr>
          <w:p>
            <w:r>
              <w:rPr>
                <w:rFonts w:ascii="Calibri" w:hAnsi="Calibri"/>
                <w:color w:val="2D3748"/>
                <w:sz w:val="18"/>
              </w:rPr>
              <w:t>reason (str | None)</w:t>
            </w:r>
          </w:p>
        </w:tc>
      </w:tr>
    </w:tbl>
    <w:p>
      <w:pPr>
        <w:spacing w:after="120"/>
      </w:pPr>
    </w:p>
    <w:p>
      <w:r>
        <w:br w:type="page"/>
      </w:r>
    </w:p>
    <w:p>
      <w:pPr>
        <w:pStyle w:val="Heading1"/>
        <w:spacing w:before="360" w:after="120"/>
      </w:pPr>
      <w:r>
        <w:rPr>
          <w:rFonts w:ascii="Calibri" w:hAnsi="Calibri"/>
          <w:b/>
          <w:color w:val="1A365D"/>
          <w:sz w:val="36"/>
        </w:rPr>
        <w:t>4. Canonical Integration Route Catalog (BRD Aligned)</w:t>
      </w:r>
    </w:p>
    <w:p>
      <w:r>
        <w:rPr>
          <w:sz w:val="20"/>
        </w:rPr>
        <w:t>In accordance with BRD Section 4 requirements, the API implements a unified Single-Route Architecture. Each route automatically interacts with external enterprise APIs (Tenable, BMC Helix CMDB, BMC Helix ITSM, Red Hat Satellite) when configured in API mode, and seamlessly falls back to local PostgreSQL storage and JSON fixtures when in JSON mode or when the remote service is unavailable. Callers interact with a single canonical route per function.</w:t>
      </w:r>
    </w:p>
    <w:tbl>
      <w:tblPr>
        <w:tblW w:type="auto" w:w="0"/>
        <w:jc w:val="center"/>
        <w:tblLook w:firstColumn="1" w:firstRow="1" w:lastColumn="0" w:lastRow="0" w:noHBand="0" w:noVBand="1" w:val="04A0"/>
      </w:tblPr>
      <w:tblGrid>
        <w:gridCol w:w="2484"/>
        <w:gridCol w:w="2484"/>
        <w:gridCol w:w="2484"/>
        <w:gridCol w:w="2484"/>
      </w:tblGrid>
      <w:tr>
        <w:tc>
          <w:tcPr>
            <w:tcW w:type="dxa" w:w="1296"/>
            <w:shd w:fill="1A365D"/>
            <w:tcMar>
              <w:top w:w="120" w:type="dxa"/>
              <w:bottom w:w="120" w:type="dxa"/>
              <w:left w:w="140" w:type="dxa"/>
              <w:right w:w="140" w:type="dxa"/>
            </w:tcMar>
          </w:tcPr>
          <w:p>
            <w:pPr>
              <w:jc w:val="left"/>
            </w:pPr>
            <w:r>
              <w:rPr>
                <w:rFonts w:ascii="Calibri" w:hAnsi="Calibri"/>
                <w:b/>
                <w:color w:val="FFFFFF"/>
                <w:sz w:val="19"/>
              </w:rPr>
              <w:t>Method</w:t>
            </w:r>
          </w:p>
        </w:tc>
        <w:tc>
          <w:tcPr>
            <w:tcW w:type="dxa" w:w="3600"/>
            <w:shd w:fill="1A365D"/>
            <w:tcMar>
              <w:top w:w="120" w:type="dxa"/>
              <w:bottom w:w="120" w:type="dxa"/>
              <w:left w:w="140" w:type="dxa"/>
              <w:right w:w="140" w:type="dxa"/>
            </w:tcMar>
          </w:tcPr>
          <w:p>
            <w:pPr>
              <w:jc w:val="left"/>
            </w:pPr>
            <w:r>
              <w:rPr>
                <w:rFonts w:ascii="Calibri" w:hAnsi="Calibri"/>
                <w:b/>
                <w:color w:val="FFFFFF"/>
                <w:sz w:val="19"/>
              </w:rPr>
              <w:t>Endpoint Path</w:t>
            </w:r>
          </w:p>
        </w:tc>
        <w:tc>
          <w:tcPr>
            <w:tcW w:type="dxa" w:w="2016"/>
            <w:shd w:fill="1A365D"/>
            <w:tcMar>
              <w:top w:w="120" w:type="dxa"/>
              <w:bottom w:w="120" w:type="dxa"/>
              <w:left w:w="140" w:type="dxa"/>
              <w:right w:w="140" w:type="dxa"/>
            </w:tcMar>
          </w:tcPr>
          <w:p>
            <w:pPr>
              <w:jc w:val="left"/>
            </w:pPr>
            <w:r>
              <w:rPr>
                <w:rFonts w:ascii="Calibri" w:hAnsi="Calibri"/>
                <w:b/>
                <w:color w:val="FFFFFF"/>
                <w:sz w:val="19"/>
              </w:rPr>
              <w:t>Data Handling</w:t>
            </w:r>
          </w:p>
        </w:tc>
        <w:tc>
          <w:tcPr>
            <w:tcW w:type="dxa" w:w="3168"/>
            <w:shd w:fill="1A365D"/>
            <w:tcMar>
              <w:top w:w="120" w:type="dxa"/>
              <w:bottom w:w="120" w:type="dxa"/>
              <w:left w:w="140" w:type="dxa"/>
              <w:right w:w="140" w:type="dxa"/>
            </w:tcMar>
          </w:tcPr>
          <w:p>
            <w:pPr>
              <w:jc w:val="left"/>
            </w:pPr>
            <w:r>
              <w:rPr>
                <w:rFonts w:ascii="Calibri" w:hAnsi="Calibri"/>
                <w:b/>
                <w:color w:val="FFFFFF"/>
                <w:sz w:val="19"/>
              </w:rPr>
              <w:t>Description / Function</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/api/v1/cmdb/correlate/{ip_address}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Correlate IP address to server CI (BRD Rule 4.3)</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/api/v1/cmdb/import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CMDB CIs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/api/v1/cmdb/servers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server configuration items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/api/v1/cmdb/servers/{server_id}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server CI details by ID</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/api/v1/health</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Application health check</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/api/v1/itsm/changes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change requests</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/api/v1/itsm/changes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Create change request (19 BRD QA Fields)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/api/v1/itsm/changes/{change_id}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change request details by ID</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/api/v1/itsm/changes/{change_id}/worklogs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worklogs for a change request</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/api/v1/itsm/changes/{change_id}/worklogs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Add worklog to a change request</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/api/v1/itsm/import</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Import and synchronize changes and worklogs into PostgreSQL</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/api/v1/ready</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Application readiness check</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/api/v1/satellite/hosts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Satellite hosts (BRD S1)</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/api/v1/satellite/import</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Import and synchronize hosts and templates into PostgreSQL</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/api/v1/satellite/job-templates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approved job templates (BRD S2)</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/api/v1/satellite/jobs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Launch job execution (BRD S3)</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/api/v1/satellite/jobs/{job_run_id}</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Get job run status and results (BRD S4/S5)</w:t>
            </w:r>
          </w:p>
        </w:tc>
      </w:tr>
      <w:tr>
        <w:tc>
          <w:tcPr>
            <w:tcW w:type="dxa" w:w="1296"/>
            <w:shd w:fill="FFFFFF"/>
            <w:tcMar>
              <w:top w:w="80" w:type="dxa"/>
              <w:bottom w:w="80" w:type="dxa"/>
              <w:left w:w="120" w:type="dxa"/>
              <w:right w:w="120" w:type="dxa"/>
            </w:tcMar>
          </w:tcPr>
          <w:p>
            <w:r>
              <w:rPr>
                <w:rFonts w:ascii="Calibri" w:hAnsi="Calibri"/>
                <w:color w:val="2D3748"/>
                <w:sz w:val="18"/>
              </w:rPr>
              <w:t>POST</w:t>
            </w:r>
          </w:p>
        </w:tc>
        <w:tc>
          <w:tcPr>
            <w:tcW w:type="dxa" w:w="3600"/>
            <w:shd w:fill="FFFFFF"/>
            <w:tcMar>
              <w:top w:w="80" w:type="dxa"/>
              <w:bottom w:w="80" w:type="dxa"/>
              <w:left w:w="120" w:type="dxa"/>
              <w:right w:w="120" w:type="dxa"/>
            </w:tcMar>
          </w:tcPr>
          <w:p>
            <w:r>
              <w:rPr>
                <w:rFonts w:ascii="Calibri" w:hAnsi="Calibri"/>
                <w:color w:val="2D3748"/>
                <w:sz w:val="18"/>
              </w:rPr>
              <w:t>/api/v1/satellite/jobs/{job_run_id}/cancel</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Cancel active job run (BRD S7)</w:t>
            </w:r>
          </w:p>
        </w:tc>
      </w:tr>
      <w:tr>
        <w:tc>
          <w:tcPr>
            <w:tcW w:type="dxa" w:w="1296"/>
            <w:shd w:fill="F7FAFC"/>
            <w:tcMar>
              <w:top w:w="80" w:type="dxa"/>
              <w:bottom w:w="80" w:type="dxa"/>
              <w:left w:w="120" w:type="dxa"/>
              <w:right w:w="120" w:type="dxa"/>
            </w:tcMar>
          </w:tcPr>
          <w:p>
            <w:r>
              <w:rPr>
                <w:rFonts w:ascii="Calibri" w:hAnsi="Calibri"/>
                <w:color w:val="2D3748"/>
                <w:sz w:val="18"/>
              </w:rPr>
              <w:t>GET</w:t>
            </w:r>
          </w:p>
        </w:tc>
        <w:tc>
          <w:tcPr>
            <w:tcW w:type="dxa" w:w="3600"/>
            <w:shd w:fill="F7FAFC"/>
            <w:tcMar>
              <w:top w:w="80" w:type="dxa"/>
              <w:bottom w:w="80" w:type="dxa"/>
              <w:left w:w="120" w:type="dxa"/>
              <w:right w:w="120" w:type="dxa"/>
            </w:tcMar>
          </w:tcPr>
          <w:p>
            <w:r>
              <w:rPr>
                <w:rFonts w:ascii="Calibri" w:hAnsi="Calibri"/>
                <w:color w:val="2D3748"/>
                <w:sz w:val="18"/>
              </w:rPr>
              <w:t>/api/v1/tenable/findings</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List vulnerability findings</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/api/v1/tenable/findings/{finding_id}</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Get finding details by ID</w:t>
            </w:r>
          </w:p>
        </w:tc>
      </w:tr>
      <w:tr>
        <w:tc>
          <w:tcPr>
            <w:tcW w:type="dxa" w:w="1296"/>
            <w:shd w:fill="F7FAFC"/>
            <w:tcMar>
              <w:top w:w="80" w:type="dxa"/>
              <w:bottom w:w="80" w:type="dxa"/>
              <w:left w:w="120" w:type="dxa"/>
              <w:right w:w="120" w:type="dxa"/>
            </w:tcMar>
          </w:tcPr>
          <w:p>
            <w:r>
              <w:rPr>
                <w:rFonts w:ascii="Calibri" w:hAnsi="Calibri"/>
                <w:color w:val="2D3748"/>
                <w:sz w:val="18"/>
              </w:rPr>
              <w:t>POST</w:t>
            </w:r>
          </w:p>
        </w:tc>
        <w:tc>
          <w:tcPr>
            <w:tcW w:type="dxa" w:w="3600"/>
            <w:shd w:fill="F7FAFC"/>
            <w:tcMar>
              <w:top w:w="80" w:type="dxa"/>
              <w:bottom w:w="80" w:type="dxa"/>
              <w:left w:w="120" w:type="dxa"/>
              <w:right w:w="120" w:type="dxa"/>
            </w:tcMar>
          </w:tcPr>
          <w:p>
            <w:r>
              <w:rPr>
                <w:rFonts w:ascii="Calibri" w:hAnsi="Calibri"/>
                <w:color w:val="2D3748"/>
                <w:sz w:val="18"/>
              </w:rPr>
              <w:t>/api/v1/tenable/import</w:t>
            </w:r>
          </w:p>
        </w:tc>
        <w:tc>
          <w:tcPr>
            <w:tcW w:type="dxa" w:w="2016"/>
            <w:shd w:fill="F7FAFC"/>
            <w:tcMar>
              <w:top w:w="80" w:type="dxa"/>
              <w:bottom w:w="80" w:type="dxa"/>
              <w:left w:w="120" w:type="dxa"/>
              <w:right w:w="120" w:type="dxa"/>
            </w:tcMar>
          </w:tcPr>
          <w:p>
            <w:r>
              <w:rPr>
                <w:rFonts w:ascii="Calibri" w:hAnsi="Calibri"/>
                <w:color w:val="2D3748"/>
                <w:sz w:val="18"/>
              </w:rPr>
              <w:t>Unified: Live API or JSON/DB</w:t>
            </w:r>
          </w:p>
        </w:tc>
        <w:tc>
          <w:tcPr>
            <w:tcW w:type="dxa" w:w="3168"/>
            <w:shd w:fill="F7FAFC"/>
            <w:tcMar>
              <w:top w:w="80" w:type="dxa"/>
              <w:bottom w:w="80" w:type="dxa"/>
              <w:left w:w="120" w:type="dxa"/>
              <w:right w:w="120" w:type="dxa"/>
            </w:tcMar>
          </w:tcPr>
          <w:p>
            <w:r>
              <w:rPr>
                <w:rFonts w:ascii="Calibri" w:hAnsi="Calibri"/>
                <w:color w:val="2D3748"/>
                <w:sz w:val="18"/>
              </w:rPr>
              <w:t>Import and synchronize findings into PostgreSQL</w:t>
            </w:r>
          </w:p>
        </w:tc>
      </w:tr>
      <w:tr>
        <w:tc>
          <w:tcPr>
            <w:tcW w:type="dxa" w:w="1296"/>
            <w:shd w:fill="FFFFFF"/>
            <w:tcMar>
              <w:top w:w="80" w:type="dxa"/>
              <w:bottom w:w="80" w:type="dxa"/>
              <w:left w:w="120" w:type="dxa"/>
              <w:right w:w="120" w:type="dxa"/>
            </w:tcMar>
          </w:tcPr>
          <w:p>
            <w:r>
              <w:rPr>
                <w:rFonts w:ascii="Calibri" w:hAnsi="Calibri"/>
                <w:color w:val="2D3748"/>
                <w:sz w:val="18"/>
              </w:rPr>
              <w:t>GET</w:t>
            </w:r>
          </w:p>
        </w:tc>
        <w:tc>
          <w:tcPr>
            <w:tcW w:type="dxa" w:w="3600"/>
            <w:shd w:fill="FFFFFF"/>
            <w:tcMar>
              <w:top w:w="80" w:type="dxa"/>
              <w:bottom w:w="80" w:type="dxa"/>
              <w:left w:w="120" w:type="dxa"/>
              <w:right w:w="120" w:type="dxa"/>
            </w:tcMar>
          </w:tcPr>
          <w:p>
            <w:r>
              <w:rPr>
                <w:rFonts w:ascii="Calibri" w:hAnsi="Calibri"/>
                <w:color w:val="2D3748"/>
                <w:sz w:val="18"/>
              </w:rPr>
              <w:t>/api/v1/tenable/scans</w:t>
            </w:r>
          </w:p>
        </w:tc>
        <w:tc>
          <w:tcPr>
            <w:tcW w:type="dxa" w:w="2016"/>
            <w:shd w:fill="FFFFFF"/>
            <w:tcMar>
              <w:top w:w="80" w:type="dxa"/>
              <w:bottom w:w="80" w:type="dxa"/>
              <w:left w:w="120" w:type="dxa"/>
              <w:right w:w="120" w:type="dxa"/>
            </w:tcMar>
          </w:tcPr>
          <w:p>
            <w:r>
              <w:rPr>
                <w:rFonts w:ascii="Calibri" w:hAnsi="Calibri"/>
                <w:color w:val="2D3748"/>
                <w:sz w:val="18"/>
              </w:rPr>
              <w:t>Unified: Live API or JSON/DB</w:t>
            </w:r>
          </w:p>
        </w:tc>
        <w:tc>
          <w:tcPr>
            <w:tcW w:type="dxa" w:w="3168"/>
            <w:shd w:fill="FFFFFF"/>
            <w:tcMar>
              <w:top w:w="80" w:type="dxa"/>
              <w:bottom w:w="80" w:type="dxa"/>
              <w:left w:w="120" w:type="dxa"/>
              <w:right w:w="120" w:type="dxa"/>
            </w:tcMar>
          </w:tcPr>
          <w:p>
            <w:r>
              <w:rPr>
                <w:rFonts w:ascii="Calibri" w:hAnsi="Calibri"/>
                <w:color w:val="2D3748"/>
                <w:sz w:val="18"/>
              </w:rPr>
              <w:t>List scanner executions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